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55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5540" w:rsidRDefault="00ED6D40" w:rsidP="0010095E">
            <w:pPr>
              <w:pStyle w:val="EPName"/>
            </w:pPr>
            <w:r w:rsidRPr="00885540">
              <w:t>Parlament Europejski</w:t>
            </w:r>
          </w:p>
          <w:p w:rsidR="00751A4A" w:rsidRPr="008855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5540">
              <w:t>2024</w:t>
            </w:r>
            <w:r w:rsidR="00817416" w:rsidRPr="00885540">
              <w:t>-202</w:t>
            </w:r>
            <w:r w:rsidRPr="0088554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85540" w:rsidRDefault="00187494" w:rsidP="0010095E">
            <w:pPr>
              <w:pStyle w:val="EPLogo"/>
            </w:pPr>
            <w:r w:rsidRPr="008855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5540" w:rsidRDefault="00D058B8" w:rsidP="004C5D52">
      <w:pPr>
        <w:pStyle w:val="LineTop"/>
      </w:pPr>
    </w:p>
    <w:p w:rsidR="00680577" w:rsidRPr="00885540" w:rsidRDefault="00ED6D40" w:rsidP="00680577">
      <w:pPr>
        <w:pStyle w:val="EPBodyTA1"/>
      </w:pPr>
      <w:r w:rsidRPr="00885540">
        <w:t>TEKSTY PRZYJĘTE</w:t>
      </w:r>
    </w:p>
    <w:p w:rsidR="00D058B8" w:rsidRPr="00885540" w:rsidRDefault="00D058B8" w:rsidP="00D058B8">
      <w:pPr>
        <w:pStyle w:val="LineBottom"/>
      </w:pPr>
    </w:p>
    <w:p w:rsidR="00ED6D40" w:rsidRPr="00885540" w:rsidRDefault="00ED6D40" w:rsidP="00ED6D40">
      <w:pPr>
        <w:pStyle w:val="ATHeading1"/>
      </w:pPr>
      <w:bookmarkStart w:id="0" w:name="TANumber"/>
      <w:r w:rsidRPr="00885540">
        <w:t>P10_TA(2024)00</w:t>
      </w:r>
      <w:bookmarkEnd w:id="0"/>
      <w:r w:rsidR="00D33522">
        <w:t>26</w:t>
      </w:r>
    </w:p>
    <w:p w:rsidR="00ED6D40" w:rsidRPr="006D12EA" w:rsidRDefault="006D12EA" w:rsidP="00ED6D40">
      <w:pPr>
        <w:pStyle w:val="ATHeading2"/>
      </w:pPr>
      <w:r w:rsidRPr="006D12EA">
        <w:t>Absolutorium za rok 2022: budżet ogólny UE – Rada Europejska i Rada</w:t>
      </w:r>
    </w:p>
    <w:p w:rsidR="00ED6D40" w:rsidRPr="00885540" w:rsidRDefault="00ED6D40" w:rsidP="00ED6D40">
      <w:pPr>
        <w:rPr>
          <w:i/>
          <w:vanish/>
        </w:rPr>
      </w:pPr>
      <w:r w:rsidRPr="00885540">
        <w:rPr>
          <w:i/>
        </w:rPr>
        <w:fldChar w:fldCharType="begin"/>
      </w:r>
      <w:r w:rsidRPr="00885540">
        <w:rPr>
          <w:i/>
        </w:rPr>
        <w:instrText xml:space="preserve"> TC"(</w:instrText>
      </w:r>
      <w:bookmarkStart w:id="1" w:name="DocNumber"/>
      <w:r w:rsidRPr="00885540">
        <w:rPr>
          <w:i/>
        </w:rPr>
        <w:instrText>A10-0003/2024</w:instrText>
      </w:r>
      <w:bookmarkEnd w:id="1"/>
      <w:r w:rsidRPr="00885540">
        <w:rPr>
          <w:i/>
        </w:rPr>
        <w:instrText xml:space="preserve"> - Sprawozdawca: </w:instrText>
      </w:r>
      <w:proofErr w:type="spellStart"/>
      <w:r w:rsidRPr="00885540">
        <w:rPr>
          <w:i/>
        </w:rPr>
        <w:instrText>Jonas</w:instrText>
      </w:r>
      <w:proofErr w:type="spellEnd"/>
      <w:r w:rsidRPr="00885540">
        <w:rPr>
          <w:i/>
        </w:rPr>
        <w:instrText xml:space="preserve"> </w:instrText>
      </w:r>
      <w:proofErr w:type="spellStart"/>
      <w:r w:rsidRPr="00885540">
        <w:rPr>
          <w:i/>
        </w:rPr>
        <w:instrText>Sjöstedt</w:instrText>
      </w:r>
      <w:proofErr w:type="spellEnd"/>
      <w:proofErr w:type="gramStart"/>
      <w:r w:rsidRPr="00885540">
        <w:rPr>
          <w:i/>
        </w:rPr>
        <w:instrText>)"\l</w:instrText>
      </w:r>
      <w:proofErr w:type="gramEnd"/>
      <w:r w:rsidRPr="00885540">
        <w:rPr>
          <w:i/>
        </w:rPr>
        <w:instrText xml:space="preserve">3 \n&gt; \* MERGEFORMAT </w:instrText>
      </w:r>
      <w:r w:rsidRPr="00885540">
        <w:rPr>
          <w:i/>
        </w:rPr>
        <w:fldChar w:fldCharType="end"/>
      </w:r>
    </w:p>
    <w:p w:rsidR="00ED6D40" w:rsidRPr="00885540" w:rsidRDefault="00ED6D40" w:rsidP="00ED6D40">
      <w:pPr>
        <w:rPr>
          <w:vanish/>
        </w:rPr>
      </w:pPr>
      <w:bookmarkStart w:id="2" w:name="Commission"/>
      <w:r w:rsidRPr="00885540">
        <w:rPr>
          <w:vanish/>
        </w:rPr>
        <w:t>Komisja Kontroli Budżetowej</w:t>
      </w:r>
      <w:bookmarkEnd w:id="2"/>
    </w:p>
    <w:p w:rsidR="00ED6D40" w:rsidRPr="00885540" w:rsidRDefault="00ED6D40" w:rsidP="00ED6D40">
      <w:pPr>
        <w:rPr>
          <w:vanish/>
        </w:rPr>
      </w:pPr>
      <w:bookmarkStart w:id="3" w:name="PE"/>
      <w:r w:rsidRPr="00885540">
        <w:rPr>
          <w:vanish/>
        </w:rPr>
        <w:t>PE761.252</w:t>
      </w:r>
      <w:bookmarkEnd w:id="3"/>
    </w:p>
    <w:p w:rsidR="00ED6D40" w:rsidRPr="00885540" w:rsidRDefault="006D12EA" w:rsidP="00ED6D40">
      <w:pPr>
        <w:pStyle w:val="ATHeading3"/>
      </w:pPr>
      <w:bookmarkStart w:id="4" w:name="Sujet"/>
      <w:r>
        <w:t xml:space="preserve">1. </w:t>
      </w:r>
      <w:r w:rsidR="00ED6D40" w:rsidRPr="00885540">
        <w:t xml:space="preserve">Decyzja Parlamentu Europejskiego z dnia </w:t>
      </w:r>
      <w:r>
        <w:t>22 października</w:t>
      </w:r>
      <w:r w:rsidR="00ED6D40" w:rsidRPr="00885540">
        <w:t xml:space="preserve"> 2024 r. w sprawie absolutorium z wykonania budżetu ogólnego Unii Europejskiej za rok budżetowy 2022, sekcja II – Rada Europejska i Rada</w:t>
      </w:r>
      <w:bookmarkEnd w:id="4"/>
      <w:r w:rsidR="00ED6D40" w:rsidRPr="00885540">
        <w:t xml:space="preserve"> </w:t>
      </w:r>
      <w:bookmarkStart w:id="5" w:name="References"/>
      <w:r w:rsidR="00ED6D40" w:rsidRPr="00885540">
        <w:t>(2023/2131(DEC))</w:t>
      </w:r>
      <w:bookmarkEnd w:id="5"/>
    </w:p>
    <w:p w:rsidR="00ED6D40" w:rsidRPr="00885540" w:rsidRDefault="00ED6D40" w:rsidP="00ED6D40"/>
    <w:p w:rsidR="00E323D7" w:rsidRPr="00885540" w:rsidRDefault="00E323D7" w:rsidP="00E323D7">
      <w:pPr>
        <w:pStyle w:val="EPComma"/>
      </w:pPr>
      <w:bookmarkStart w:id="6" w:name="TextBodyBegin"/>
      <w:bookmarkEnd w:id="6"/>
      <w:r w:rsidRPr="00885540">
        <w:rPr>
          <w:i/>
        </w:rPr>
        <w:t>Parlament Europejski</w:t>
      </w:r>
      <w:r w:rsidRPr="00885540">
        <w:t>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budżet ogólny Unii Europejskiej na rok budżetowy 2022</w:t>
      </w:r>
      <w:r w:rsidRPr="00885540">
        <w:rPr>
          <w:rStyle w:val="FootnoteReference"/>
        </w:rPr>
        <w:footnoteReference w:id="1"/>
      </w:r>
      <w:r w:rsidRPr="00885540">
        <w:t>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skonsolidowane roczne sprawozdanie finansowe Unii Europejskiej za rok budżetowy 2022 (COM</w:t>
      </w:r>
      <w:proofErr w:type="gramStart"/>
      <w:r w:rsidRPr="00885540">
        <w:t>(2023)0391 – C</w:t>
      </w:r>
      <w:proofErr w:type="gramEnd"/>
      <w:r w:rsidRPr="00885540">
        <w:t>9</w:t>
      </w:r>
      <w:r w:rsidRPr="00885540">
        <w:noBreakHyphen/>
        <w:t>0250/2023)</w:t>
      </w:r>
      <w:r w:rsidRPr="00885540">
        <w:rPr>
          <w:rStyle w:val="FootnoteReference"/>
        </w:rPr>
        <w:footnoteReference w:id="2"/>
      </w:r>
      <w:r w:rsidRPr="00885540">
        <w:t>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sprawozdanie roczne Rady dla organu udzielającego absolutorium w sprawie audytów wewnętrznych przeprowadzonych w 2022 r.,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sprawozdanie roczne Trybunału Obrachunkowego dotyczące wykonania budżetu za rok budżetowy 2022 wraz z odpowiedziami instytucji</w:t>
      </w:r>
      <w:r w:rsidRPr="00885540">
        <w:rPr>
          <w:rStyle w:val="FootnoteReference"/>
        </w:rPr>
        <w:footnoteReference w:id="3"/>
      </w:r>
      <w:r w:rsidRPr="00885540">
        <w:t>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poświadczenie wiarygodności</w:t>
      </w:r>
      <w:r w:rsidRPr="00885540">
        <w:rPr>
          <w:rStyle w:val="FootnoteReference"/>
        </w:rPr>
        <w:footnoteReference w:id="4"/>
      </w:r>
      <w:r w:rsidRPr="00885540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swoją decyzję z 23 kwietnia 2024 r.</w:t>
      </w:r>
      <w:r w:rsidRPr="00885540">
        <w:rPr>
          <w:rStyle w:val="FootnoteReference"/>
        </w:rPr>
        <w:footnoteReference w:id="5"/>
      </w:r>
      <w:r w:rsidRPr="00885540">
        <w:t xml:space="preserve"> odraczającą udzielenie absolutorium za rok budżetowy 2022, jak również załączoną do niej rezolucję,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 xml:space="preserve">uwzględniając art. 314 ust. 10 oraz art. 317, 318 i 319 Traktatu o funkcjonowaniu Unii </w:t>
      </w:r>
      <w:r w:rsidRPr="00885540">
        <w:lastRenderedPageBreak/>
        <w:t>Europejskiej,</w:t>
      </w:r>
    </w:p>
    <w:p w:rsidR="00E323D7" w:rsidRDefault="00E323D7" w:rsidP="00E323D7">
      <w:pPr>
        <w:pStyle w:val="NormalHanging12a"/>
      </w:pPr>
      <w:r w:rsidRPr="00885540">
        <w:t>–</w:t>
      </w:r>
      <w:r w:rsidRPr="00885540">
        <w:tab/>
        <w:t xml:space="preserve">uwzględniając rozporządzenie Parlamentu Europejskiego i Rady (UE, </w:t>
      </w:r>
      <w:proofErr w:type="spellStart"/>
      <w:r w:rsidRPr="00885540">
        <w:t>Euratom</w:t>
      </w:r>
      <w:proofErr w:type="spellEnd"/>
      <w:r w:rsidRPr="00885540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885540">
        <w:t>Euratom</w:t>
      </w:r>
      <w:proofErr w:type="spellEnd"/>
      <w:r w:rsidRPr="00885540">
        <w:t>) nr 966/2012</w:t>
      </w:r>
      <w:r w:rsidRPr="00885540">
        <w:rPr>
          <w:rStyle w:val="FootnoteReference"/>
        </w:rPr>
        <w:footnoteReference w:id="6"/>
      </w:r>
      <w:r w:rsidRPr="00885540">
        <w:t>, w szczególności jego art. 59, 118, 260, 261 i 262,</w:t>
      </w:r>
    </w:p>
    <w:p w:rsidR="006D12EA" w:rsidRPr="006D12EA" w:rsidRDefault="006D12EA" w:rsidP="00E323D7">
      <w:pPr>
        <w:pStyle w:val="NormalHanging12a"/>
      </w:pPr>
      <w:r w:rsidRPr="00D33522">
        <w:t>–</w:t>
      </w:r>
      <w:r w:rsidRPr="00D33522">
        <w:tab/>
      </w:r>
      <w:r>
        <w:rPr>
          <w:bCs/>
        </w:rPr>
        <w:t xml:space="preserve">uwzględniając </w:t>
      </w:r>
      <w:r w:rsidRPr="006D12EA">
        <w:rPr>
          <w:bCs/>
        </w:rPr>
        <w:t xml:space="preserve">rozporządzenie Parlamentu Europejskiego i Rady (UE, </w:t>
      </w:r>
      <w:proofErr w:type="spellStart"/>
      <w:r w:rsidRPr="006D12EA">
        <w:rPr>
          <w:bCs/>
        </w:rPr>
        <w:t>Euratom</w:t>
      </w:r>
      <w:proofErr w:type="spellEnd"/>
      <w:r w:rsidRPr="006D12EA">
        <w:rPr>
          <w:bCs/>
        </w:rPr>
        <w:t>) 2024/2509 z dnia 23 września 2024 r. w sprawie zasad finansowych mających zastosowanie do budżetu ogólnego Unii</w:t>
      </w:r>
      <w:r>
        <w:rPr>
          <w:rStyle w:val="FootnoteReference"/>
          <w:bCs/>
        </w:rPr>
        <w:footnoteReference w:id="7"/>
      </w:r>
      <w:r>
        <w:rPr>
          <w:bCs/>
        </w:rPr>
        <w:t xml:space="preserve">, </w:t>
      </w:r>
      <w:r w:rsidRPr="00885540">
        <w:t xml:space="preserve">w szczególności jego art. </w:t>
      </w:r>
      <w:r>
        <w:t>59, 118, 26</w:t>
      </w:r>
      <w:bookmarkStart w:id="7" w:name="_GoBack"/>
      <w:bookmarkEnd w:id="7"/>
      <w:r>
        <w:t>6, 267 i 268,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art. 102 Regulaminu i załącznik V do Regulaminu,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drugie sprawozdanie Komisji Kontroli Budżetowej (A10-0003/2024),</w:t>
      </w:r>
    </w:p>
    <w:p w:rsidR="00E323D7" w:rsidRPr="00885540" w:rsidRDefault="00E323D7" w:rsidP="00E323D7">
      <w:pPr>
        <w:pStyle w:val="NormalHanging12a"/>
      </w:pPr>
      <w:r w:rsidRPr="00885540">
        <w:t>1.</w:t>
      </w:r>
      <w:r w:rsidRPr="00885540">
        <w:tab/>
      </w:r>
      <w:proofErr w:type="gramStart"/>
      <w:r w:rsidRPr="00885540">
        <w:t>odmawia</w:t>
      </w:r>
      <w:proofErr w:type="gramEnd"/>
      <w:r w:rsidRPr="00885540">
        <w:t xml:space="preserve"> udzielenia sekretarzowi generalnemu Rady absolutorium z wykonania budżetu Rady Europejskiej i Rady za rok budżetowy 2022;</w:t>
      </w:r>
    </w:p>
    <w:p w:rsidR="00E323D7" w:rsidRPr="00885540" w:rsidRDefault="00E323D7" w:rsidP="00E323D7">
      <w:pPr>
        <w:pStyle w:val="NormalHanging12a"/>
      </w:pPr>
      <w:r w:rsidRPr="00885540">
        <w:t>2.</w:t>
      </w:r>
      <w:r w:rsidRPr="00885540">
        <w:tab/>
      </w:r>
      <w:proofErr w:type="gramStart"/>
      <w:r w:rsidRPr="00885540">
        <w:t>przedstawia</w:t>
      </w:r>
      <w:proofErr w:type="gramEnd"/>
      <w:r w:rsidRPr="00885540">
        <w:t xml:space="preserve"> swoje uwagi w poniższej rezolucji;</w:t>
      </w:r>
    </w:p>
    <w:p w:rsidR="00E323D7" w:rsidRPr="00885540" w:rsidRDefault="00E323D7" w:rsidP="00E323D7">
      <w:pPr>
        <w:pStyle w:val="NormalHanging12a"/>
      </w:pPr>
      <w:r w:rsidRPr="00885540">
        <w:t>3.</w:t>
      </w:r>
      <w:r w:rsidRPr="00885540">
        <w:tab/>
      </w:r>
      <w:proofErr w:type="gramStart"/>
      <w:r w:rsidRPr="00885540">
        <w:t>zobowiązuje</w:t>
      </w:r>
      <w:proofErr w:type="gramEnd"/>
      <w:r w:rsidRPr="00885540">
        <w:t xml:space="preserve"> swoją przewodniczącą do przekazania niniejszej decyzji wraz z rezolucją, która stanowi jej integralną część, Radzie Europejskiej, Radzie, Komisji i Trybunałowi Obrachunkowemu oraz do zarządzenia jej publikacji w </w:t>
      </w:r>
      <w:r w:rsidRPr="00885540">
        <w:rPr>
          <w:i/>
        </w:rPr>
        <w:t>Dzienniku Urzędowym Unii Europejskiej</w:t>
      </w:r>
      <w:r w:rsidRPr="00885540">
        <w:t xml:space="preserve"> (seria L).</w:t>
      </w:r>
    </w:p>
    <w:p w:rsidR="00E323D7" w:rsidRPr="00885540" w:rsidRDefault="00E323D7" w:rsidP="00E323D7"/>
    <w:p w:rsidR="00E323D7" w:rsidRPr="00885540" w:rsidRDefault="00E323D7" w:rsidP="00E323D7">
      <w:pPr>
        <w:pStyle w:val="PageHeading"/>
        <w:sectPr w:rsidR="00E323D7" w:rsidRPr="00885540" w:rsidSect="0088554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323D7" w:rsidRPr="00885540" w:rsidRDefault="00E323D7" w:rsidP="006D12EA">
      <w:pPr>
        <w:pStyle w:val="ATHeading3"/>
      </w:pPr>
      <w:bookmarkStart w:id="8" w:name="_Toc179882825"/>
      <w:r w:rsidRPr="00885540">
        <w:lastRenderedPageBreak/>
        <w:t xml:space="preserve">2. </w:t>
      </w:r>
      <w:r w:rsidR="006D12EA">
        <w:t>Rezolucja</w:t>
      </w:r>
      <w:r w:rsidR="006D12EA" w:rsidRPr="00885540">
        <w:t xml:space="preserve"> Parlamentu Europejskiego</w:t>
      </w:r>
      <w:bookmarkEnd w:id="8"/>
      <w:r w:rsidR="006D12EA">
        <w:t xml:space="preserve"> z dnia 22 października 2024 r. zawierająca</w:t>
      </w:r>
      <w:r w:rsidRPr="00885540">
        <w:t xml:space="preserve"> uwagi stanowiące integralną część decyzji w sprawie absolutorium z wykonania budżetu ogólnego Unii Europejskiej za rok budżetowy 2022, sekcja II – Rada Europejska i Rada</w:t>
      </w:r>
      <w:r w:rsidR="006D12EA">
        <w:t xml:space="preserve"> </w:t>
      </w:r>
      <w:r w:rsidRPr="00885540">
        <w:t>(2023/2131(DEC))</w:t>
      </w:r>
    </w:p>
    <w:p w:rsidR="00E323D7" w:rsidRPr="00885540" w:rsidRDefault="00E323D7" w:rsidP="00E323D7">
      <w:pPr>
        <w:pStyle w:val="EPComma"/>
      </w:pPr>
      <w:r w:rsidRPr="00885540">
        <w:rPr>
          <w:i/>
        </w:rPr>
        <w:t>Parlament Europejski</w:t>
      </w:r>
      <w:r w:rsidRPr="00885540">
        <w:t>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swoją decyzję w sprawie absolutorium z wykonania budżetu ogólnego Unii Europejskiej za rok budżetowy 2022, sekcja II – Rada Europejska i Rada,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art. 102 Regulaminu i załącznik V do Regulaminu,</w:t>
      </w:r>
    </w:p>
    <w:p w:rsidR="00E323D7" w:rsidRPr="00885540" w:rsidRDefault="00E323D7" w:rsidP="00E323D7">
      <w:pPr>
        <w:pStyle w:val="NormalHanging12a"/>
      </w:pPr>
      <w:r w:rsidRPr="00885540">
        <w:t>–</w:t>
      </w:r>
      <w:r w:rsidRPr="00885540">
        <w:tab/>
        <w:t>uwzględniając drugie sprawozdanie Komisji Kontroli Budżetowej (A10-0003/2024),</w:t>
      </w:r>
    </w:p>
    <w:p w:rsidR="00E323D7" w:rsidRPr="00885540" w:rsidRDefault="00E323D7" w:rsidP="00E323D7">
      <w:pPr>
        <w:pStyle w:val="NormalHanging12a"/>
      </w:pPr>
      <w:r w:rsidRPr="00885540">
        <w:t>A.</w:t>
      </w:r>
      <w:r w:rsidRPr="00885540">
        <w:tab/>
      </w:r>
      <w:proofErr w:type="gramStart"/>
      <w:r w:rsidRPr="00885540">
        <w:t>mając</w:t>
      </w:r>
      <w:proofErr w:type="gramEnd"/>
      <w:r w:rsidRPr="00885540">
        <w:t xml:space="preserve"> na uwadze, że w związku z procedurą udzielania absolutorium organ udzielający absolutorium pragnie podkreślić, jak niezwykle istotne jest, aby dalej wzmacniać legitymację demokratyczną instytucji Unii w drodze zwiększania przejrzystości i odpowiedzialności oraz wdrażać koncepcję budżetowania celowego i właściwego zarządzania zasobami ludzkimi;</w:t>
      </w:r>
    </w:p>
    <w:p w:rsidR="00E323D7" w:rsidRPr="00885540" w:rsidRDefault="00E323D7" w:rsidP="00E323D7">
      <w:pPr>
        <w:pStyle w:val="NormalHanging12a"/>
      </w:pPr>
      <w:r w:rsidRPr="00885540">
        <w:t>B.</w:t>
      </w:r>
      <w:r w:rsidRPr="00885540">
        <w:tab/>
        <w:t>mając na uwadze, że zgodnie z art. 319 Traktatu o funkcjonowaniu Unii Europejskiej (TFUE) Parlament Europejski samodzielnie decyduje o udzieleniu absolutorium z wykonania budżetu ogólnego Unii, oraz mając na uwadze, że budżet Rady Europejskiej i Rady jest sekcją budżetu Unii;</w:t>
      </w:r>
    </w:p>
    <w:p w:rsidR="00E323D7" w:rsidRPr="00885540" w:rsidRDefault="00E323D7" w:rsidP="00E323D7">
      <w:pPr>
        <w:pStyle w:val="NormalHanging12a"/>
      </w:pPr>
      <w:r w:rsidRPr="00885540">
        <w:t>C.</w:t>
      </w:r>
      <w:r w:rsidRPr="00885540">
        <w:tab/>
      </w:r>
      <w:proofErr w:type="gramStart"/>
      <w:r w:rsidRPr="00885540">
        <w:t>mając</w:t>
      </w:r>
      <w:proofErr w:type="gramEnd"/>
      <w:r w:rsidRPr="00885540">
        <w:t xml:space="preserve"> na uwadze, że zgodnie z art. 15 ust. 1 Traktatu o Unii Europejskiej Rada Europejska nie pełni funkcji prawodawczych;</w:t>
      </w:r>
    </w:p>
    <w:p w:rsidR="00E323D7" w:rsidRPr="00885540" w:rsidRDefault="00E323D7" w:rsidP="00E323D7">
      <w:pPr>
        <w:pStyle w:val="NormalHanging12a"/>
      </w:pPr>
      <w:r w:rsidRPr="00885540">
        <w:t>D.</w:t>
      </w:r>
      <w:r w:rsidRPr="00885540">
        <w:tab/>
      </w:r>
      <w:proofErr w:type="gramStart"/>
      <w:r w:rsidRPr="00885540">
        <w:t>mając</w:t>
      </w:r>
      <w:proofErr w:type="gramEnd"/>
      <w:r w:rsidRPr="00885540">
        <w:t xml:space="preserve"> na uwadze, że – jak stanowi art. 317 TFUE – Komisja wykonuje budżet Unii na własną odpowiedzialność, zgodnie z zasadą należytego zarządzania finansami, oraz mając na uwadze, że według obowiązujących ram prawnych Komisja ma powierzać innym instytucjom Unii uprawnienia wymagane do wykonywania sekcji budżetu, które się do nich odnoszą;</w:t>
      </w:r>
    </w:p>
    <w:p w:rsidR="00E323D7" w:rsidRPr="00885540" w:rsidRDefault="00E323D7" w:rsidP="00E323D7">
      <w:pPr>
        <w:pStyle w:val="NormalHanging12a"/>
      </w:pPr>
      <w:r w:rsidRPr="00885540">
        <w:t>E.</w:t>
      </w:r>
      <w:r w:rsidRPr="00885540">
        <w:tab/>
      </w:r>
      <w:proofErr w:type="gramStart"/>
      <w:r w:rsidRPr="00885540">
        <w:t>mając</w:t>
      </w:r>
      <w:proofErr w:type="gramEnd"/>
      <w:r w:rsidRPr="00885540">
        <w:t xml:space="preserve"> na uwadze, że zgodnie z art. 235 ust. 4 i art. 240 ust. 2 TFUE Radę Europejską i Radę (dalej „Rada”) wspomaga Sekretariat Generalny Rady, a także mając na uwadze, że sekretarz generalny Rady ponosi pełną odpowiedzialność za należyte zarządzanie środkami zapisanymi w sekcji II budżetu Unii;</w:t>
      </w:r>
    </w:p>
    <w:p w:rsidR="00E323D7" w:rsidRPr="00885540" w:rsidRDefault="00E323D7" w:rsidP="00E323D7">
      <w:pPr>
        <w:pStyle w:val="NormalHanging12a"/>
      </w:pPr>
      <w:r w:rsidRPr="00885540">
        <w:t>F.</w:t>
      </w:r>
      <w:r w:rsidRPr="00885540">
        <w:tab/>
      </w:r>
      <w:proofErr w:type="gramStart"/>
      <w:r w:rsidRPr="00885540">
        <w:t>mając</w:t>
      </w:r>
      <w:proofErr w:type="gramEnd"/>
      <w:r w:rsidRPr="00885540">
        <w:t xml:space="preserve"> na uwadze, że od prawie dwudziestu lat Parlament stosuje ugruntowaną i szanowaną praktykę udzielania absolutorium wszystkim instytucjom, organom i jednostkom organizacyjnym Unii, a także mając na uwadze, że Komisja opowiada się za tym, aby utrzymać praktykę udzielania każdej instytucji, każdemu organowi i każdej jednostce organizacyjnej Unii absolutorium dotyczącego ich wydatków administracyjnych;</w:t>
      </w:r>
    </w:p>
    <w:p w:rsidR="00E323D7" w:rsidRPr="00885540" w:rsidRDefault="00E323D7" w:rsidP="00E323D7">
      <w:pPr>
        <w:pStyle w:val="NormalHanging12a"/>
      </w:pPr>
      <w:r w:rsidRPr="00885540">
        <w:t>G.</w:t>
      </w:r>
      <w:r w:rsidRPr="00885540">
        <w:tab/>
        <w:t>mając na uwadze, że zgodnie z art. 59 ust. 1 rozporządzenia finansowego Komisja powierza innym instytucjom Unii uprawnienia wymagane do wykonywania sekcji budżetu, które się do nich odnoszą;</w:t>
      </w:r>
    </w:p>
    <w:p w:rsidR="00E323D7" w:rsidRPr="00885540" w:rsidRDefault="00E323D7" w:rsidP="00E323D7">
      <w:pPr>
        <w:pStyle w:val="NormalHanging12a"/>
      </w:pPr>
      <w:r w:rsidRPr="00885540">
        <w:t>H.</w:t>
      </w:r>
      <w:r w:rsidRPr="00885540">
        <w:tab/>
      </w:r>
      <w:proofErr w:type="gramStart"/>
      <w:r w:rsidRPr="00885540">
        <w:t>mając</w:t>
      </w:r>
      <w:proofErr w:type="gramEnd"/>
      <w:r w:rsidRPr="00885540">
        <w:t xml:space="preserve"> na uwadze, że z powodu braku gotowości Rady do współpracy w procedurze </w:t>
      </w:r>
      <w:r w:rsidRPr="00885540">
        <w:lastRenderedPageBreak/>
        <w:t>udzielania absolutorium od 2009 r. Parlament jest zmuszony odmawiać udzielenia sekretarzowi generalnemu Rady absolutorium;</w:t>
      </w:r>
    </w:p>
    <w:p w:rsidR="00E323D7" w:rsidRPr="00885540" w:rsidRDefault="00E323D7" w:rsidP="00E323D7">
      <w:pPr>
        <w:pStyle w:val="NormalHanging12a"/>
      </w:pPr>
      <w:r w:rsidRPr="00885540">
        <w:t>I.</w:t>
      </w:r>
      <w:r w:rsidRPr="00885540">
        <w:tab/>
      </w:r>
      <w:proofErr w:type="gramStart"/>
      <w:r w:rsidRPr="00885540">
        <w:t>mając</w:t>
      </w:r>
      <w:proofErr w:type="gramEnd"/>
      <w:r w:rsidRPr="00885540">
        <w:t xml:space="preserve"> na uwadze, że Rada Europejska i Rada jako instytucje unijne i organy, które otrzymują środki z budżetu ogólnego Unii, powinny działać w sposób przejrzysty i ponosić demokratyczną odpowiedzialność przed obywatelami Unii oraz podlegać demokratycznej kontroli wydatkowania środków publicznych;</w:t>
      </w:r>
    </w:p>
    <w:p w:rsidR="00E323D7" w:rsidRPr="00885540" w:rsidRDefault="00E323D7" w:rsidP="00E323D7">
      <w:pPr>
        <w:pStyle w:val="NormalHanging12a"/>
      </w:pPr>
      <w:r w:rsidRPr="00885540">
        <w:t>J.</w:t>
      </w:r>
      <w:r w:rsidRPr="00885540">
        <w:tab/>
        <w:t>mając na uwadze, że w zaleceniu Europejskiego Rzecznika Praw Obywatelskich (dalej „Rzecznik”) wydanym w związku z dochodzeniem strategicznym OI/2/2017/TE dotyczącym przejrzystości procesu legislacyjnego Rady wskazano, że postępowanie Rady, jeśli chodzi o przejrzystość procesu legislacyjnego, stanowi przykład niewłaściwego administrowania i należy je zmienić, aby umożliwić obywatelom śledzenie unijnego procesu legislacyjnego;</w:t>
      </w:r>
    </w:p>
    <w:p w:rsidR="00E323D7" w:rsidRPr="00885540" w:rsidRDefault="00E323D7" w:rsidP="00E323D7">
      <w:pPr>
        <w:pStyle w:val="NormalHanging12a"/>
      </w:pPr>
      <w:r w:rsidRPr="00885540">
        <w:t>K.</w:t>
      </w:r>
      <w:r w:rsidRPr="00885540">
        <w:tab/>
        <w:t>mając na uwadze, że orzecznictwo Trybunału Sprawiedliwości Unii Europejskiej potwierdza prawo podatników i opinii publicznej do otrzymywania informacji o wykorzystaniu dochodów publicznych oraz że Sąd w wyroku z 25 stycznia 2023 r. w sprawie T-163/21</w:t>
      </w:r>
      <w:r w:rsidRPr="00885540">
        <w:rPr>
          <w:rStyle w:val="FootnoteReference"/>
        </w:rPr>
        <w:footnoteReference w:id="8"/>
      </w:r>
      <w:r w:rsidRPr="00885540">
        <w:t xml:space="preserve"> </w:t>
      </w:r>
      <w:r w:rsidRPr="00885540">
        <w:rPr>
          <w:i/>
        </w:rPr>
        <w:t xml:space="preserve">De </w:t>
      </w:r>
      <w:proofErr w:type="spellStart"/>
      <w:r w:rsidRPr="00885540">
        <w:rPr>
          <w:i/>
        </w:rPr>
        <w:t>Capitani</w:t>
      </w:r>
      <w:proofErr w:type="spellEnd"/>
      <w:r w:rsidRPr="00885540">
        <w:t>/</w:t>
      </w:r>
      <w:r w:rsidRPr="00885540">
        <w:rPr>
          <w:i/>
        </w:rPr>
        <w:t>Rada</w:t>
      </w:r>
      <w:r w:rsidRPr="00885540">
        <w:t xml:space="preserve"> stwierdził w odniesieniu do przejrzystości unijnego procesu legislacyjnego, że dokumenty sporządzane przez Radę w jej grupach roboczych mają charakter nie techniczny, lecz ustawodawczy, a zatem podlegają wnioskom o dostęp do dokumentów;</w:t>
      </w:r>
    </w:p>
    <w:p w:rsidR="00E323D7" w:rsidRPr="00885540" w:rsidRDefault="00E323D7" w:rsidP="00E323D7">
      <w:pPr>
        <w:pStyle w:val="NormalHanging12a"/>
      </w:pPr>
      <w:r w:rsidRPr="00885540">
        <w:t>1.</w:t>
      </w:r>
      <w:r w:rsidRPr="00885540">
        <w:tab/>
      </w:r>
      <w:proofErr w:type="gramStart"/>
      <w:r w:rsidRPr="00885540">
        <w:t>wyraża</w:t>
      </w:r>
      <w:proofErr w:type="gramEnd"/>
      <w:r w:rsidRPr="00885540">
        <w:t xml:space="preserve"> głębokie ubolewanie, że od 2009 r. – i ponownie w odniesieniu do roku budżetowego 2022 – Rada wciąż odmawia współpracy z Parlamentem w procedurze udzielania absolutorium, co sprawia, że Parlament nie jest w stanie podjąć świadomej decyzji opartej na poważnej i szczegółowej kontroli wykonania budżetu Rady i tym samym jest zmuszony odmówić udzielenia Radzie absolutorium;</w:t>
      </w:r>
    </w:p>
    <w:p w:rsidR="00E323D7" w:rsidRPr="00885540" w:rsidRDefault="00E323D7" w:rsidP="00E323D7">
      <w:pPr>
        <w:pStyle w:val="NormalHanging12a"/>
      </w:pPr>
      <w:r w:rsidRPr="00885540">
        <w:t>2.</w:t>
      </w:r>
      <w:r w:rsidRPr="00885540">
        <w:tab/>
      </w:r>
      <w:proofErr w:type="gramStart"/>
      <w:r w:rsidRPr="00885540">
        <w:t>odnotowuje</w:t>
      </w:r>
      <w:proofErr w:type="gramEnd"/>
      <w:r w:rsidRPr="00885540">
        <w:t>, że aby umożliwić dokładną kontrolę wykonania budżetu Rady i zarządzania Radą, 28 września 2023 r. odpowiednie służby Parlamentu – w imieniu sprawozdawcy ds. procedury udzielania absolutorium – przekazały Sekretariatowi Rady kwestionariusz zawierający 74 ważne pytania Parlamentu; ponadto zauważa, że podobne kwestionariusze zostały wysłane do wszystkich innych instytucji i wszystkie te instytucje przekazały Parlamentowi szczegółowe odpowiedzi na wszystkie pytania;</w:t>
      </w:r>
    </w:p>
    <w:p w:rsidR="00E323D7" w:rsidRPr="00885540" w:rsidRDefault="00E323D7" w:rsidP="00E323D7">
      <w:pPr>
        <w:pStyle w:val="NormalHanging12a"/>
      </w:pPr>
      <w:r w:rsidRPr="00885540">
        <w:t>3.</w:t>
      </w:r>
      <w:r w:rsidRPr="00885540">
        <w:tab/>
      </w:r>
      <w:proofErr w:type="gramStart"/>
      <w:r w:rsidRPr="00885540">
        <w:t>ubolewa</w:t>
      </w:r>
      <w:proofErr w:type="gramEnd"/>
      <w:r w:rsidRPr="00885540">
        <w:t>, że 12 października 2023 r. Sekretariat Generalny Rady ponownie poinformował Parlament, że nie udzieli odpowiedzi na kwestionariusz Parlamentu i że Rada nie weźmie udziału w zaplanowanym na 25 października 2023 r. wysłuchaniu w ramach procedury udzielania absolutorium, w którym to wysłuchaniu uczestniczyły wszystkie inne zaproszone instytucje;</w:t>
      </w:r>
    </w:p>
    <w:p w:rsidR="00E323D7" w:rsidRPr="00885540" w:rsidRDefault="00E323D7" w:rsidP="00E323D7">
      <w:pPr>
        <w:pStyle w:val="NormalHanging12a"/>
      </w:pPr>
      <w:r w:rsidRPr="00885540">
        <w:t>4.</w:t>
      </w:r>
      <w:r w:rsidRPr="00885540">
        <w:tab/>
      </w:r>
      <w:proofErr w:type="gramStart"/>
      <w:r w:rsidRPr="00885540">
        <w:t>podkreśla</w:t>
      </w:r>
      <w:proofErr w:type="gramEnd"/>
      <w:r w:rsidRPr="00885540">
        <w:t>, że Parlament ma uprawnienia do udzielania absolutorium na podstawie art. 319 TFUE oraz odpowiednich przepisów rozporządzenia finansowego i Regulaminu Parlamentu, zgodnie z obecną interpretacją i praktyką, tzn. ma prawo udzielać absolutorium, aby utrzymać przejrzystość i zapewnić demokratyczną odpowiedzialność przed podatnikami Unii;</w:t>
      </w:r>
    </w:p>
    <w:p w:rsidR="00E323D7" w:rsidRPr="00885540" w:rsidRDefault="00E323D7" w:rsidP="00E323D7">
      <w:pPr>
        <w:pStyle w:val="NormalHanging12a"/>
      </w:pPr>
      <w:r w:rsidRPr="00885540">
        <w:lastRenderedPageBreak/>
        <w:t>5.</w:t>
      </w:r>
      <w:r w:rsidRPr="00885540">
        <w:tab/>
      </w:r>
      <w:proofErr w:type="gramStart"/>
      <w:r w:rsidRPr="00885540">
        <w:t>podkreśla</w:t>
      </w:r>
      <w:proofErr w:type="gramEnd"/>
      <w:r w:rsidRPr="00885540">
        <w:t>, że art. 59 ust. 1 rozporządzenia finansowego stanowi, iż Komisja przyznaje innym instytucjom Unii uprawnienia wymagane do wykonywania sekcji budżetu dotyczących tych instytucji, i w związku z tym uważa za niezrozumiałe, że według Rady to Komisji należy udzielać absolutorium z wykonania budżetu Rady;</w:t>
      </w:r>
    </w:p>
    <w:p w:rsidR="00E323D7" w:rsidRPr="00885540" w:rsidRDefault="00E323D7" w:rsidP="00E323D7">
      <w:pPr>
        <w:pStyle w:val="NormalHanging12a"/>
      </w:pPr>
      <w:r w:rsidRPr="00885540">
        <w:t>6.</w:t>
      </w:r>
      <w:r w:rsidRPr="00885540">
        <w:tab/>
      </w:r>
      <w:proofErr w:type="gramStart"/>
      <w:r w:rsidRPr="00885540">
        <w:t>podkreśla</w:t>
      </w:r>
      <w:proofErr w:type="gramEnd"/>
      <w:r w:rsidRPr="00885540">
        <w:t xml:space="preserve"> ugruntowaną i szanowaną praktykę udzielania absolutorium wszystkim instytucjom, organom i jednostkom organizacyjnym Unii, stosowaną przez Parlament od prawie dwudziestu lat; przypomina, że Komisja oświadczyła, iż nie jest w stanie nadzorować wykonania budżetów pozostałych instytucji Unii; podkreśla ponownie wyrażony przez Komisję pogląd, że należy utrzymać praktykę polegającą na tym, że Parlament udziela każdej instytucji Unii absolutorium w odniesieniu do wydatków administracyjnych;</w:t>
      </w:r>
    </w:p>
    <w:p w:rsidR="00E323D7" w:rsidRPr="00885540" w:rsidRDefault="00E323D7" w:rsidP="00E323D7">
      <w:pPr>
        <w:pStyle w:val="NormalHanging12a"/>
      </w:pPr>
      <w:r w:rsidRPr="00885540">
        <w:t>7.</w:t>
      </w:r>
      <w:r w:rsidRPr="00885540">
        <w:tab/>
      </w:r>
      <w:proofErr w:type="gramStart"/>
      <w:r w:rsidRPr="00885540">
        <w:t>podkreśla</w:t>
      </w:r>
      <w:proofErr w:type="gramEnd"/>
      <w:r w:rsidRPr="00885540">
        <w:t>, że w obecnej sytuacji Parlament może sprawdzić wyłącznie sprawozdania Trybunału i Rzecznika oraz publicznie dostępne informacje na stronie internetowej Rady, ponieważ Rada wciąż postępuje niezgodnie z zasadami i nie współpracuje z Parlamentem, przez co Parlament nie może należycie wykonywać obowiązków i podjąć świadomej decyzji w sprawie udzielenia absolutorium;</w:t>
      </w:r>
    </w:p>
    <w:p w:rsidR="00E323D7" w:rsidRPr="00885540" w:rsidRDefault="00E323D7" w:rsidP="00E323D7">
      <w:pPr>
        <w:pStyle w:val="NormalHanging12a"/>
      </w:pPr>
      <w:r w:rsidRPr="00885540">
        <w:t>8.</w:t>
      </w:r>
      <w:r w:rsidRPr="00885540">
        <w:tab/>
      </w:r>
      <w:proofErr w:type="gramStart"/>
      <w:r w:rsidRPr="00885540">
        <w:t>ubolewa</w:t>
      </w:r>
      <w:proofErr w:type="gramEnd"/>
      <w:r w:rsidRPr="00885540">
        <w:t>, że Rada od ponad dziesięciu lat pokazuje, iż nie ma żadnej woli politycznej do współpracy z Parlamentem w kontekście rocznej procedury udzielania absolutorium; podkreśla, że ta postawa wywarła trwały negatywny wpływ na obie instytucje, zdyskredytowała zarządzanie budżetem Unii i demokratyczną kontrolę nad nim i podważyła zaufanie obywateli do Unii jako podmiotu przejrzystego;</w:t>
      </w:r>
    </w:p>
    <w:p w:rsidR="00E323D7" w:rsidRPr="00885540" w:rsidRDefault="00E323D7" w:rsidP="00E323D7">
      <w:pPr>
        <w:pStyle w:val="NormalHanging12a"/>
      </w:pPr>
      <w:r w:rsidRPr="00885540">
        <w:t>9.</w:t>
      </w:r>
      <w:r w:rsidRPr="00885540">
        <w:tab/>
      </w:r>
      <w:proofErr w:type="gramStart"/>
      <w:r w:rsidRPr="00885540">
        <w:t>ponownie</w:t>
      </w:r>
      <w:proofErr w:type="gramEnd"/>
      <w:r w:rsidRPr="00885540">
        <w:t xml:space="preserve"> wyraża głęboką frustrację z powodu stosunku Rady do procedury udzielania absolutorium, który sprawia, że w czasach gdy niezbędna jest większa przejrzystość, do obywateli Unii dociera nieodpowiedni sygnał; podkreśla, że Rada musi przestrzegać tych samych standardów rozliczalności, jakich oczekuje od innych instytucji Unii;</w:t>
      </w:r>
    </w:p>
    <w:p w:rsidR="00E323D7" w:rsidRPr="00885540" w:rsidRDefault="00E323D7" w:rsidP="00E323D7">
      <w:pPr>
        <w:pStyle w:val="NormalHanging12a"/>
      </w:pPr>
      <w:r w:rsidRPr="00885540">
        <w:t>10.</w:t>
      </w:r>
      <w:r w:rsidRPr="00885540">
        <w:tab/>
      </w:r>
      <w:proofErr w:type="gramStart"/>
      <w:r w:rsidRPr="00885540">
        <w:t>podkreśla</w:t>
      </w:r>
      <w:proofErr w:type="gramEnd"/>
      <w:r w:rsidRPr="00885540">
        <w:t>, że wszystkie pozostałe instytucje Unii uznają i rozumieją zasadę, zgodnie z którą – z uwagi na przekazanie uprawnień w zakresie wykonania budżetu – Parlament ma zarówno prawo, jak i obowiązek kontrolowania budżetów i ich wykonania w ramach procedury udzielania absolutorium; w związku z tym wyraża głębokie niezadowolenie z faktu, że Rada nadal odmawia współpracy z Parlamentem w tym zakresie;</w:t>
      </w:r>
    </w:p>
    <w:p w:rsidR="00E323D7" w:rsidRPr="00885540" w:rsidRDefault="00E323D7" w:rsidP="00E323D7">
      <w:pPr>
        <w:pStyle w:val="NormalHanging12a"/>
      </w:pPr>
      <w:r w:rsidRPr="00885540">
        <w:t>11.</w:t>
      </w:r>
      <w:r w:rsidRPr="00885540">
        <w:tab/>
      </w:r>
      <w:proofErr w:type="gramStart"/>
      <w:r w:rsidRPr="00885540">
        <w:t>przypomina</w:t>
      </w:r>
      <w:proofErr w:type="gramEnd"/>
      <w:r w:rsidRPr="00885540">
        <w:t>, że orzecznictwo Trybunału Sprawiedliwości Unii Europejskiej potwierdza prawo podatników i opinii publicznej do otrzymywania informacji o wykorzystaniu dochodów publicznych; w związku z tym domaga się pełnego poszanowania uprawnień i roli Parlamentu jako gwaranta zasady demokratycznej rozliczalności; wzywa Radę, aby należycie stosowała się do zaleceń przyjętych przez Parlament w kontekście procedury udzielania absolutorium;</w:t>
      </w:r>
    </w:p>
    <w:p w:rsidR="00E323D7" w:rsidRPr="00885540" w:rsidRDefault="00E323D7" w:rsidP="00E323D7">
      <w:pPr>
        <w:pStyle w:val="NormalHanging12a"/>
      </w:pPr>
      <w:r w:rsidRPr="00885540">
        <w:t>12.</w:t>
      </w:r>
      <w:r w:rsidRPr="00885540">
        <w:tab/>
      </w:r>
      <w:proofErr w:type="gramStart"/>
      <w:r w:rsidRPr="00885540">
        <w:t>uważa</w:t>
      </w:r>
      <w:proofErr w:type="gramEnd"/>
      <w:r w:rsidRPr="00885540">
        <w:t>, że procedura udzielania absolutorium mogłaby stać się bardziej zrozumiała i przejrzysta, gdyby dokonano rewizji traktatów, na mocy której Parlamentowi przyznano by wyraźne uprawnienia do udzielania absolutorium wszystkim instytucjom, organom i jednostkom organizacyjnym Unii indywidualnie; podkreśla jednak, że w oczekiwaniu na taką zmianę trzeba poprawić obecną sytuację przez udoskonalenie współpracy międzyinstytucjonalnej w dotychczasowych ramach traktatów, i wzywa Radę do aktywnej współpracy z Parlamentem, aby zaradzić obecnej sytuacji;</w:t>
      </w:r>
    </w:p>
    <w:p w:rsidR="00E323D7" w:rsidRPr="00885540" w:rsidRDefault="00E323D7" w:rsidP="00E323D7">
      <w:pPr>
        <w:pStyle w:val="NormalHanging12a"/>
      </w:pPr>
      <w:r w:rsidRPr="00885540">
        <w:lastRenderedPageBreak/>
        <w:t>13.</w:t>
      </w:r>
      <w:r w:rsidRPr="00885540">
        <w:tab/>
      </w:r>
      <w:proofErr w:type="gramStart"/>
      <w:r w:rsidRPr="00885540">
        <w:t>wzywa</w:t>
      </w:r>
      <w:proofErr w:type="gramEnd"/>
      <w:r w:rsidRPr="00885540">
        <w:t xml:space="preserve"> Radę do jak najszybszego wznowienia negocjacji z Parlamentem na najwyższym szczeblu, z udziałem sekretarzy generalnych i przewodniczących obu instytucji, aby przełamać impas i znaleźć rozwiązanie, które będzie respektować odpowiednie role Parlamentu i Rady w procedurze udzielania absolutorium oraz zapewniać przejrzystość i właściwą demokratyczną kontrolę wykonania budżetu;</w:t>
      </w:r>
    </w:p>
    <w:p w:rsidR="00E323D7" w:rsidRPr="00885540" w:rsidRDefault="00E323D7" w:rsidP="00E323D7">
      <w:pPr>
        <w:pStyle w:val="NormalHanging12a"/>
      </w:pPr>
      <w:r w:rsidRPr="00885540">
        <w:t>14.</w:t>
      </w:r>
      <w:r w:rsidRPr="00885540">
        <w:tab/>
      </w:r>
      <w:proofErr w:type="gramStart"/>
      <w:r w:rsidRPr="00885540">
        <w:t>ubolewa</w:t>
      </w:r>
      <w:proofErr w:type="gramEnd"/>
      <w:r w:rsidRPr="00885540">
        <w:t>, że Rada nie przygotowała się do tego, by zapobiec sytuacji, w której prezydencję Rady sprawuje państwo członkowskie podlegające procedurze przewidzianej w art. 7, i w konsekwencji rząd węgierski niewłaściwie wykorzystuje prezydencję, a zasada lojalnej współpracy jest naruszana;</w:t>
      </w:r>
    </w:p>
    <w:p w:rsidR="00E323D7" w:rsidRPr="00885540" w:rsidRDefault="00E323D7" w:rsidP="00E323D7">
      <w:pPr>
        <w:pStyle w:val="NormalHanging12a"/>
      </w:pPr>
      <w:r w:rsidRPr="00885540">
        <w:t>15.</w:t>
      </w:r>
      <w:r w:rsidRPr="00885540">
        <w:tab/>
      </w:r>
      <w:proofErr w:type="gramStart"/>
      <w:r w:rsidRPr="00885540">
        <w:t>podkreśla</w:t>
      </w:r>
      <w:proofErr w:type="gramEnd"/>
      <w:r w:rsidRPr="00885540">
        <w:t xml:space="preserve">, że uwagi Parlamentu dotyczące priorytetów politycznych – w tym braku wiążących wytycznych dotyczących sponsorowania przez przedsiębiorstwa rotacyjnych prezydencji Rady – zarządzania budżetowego i finansowego, zarządzania wewnętrznego, wyników i kontroli wewnętrznej, zasobów ludzkich, równości – w tym braku równowagi płci – i dobrostanu pracowników, ram etycznych i przejrzystości, cyfryzacji, </w:t>
      </w:r>
      <w:proofErr w:type="spellStart"/>
      <w:r w:rsidRPr="00885540">
        <w:t>cyberbezpieczeństwa</w:t>
      </w:r>
      <w:proofErr w:type="spellEnd"/>
      <w:r w:rsidRPr="00885540">
        <w:t xml:space="preserve"> i ochrony danych, budynków, środowiska i zrównoważonego rozwoju, współpracy międzyinstytucjonalnej i komunikacji, zawarte w rezolucji z 23 kwietnia 2024 r. w sprawie absolutorium, są nadal aktualne;</w:t>
      </w:r>
    </w:p>
    <w:p w:rsidR="00E323D7" w:rsidRPr="00885540" w:rsidRDefault="00E323D7" w:rsidP="006D12EA">
      <w:pPr>
        <w:ind w:left="567" w:hanging="567"/>
      </w:pPr>
      <w:r w:rsidRPr="00885540">
        <w:t>16.</w:t>
      </w:r>
      <w:r w:rsidRPr="00885540">
        <w:tab/>
      </w:r>
      <w:proofErr w:type="gramStart"/>
      <w:r w:rsidRPr="00885540">
        <w:t>ponownie</w:t>
      </w:r>
      <w:proofErr w:type="gramEnd"/>
      <w:r w:rsidRPr="00885540">
        <w:t xml:space="preserve"> stwierdza, że stosowanie procedury jednomyślnego głosowania w Radzie w niektórych obszarach polityki paraliżuje proces decyzyjny Unii, a tym samym czyni ją podatną na szantaż ze strony państw członkowskich, zwłaszcza tych, które nie przestrzegają zasad państwa prawa.</w:t>
      </w:r>
    </w:p>
    <w:sectPr w:rsidR="00E323D7" w:rsidRPr="00885540" w:rsidSect="0088554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D40" w:rsidRPr="00885540" w:rsidRDefault="00ED6D40">
      <w:r w:rsidRPr="00885540">
        <w:separator/>
      </w:r>
    </w:p>
  </w:endnote>
  <w:endnote w:type="continuationSeparator" w:id="0">
    <w:p w:rsidR="00ED6D40" w:rsidRPr="00885540" w:rsidRDefault="00ED6D40">
      <w:r w:rsidRPr="008855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D7" w:rsidRPr="00885540" w:rsidRDefault="00E323D7" w:rsidP="00B128C6">
    <w:pPr>
      <w:pStyle w:val="EPFooter"/>
    </w:pPr>
    <w:r w:rsidRPr="00885540">
      <w:t>PE</w:t>
    </w:r>
    <w:r w:rsidRPr="00885540">
      <w:rPr>
        <w:rStyle w:val="HideTWBExt"/>
      </w:rPr>
      <w:t>&lt;</w:t>
    </w:r>
    <w:proofErr w:type="spellStart"/>
    <w:r w:rsidRPr="00885540">
      <w:rPr>
        <w:rStyle w:val="HideTWBExt"/>
      </w:rPr>
      <w:t>NoPE</w:t>
    </w:r>
    <w:proofErr w:type="spellEnd"/>
    <w:r w:rsidRPr="00885540">
      <w:rPr>
        <w:rStyle w:val="HideTWBExt"/>
      </w:rPr>
      <w:t>&gt;</w:t>
    </w:r>
    <w:r w:rsidRPr="00885540">
      <w:t>761.252</w:t>
    </w:r>
    <w:r w:rsidRPr="00885540">
      <w:rPr>
        <w:rStyle w:val="HideTWBExt"/>
      </w:rPr>
      <w:t>&lt;/</w:t>
    </w:r>
    <w:proofErr w:type="spellStart"/>
    <w:r w:rsidRPr="00885540">
      <w:rPr>
        <w:rStyle w:val="HideTWBExt"/>
      </w:rPr>
      <w:t>NoPE</w:t>
    </w:r>
    <w:proofErr w:type="spellEnd"/>
    <w:r w:rsidRPr="00885540">
      <w:rPr>
        <w:rStyle w:val="HideTWBExt"/>
      </w:rPr>
      <w:t>&gt;&lt;Version&gt;</w:t>
    </w:r>
    <w:r w:rsidRPr="00885540">
      <w:t>v02-00</w:t>
    </w:r>
    <w:r w:rsidRPr="00885540">
      <w:rPr>
        <w:rStyle w:val="HideTWBExt"/>
      </w:rPr>
      <w:t>&lt;/Version&gt;</w:t>
    </w:r>
    <w:r w:rsidRPr="00885540">
      <w:tab/>
    </w:r>
    <w:r w:rsidRPr="00885540">
      <w:fldChar w:fldCharType="begin"/>
    </w:r>
    <w:r w:rsidRPr="00885540">
      <w:instrText xml:space="preserve"> PAGE  \* MERGEFORMAT </w:instrText>
    </w:r>
    <w:r w:rsidRPr="00885540">
      <w:fldChar w:fldCharType="separate"/>
    </w:r>
    <w:r w:rsidR="00885540" w:rsidRPr="00885540">
      <w:rPr>
        <w:noProof/>
      </w:rPr>
      <w:t>2</w:t>
    </w:r>
    <w:r w:rsidRPr="00885540">
      <w:fldChar w:fldCharType="end"/>
    </w:r>
    <w:r w:rsidRPr="00885540">
      <w:t>/</w:t>
    </w:r>
    <w:fldSimple w:instr=" NUMPAGES  \* MERGEFORMAT ">
      <w:r w:rsidR="00885540" w:rsidRPr="00885540">
        <w:rPr>
          <w:noProof/>
        </w:rPr>
        <w:t>3</w:t>
      </w:r>
    </w:fldSimple>
    <w:r w:rsidRPr="00885540">
      <w:tab/>
    </w:r>
    <w:r w:rsidRPr="00885540">
      <w:rPr>
        <w:rStyle w:val="HideTWBExt"/>
      </w:rPr>
      <w:t>&lt;PathFdR&gt;</w:t>
    </w:r>
    <w:r w:rsidRPr="00885540">
      <w:t>RR\1307728PL.docx</w:t>
    </w:r>
    <w:r w:rsidRPr="00885540">
      <w:rPr>
        <w:rStyle w:val="HideTWBExt"/>
      </w:rPr>
      <w:t>&lt;/</w:t>
    </w:r>
    <w:proofErr w:type="spellStart"/>
    <w:r w:rsidRPr="00885540">
      <w:rPr>
        <w:rStyle w:val="HideTWBExt"/>
      </w:rPr>
      <w:t>PathFdR</w:t>
    </w:r>
    <w:proofErr w:type="spellEnd"/>
    <w:r w:rsidRPr="00885540">
      <w:rPr>
        <w:rStyle w:val="HideTWBExt"/>
      </w:rPr>
      <w:t>&gt;</w:t>
    </w:r>
  </w:p>
  <w:p w:rsidR="00E323D7" w:rsidRPr="00885540" w:rsidRDefault="00E323D7" w:rsidP="00B128C6">
    <w:pPr>
      <w:pStyle w:val="EPFooter2"/>
    </w:pPr>
    <w:r w:rsidRPr="00885540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D7" w:rsidRPr="00885540" w:rsidRDefault="00E323D7" w:rsidP="00B128C6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D7" w:rsidRPr="00885540" w:rsidRDefault="00E323D7" w:rsidP="00B128C6">
    <w:pPr>
      <w:pStyle w:val="EPFooter"/>
    </w:pPr>
    <w:r w:rsidRPr="00885540">
      <w:rPr>
        <w:rStyle w:val="HideTWBExt"/>
      </w:rPr>
      <w:t>&lt;PathFdR&gt;</w:t>
    </w:r>
    <w:r w:rsidRPr="00885540">
      <w:t>RR\1307728PL.docx</w:t>
    </w:r>
    <w:r w:rsidRPr="00885540">
      <w:rPr>
        <w:rStyle w:val="HideTWBExt"/>
      </w:rPr>
      <w:t>&lt;/</w:t>
    </w:r>
    <w:proofErr w:type="spellStart"/>
    <w:r w:rsidRPr="00885540">
      <w:rPr>
        <w:rStyle w:val="HideTWBExt"/>
      </w:rPr>
      <w:t>PathFdR</w:t>
    </w:r>
    <w:proofErr w:type="spellEnd"/>
    <w:r w:rsidRPr="00885540">
      <w:rPr>
        <w:rStyle w:val="HideTWBExt"/>
      </w:rPr>
      <w:t>&gt;</w:t>
    </w:r>
    <w:r w:rsidRPr="00885540">
      <w:tab/>
    </w:r>
    <w:r w:rsidRPr="00885540">
      <w:tab/>
      <w:t>PE</w:t>
    </w:r>
    <w:r w:rsidRPr="00885540">
      <w:rPr>
        <w:rStyle w:val="HideTWBExt"/>
      </w:rPr>
      <w:t>&lt;</w:t>
    </w:r>
    <w:proofErr w:type="spellStart"/>
    <w:r w:rsidRPr="00885540">
      <w:rPr>
        <w:rStyle w:val="HideTWBExt"/>
      </w:rPr>
      <w:t>NoPE</w:t>
    </w:r>
    <w:proofErr w:type="spellEnd"/>
    <w:r w:rsidRPr="00885540">
      <w:rPr>
        <w:rStyle w:val="HideTWBExt"/>
      </w:rPr>
      <w:t>&gt;</w:t>
    </w:r>
    <w:r w:rsidRPr="00885540">
      <w:t>761.252</w:t>
    </w:r>
    <w:r w:rsidRPr="00885540">
      <w:rPr>
        <w:rStyle w:val="HideTWBExt"/>
      </w:rPr>
      <w:t>&lt;/</w:t>
    </w:r>
    <w:proofErr w:type="spellStart"/>
    <w:r w:rsidRPr="00885540">
      <w:rPr>
        <w:rStyle w:val="HideTWBExt"/>
      </w:rPr>
      <w:t>NoPE</w:t>
    </w:r>
    <w:proofErr w:type="spellEnd"/>
    <w:r w:rsidRPr="00885540">
      <w:rPr>
        <w:rStyle w:val="HideTWBExt"/>
      </w:rPr>
      <w:t>&gt;&lt;Version&gt;</w:t>
    </w:r>
    <w:r w:rsidRPr="00885540">
      <w:t>v02-00</w:t>
    </w:r>
    <w:r w:rsidRPr="00885540">
      <w:rPr>
        <w:rStyle w:val="HideTWBExt"/>
      </w:rPr>
      <w:t>&lt;/Version&gt;</w:t>
    </w:r>
  </w:p>
  <w:p w:rsidR="00E323D7" w:rsidRPr="00885540" w:rsidRDefault="00E323D7" w:rsidP="00B128C6">
    <w:pPr>
      <w:pStyle w:val="EPFooter2"/>
    </w:pPr>
    <w:r w:rsidRPr="00885540">
      <w:t>PL</w:t>
    </w:r>
    <w:r w:rsidRPr="00885540">
      <w:tab/>
    </w:r>
    <w:r w:rsidRPr="00885540">
      <w:rPr>
        <w:b w:val="0"/>
        <w:i/>
        <w:color w:val="C0C0C0"/>
        <w:sz w:val="22"/>
      </w:rPr>
      <w:t>Zjednoczona w różnorodności</w:t>
    </w:r>
    <w:r w:rsidRPr="00885540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54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54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5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D40" w:rsidRPr="00885540" w:rsidRDefault="00ED6D40">
      <w:r w:rsidRPr="00885540">
        <w:separator/>
      </w:r>
    </w:p>
  </w:footnote>
  <w:footnote w:type="continuationSeparator" w:id="0">
    <w:p w:rsidR="00ED6D40" w:rsidRPr="00885540" w:rsidRDefault="00ED6D40">
      <w:r w:rsidRPr="00885540">
        <w:continuationSeparator/>
      </w:r>
    </w:p>
  </w:footnote>
  <w:footnote w:id="1">
    <w:p w:rsidR="00E323D7" w:rsidRPr="00885540" w:rsidRDefault="00E323D7" w:rsidP="00885540">
      <w:pPr>
        <w:pStyle w:val="FootnoteText"/>
        <w:ind w:left="567" w:hanging="567"/>
        <w:rPr>
          <w:sz w:val="24"/>
          <w:lang w:val="pl-PL"/>
        </w:rPr>
      </w:pPr>
      <w:r w:rsidRPr="00885540">
        <w:rPr>
          <w:rStyle w:val="FootnoteReference"/>
          <w:sz w:val="24"/>
          <w:lang w:val="pl-PL"/>
        </w:rPr>
        <w:footnoteRef/>
      </w:r>
      <w:r w:rsidR="00885540" w:rsidRPr="00885540">
        <w:rPr>
          <w:sz w:val="24"/>
          <w:lang w:val="pl-PL"/>
        </w:rPr>
        <w:t xml:space="preserve"> </w:t>
      </w:r>
      <w:r w:rsidR="00885540" w:rsidRPr="00885540">
        <w:rPr>
          <w:sz w:val="24"/>
          <w:lang w:val="pl-PL"/>
        </w:rPr>
        <w:tab/>
      </w:r>
      <w:r w:rsidRPr="00885540">
        <w:rPr>
          <w:sz w:val="24"/>
          <w:lang w:val="pl-PL"/>
        </w:rPr>
        <w:t>Dz.U. L 45 z 24.2.2022.</w:t>
      </w:r>
    </w:p>
  </w:footnote>
  <w:footnote w:id="2">
    <w:p w:rsidR="00E323D7" w:rsidRPr="00885540" w:rsidRDefault="00E323D7" w:rsidP="00885540">
      <w:pPr>
        <w:pStyle w:val="FootnoteText"/>
        <w:ind w:left="567" w:hanging="567"/>
        <w:rPr>
          <w:sz w:val="24"/>
          <w:lang w:val="pl-PL"/>
        </w:rPr>
      </w:pPr>
      <w:r w:rsidRPr="00885540">
        <w:rPr>
          <w:rStyle w:val="FootnoteReference"/>
          <w:sz w:val="24"/>
          <w:lang w:val="pl-PL"/>
        </w:rPr>
        <w:footnoteRef/>
      </w:r>
      <w:r w:rsidR="00885540" w:rsidRPr="00885540">
        <w:rPr>
          <w:sz w:val="24"/>
          <w:lang w:val="pl-PL"/>
        </w:rPr>
        <w:t xml:space="preserve"> </w:t>
      </w:r>
      <w:r w:rsidR="00885540" w:rsidRPr="00885540">
        <w:rPr>
          <w:sz w:val="24"/>
          <w:lang w:val="pl-PL"/>
        </w:rPr>
        <w:tab/>
      </w:r>
      <w:r w:rsidRPr="00885540">
        <w:rPr>
          <w:sz w:val="24"/>
          <w:lang w:val="pl-PL"/>
        </w:rPr>
        <w:t>Dz.U. C, C/2023/2, 12.10.2023.</w:t>
      </w:r>
    </w:p>
  </w:footnote>
  <w:footnote w:id="3">
    <w:p w:rsidR="00E323D7" w:rsidRPr="00885540" w:rsidRDefault="00E323D7" w:rsidP="00885540">
      <w:pPr>
        <w:pStyle w:val="FootnoteText"/>
        <w:ind w:left="567" w:hanging="567"/>
        <w:rPr>
          <w:sz w:val="24"/>
          <w:lang w:val="pl-PL"/>
        </w:rPr>
      </w:pPr>
      <w:r w:rsidRPr="00885540">
        <w:rPr>
          <w:rStyle w:val="FootnoteReference"/>
          <w:sz w:val="24"/>
          <w:lang w:val="pl-PL"/>
        </w:rPr>
        <w:footnoteRef/>
      </w:r>
      <w:r w:rsidR="00885540" w:rsidRPr="00885540">
        <w:rPr>
          <w:sz w:val="24"/>
          <w:lang w:val="pl-PL"/>
        </w:rPr>
        <w:t xml:space="preserve"> </w:t>
      </w:r>
      <w:r w:rsidR="00885540" w:rsidRPr="00885540">
        <w:rPr>
          <w:sz w:val="24"/>
          <w:lang w:val="pl-PL"/>
        </w:rPr>
        <w:tab/>
      </w:r>
      <w:r w:rsidRPr="00885540">
        <w:rPr>
          <w:sz w:val="24"/>
          <w:lang w:val="pl-PL"/>
        </w:rPr>
        <w:t>Dz.U. C, C/2023/103, 4.10.2023.</w:t>
      </w:r>
    </w:p>
  </w:footnote>
  <w:footnote w:id="4">
    <w:p w:rsidR="00E323D7" w:rsidRPr="00885540" w:rsidRDefault="00E323D7" w:rsidP="00885540">
      <w:pPr>
        <w:pStyle w:val="FootnoteText"/>
        <w:ind w:left="567" w:hanging="567"/>
        <w:rPr>
          <w:sz w:val="24"/>
          <w:lang w:val="pl-PL"/>
        </w:rPr>
      </w:pPr>
      <w:r w:rsidRPr="00885540">
        <w:rPr>
          <w:rStyle w:val="FootnoteReference"/>
          <w:sz w:val="24"/>
          <w:lang w:val="pl-PL"/>
        </w:rPr>
        <w:footnoteRef/>
      </w:r>
      <w:r w:rsidR="00885540" w:rsidRPr="00885540">
        <w:rPr>
          <w:sz w:val="24"/>
          <w:lang w:val="pl-PL"/>
        </w:rPr>
        <w:t xml:space="preserve"> </w:t>
      </w:r>
      <w:r w:rsidR="00885540" w:rsidRPr="00885540">
        <w:rPr>
          <w:sz w:val="24"/>
          <w:lang w:val="pl-PL"/>
        </w:rPr>
        <w:tab/>
      </w:r>
      <w:r w:rsidRPr="00885540">
        <w:rPr>
          <w:sz w:val="24"/>
          <w:lang w:val="pl-PL"/>
        </w:rPr>
        <w:t>Dz.U. C, C/2023/112, 12.10.2023.</w:t>
      </w:r>
    </w:p>
  </w:footnote>
  <w:footnote w:id="5">
    <w:p w:rsidR="00E323D7" w:rsidRPr="00885540" w:rsidRDefault="00E323D7" w:rsidP="00885540">
      <w:pPr>
        <w:pStyle w:val="FootnoteText"/>
        <w:ind w:left="567" w:hanging="567"/>
        <w:rPr>
          <w:sz w:val="24"/>
          <w:lang w:val="pl-PL"/>
        </w:rPr>
      </w:pPr>
      <w:r w:rsidRPr="00885540">
        <w:rPr>
          <w:rStyle w:val="FootnoteReference"/>
          <w:sz w:val="24"/>
          <w:lang w:val="pl-PL"/>
        </w:rPr>
        <w:footnoteRef/>
      </w:r>
      <w:r w:rsidR="00885540" w:rsidRPr="00885540">
        <w:rPr>
          <w:sz w:val="24"/>
          <w:lang w:val="pl-PL"/>
        </w:rPr>
        <w:t xml:space="preserve"> </w:t>
      </w:r>
      <w:r w:rsidR="00885540" w:rsidRPr="00885540">
        <w:rPr>
          <w:sz w:val="24"/>
          <w:lang w:val="pl-PL"/>
        </w:rPr>
        <w:tab/>
      </w:r>
      <w:r w:rsidRPr="00885540">
        <w:rPr>
          <w:sz w:val="24"/>
          <w:lang w:val="pl-PL"/>
        </w:rPr>
        <w:t>Teksty przyjęte, P9_TA(2024)0288.</w:t>
      </w:r>
    </w:p>
  </w:footnote>
  <w:footnote w:id="6">
    <w:p w:rsidR="00E323D7" w:rsidRPr="00885540" w:rsidRDefault="00E323D7" w:rsidP="00885540">
      <w:pPr>
        <w:pStyle w:val="FootnoteText"/>
        <w:ind w:left="567" w:hanging="567"/>
        <w:rPr>
          <w:sz w:val="24"/>
          <w:lang w:val="pl-PL"/>
        </w:rPr>
      </w:pPr>
      <w:r w:rsidRPr="00885540">
        <w:rPr>
          <w:rStyle w:val="FootnoteReference"/>
          <w:sz w:val="24"/>
          <w:lang w:val="pl-PL"/>
        </w:rPr>
        <w:footnoteRef/>
      </w:r>
      <w:r w:rsidR="00885540" w:rsidRPr="00885540">
        <w:rPr>
          <w:sz w:val="24"/>
          <w:lang w:val="pl-PL"/>
        </w:rPr>
        <w:t xml:space="preserve"> </w:t>
      </w:r>
      <w:r w:rsidR="00885540" w:rsidRPr="00885540">
        <w:rPr>
          <w:sz w:val="24"/>
          <w:lang w:val="pl-PL"/>
        </w:rPr>
        <w:tab/>
      </w:r>
      <w:r w:rsidRPr="00885540">
        <w:rPr>
          <w:sz w:val="24"/>
          <w:lang w:val="pl-PL"/>
        </w:rPr>
        <w:t xml:space="preserve">Dz.U. L 193 z 30.7.2018, </w:t>
      </w:r>
      <w:proofErr w:type="gramStart"/>
      <w:r w:rsidRPr="00885540">
        <w:rPr>
          <w:sz w:val="24"/>
          <w:lang w:val="pl-PL"/>
        </w:rPr>
        <w:t>s</w:t>
      </w:r>
      <w:proofErr w:type="gramEnd"/>
      <w:r w:rsidRPr="00885540">
        <w:rPr>
          <w:sz w:val="24"/>
          <w:lang w:val="pl-PL"/>
        </w:rPr>
        <w:t>. 1.</w:t>
      </w:r>
    </w:p>
  </w:footnote>
  <w:footnote w:id="7">
    <w:p w:rsidR="006D12EA" w:rsidRPr="006D12EA" w:rsidRDefault="006D12EA" w:rsidP="006D12EA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6D12EA">
        <w:rPr>
          <w:lang w:val="pl-PL"/>
        </w:rPr>
        <w:t xml:space="preserve"> </w:t>
      </w:r>
      <w:r w:rsidRPr="006D12EA">
        <w:rPr>
          <w:lang w:val="pl-PL"/>
        </w:rPr>
        <w:tab/>
      </w:r>
      <w:r w:rsidRPr="006D12EA">
        <w:rPr>
          <w:sz w:val="24"/>
          <w:szCs w:val="24"/>
          <w:lang w:val="pl-PL"/>
        </w:rPr>
        <w:t xml:space="preserve">Dz.U. L, 2024/2509, 26.9.2024, </w:t>
      </w:r>
      <w:r w:rsidRPr="006D12EA">
        <w:rPr>
          <w:iCs/>
          <w:sz w:val="24"/>
          <w:szCs w:val="24"/>
          <w:lang w:val="pl-PL"/>
        </w:rPr>
        <w:t>ELI</w:t>
      </w:r>
      <w:proofErr w:type="gramStart"/>
      <w:r w:rsidRPr="006D12EA">
        <w:rPr>
          <w:iCs/>
          <w:sz w:val="24"/>
          <w:szCs w:val="24"/>
          <w:lang w:val="pl-PL"/>
        </w:rPr>
        <w:t>: </w:t>
      </w:r>
      <w:r w:rsidRPr="006D12EA">
        <w:rPr>
          <w:iCs/>
          <w:sz w:val="24"/>
          <w:szCs w:val="24"/>
          <w:lang w:val="pl-PL"/>
        </w:rPr>
        <w:fldChar w:fldCharType="begin"/>
      </w:r>
      <w:r w:rsidRPr="006D12EA">
        <w:rPr>
          <w:iCs/>
          <w:sz w:val="24"/>
          <w:szCs w:val="24"/>
          <w:lang w:val="pl-PL"/>
        </w:rPr>
        <w:instrText xml:space="preserve"> HYPERLINK "http://data.europa.eu/eli/reg/2024/2509/oj" \o "Umożliwia dostęp do tego dokumentu za pośrednictwem URI w s</w:instrText>
      </w:r>
      <w:proofErr w:type="gramEnd"/>
      <w:r w:rsidRPr="006D12EA">
        <w:rPr>
          <w:iCs/>
          <w:sz w:val="24"/>
          <w:szCs w:val="24"/>
          <w:lang w:val="pl-PL"/>
        </w:rPr>
        <w:instrText xml:space="preserve">ystemie ELI." \t "_blank" </w:instrText>
      </w:r>
      <w:r w:rsidRPr="006D12EA">
        <w:rPr>
          <w:iCs/>
          <w:sz w:val="24"/>
          <w:szCs w:val="24"/>
          <w:lang w:val="pl-PL"/>
        </w:rPr>
        <w:fldChar w:fldCharType="separate"/>
      </w:r>
      <w:r w:rsidRPr="006D12EA">
        <w:rPr>
          <w:rStyle w:val="Hyperlink"/>
          <w:iCs/>
          <w:sz w:val="24"/>
          <w:szCs w:val="24"/>
          <w:lang w:val="pl-PL"/>
        </w:rPr>
        <w:t>http://data.europa.eu/eli/reg/2024/2509/oj</w:t>
      </w:r>
      <w:r w:rsidRPr="006D12EA">
        <w:rPr>
          <w:sz w:val="24"/>
          <w:szCs w:val="24"/>
          <w:lang w:val="pl-PL"/>
        </w:rPr>
        <w:fldChar w:fldCharType="end"/>
      </w:r>
      <w:r>
        <w:rPr>
          <w:sz w:val="24"/>
          <w:szCs w:val="24"/>
          <w:lang w:val="pl-PL"/>
        </w:rPr>
        <w:t>.</w:t>
      </w:r>
    </w:p>
  </w:footnote>
  <w:footnote w:id="8">
    <w:p w:rsidR="00E323D7" w:rsidRPr="00885540" w:rsidRDefault="00E323D7" w:rsidP="00885540">
      <w:pPr>
        <w:pStyle w:val="FootnoteText"/>
        <w:ind w:left="567" w:hanging="567"/>
        <w:rPr>
          <w:sz w:val="24"/>
          <w:lang w:val="pl-PL"/>
        </w:rPr>
      </w:pPr>
      <w:r w:rsidRPr="00885540">
        <w:rPr>
          <w:rStyle w:val="FootnoteReference"/>
          <w:sz w:val="24"/>
          <w:lang w:val="pl-PL"/>
        </w:rPr>
        <w:footnoteRef/>
      </w:r>
      <w:r w:rsidR="00885540" w:rsidRPr="00885540">
        <w:rPr>
          <w:sz w:val="24"/>
          <w:lang w:val="pl-PL"/>
        </w:rPr>
        <w:t xml:space="preserve"> </w:t>
      </w:r>
      <w:r w:rsidR="00885540" w:rsidRPr="00885540">
        <w:rPr>
          <w:sz w:val="24"/>
          <w:lang w:val="pl-PL"/>
        </w:rPr>
        <w:tab/>
      </w:r>
      <w:r w:rsidRPr="00885540">
        <w:rPr>
          <w:sz w:val="24"/>
          <w:lang w:val="pl-PL"/>
        </w:rPr>
        <w:t xml:space="preserve">Wyrok Sądu z dnia 25 stycznia 2023 r., </w:t>
      </w:r>
      <w:r w:rsidRPr="00885540">
        <w:rPr>
          <w:i/>
          <w:sz w:val="24"/>
          <w:lang w:val="pl-PL"/>
        </w:rPr>
        <w:t xml:space="preserve">De </w:t>
      </w:r>
      <w:proofErr w:type="spellStart"/>
      <w:r w:rsidRPr="00885540">
        <w:rPr>
          <w:i/>
          <w:sz w:val="24"/>
          <w:lang w:val="pl-PL"/>
        </w:rPr>
        <w:t>Capitani</w:t>
      </w:r>
      <w:proofErr w:type="spellEnd"/>
      <w:r w:rsidRPr="00885540">
        <w:rPr>
          <w:sz w:val="24"/>
          <w:lang w:val="pl-PL"/>
        </w:rPr>
        <w:t>/</w:t>
      </w:r>
      <w:r w:rsidRPr="00885540">
        <w:rPr>
          <w:i/>
          <w:sz w:val="24"/>
          <w:lang w:val="pl-PL"/>
        </w:rPr>
        <w:t>Rada</w:t>
      </w:r>
      <w:r w:rsidRPr="00885540">
        <w:rPr>
          <w:sz w:val="24"/>
          <w:lang w:val="pl-PL"/>
        </w:rPr>
        <w:t>, T-163/21, CLI</w:t>
      </w:r>
      <w:proofErr w:type="gramStart"/>
      <w:r w:rsidRPr="00885540">
        <w:rPr>
          <w:sz w:val="24"/>
          <w:lang w:val="pl-PL"/>
        </w:rPr>
        <w:t>:EU</w:t>
      </w:r>
      <w:proofErr w:type="gramEnd"/>
      <w:r w:rsidRPr="00885540">
        <w:rPr>
          <w:sz w:val="24"/>
          <w:lang w:val="pl-PL"/>
        </w:rPr>
        <w:t>:T:2023:15.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D7" w:rsidRPr="00885540" w:rsidRDefault="00E323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D7" w:rsidRPr="00885540" w:rsidRDefault="00E323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3D7" w:rsidRPr="00885540" w:rsidRDefault="00E323D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540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540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55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4"/>
    <w:docVar w:name="dvlangue" w:val="PL"/>
    <w:docVar w:name="dvnumam" w:val="0"/>
    <w:docVar w:name="dvpe" w:val="761.252"/>
    <w:docVar w:name="dvrapporteur" w:val="Sprawozdawca: "/>
    <w:docVar w:name="dvstar" w:val="??"/>
    <w:docVar w:name="dvtitre" w:val="Decyzja Parlamentu Europejskiego z dnia  2024 r. w sprawie absolutorium z wykonania budżetu ogólnego Unii Europejskiej za rok budżetowy 2022, sekcja II – Rada Europejska i Rada(2023/2131(DEC))"/>
  </w:docVars>
  <w:rsids>
    <w:rsidRoot w:val="00ED6D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2E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540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522"/>
    <w:rsid w:val="00D56C11"/>
    <w:rsid w:val="00D834A0"/>
    <w:rsid w:val="00D872DF"/>
    <w:rsid w:val="00D91E21"/>
    <w:rsid w:val="00DA7FCD"/>
    <w:rsid w:val="00E323D7"/>
    <w:rsid w:val="00E365E1"/>
    <w:rsid w:val="00E820A4"/>
    <w:rsid w:val="00EB006A"/>
    <w:rsid w:val="00EB4772"/>
    <w:rsid w:val="00ED169E"/>
    <w:rsid w:val="00ED4235"/>
    <w:rsid w:val="00ED6D4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CD160"/>
  <w15:chartTrackingRefBased/>
  <w15:docId w15:val="{7FAE6130-FBF2-4A52-A1F6-436156DA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323D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323D7"/>
    <w:pPr>
      <w:spacing w:before="480" w:after="240"/>
    </w:pPr>
  </w:style>
  <w:style w:type="paragraph" w:customStyle="1" w:styleId="PageHeading">
    <w:name w:val="PageHeading"/>
    <w:basedOn w:val="Normal"/>
    <w:rsid w:val="00E323D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323D7"/>
    <w:rPr>
      <w:b/>
    </w:rPr>
  </w:style>
  <w:style w:type="paragraph" w:customStyle="1" w:styleId="NormalHanging12a">
    <w:name w:val="NormalHanging12a"/>
    <w:basedOn w:val="Normal"/>
    <w:link w:val="NormalHanging12aChar"/>
    <w:rsid w:val="00E323D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3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23D7"/>
    <w:rPr>
      <w:sz w:val="24"/>
      <w:lang w:val="pl-PL"/>
    </w:rPr>
  </w:style>
  <w:style w:type="paragraph" w:customStyle="1" w:styleId="EPFooter">
    <w:name w:val="EPFooter"/>
    <w:basedOn w:val="Normal"/>
    <w:rsid w:val="00E323D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E323D7"/>
    <w:rPr>
      <w:sz w:val="24"/>
      <w:lang w:val="pl-PL"/>
    </w:rPr>
  </w:style>
  <w:style w:type="character" w:styleId="Hyperlink">
    <w:name w:val="Hyperlink"/>
    <w:basedOn w:val="DefaultParagraphFont"/>
    <w:uiPriority w:val="99"/>
    <w:unhideWhenUsed/>
    <w:rsid w:val="006D12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03E8E-C9DF-44C1-ABDA-73AD59CD0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2024-10-22T10:28:00Z</dcterms:created>
  <dcterms:modified xsi:type="dcterms:W3CDTF">2024-10-22T10:28:00Z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A10-0003/2024</vt:lpwstr>
  </property>
  <property fmtid="{D5CDD505-2E9C-101B-9397-08002B2CF9AE}" pid="4" name="&lt;Type&gt;">
    <vt:lpwstr>RR</vt:lpwstr>
  </property>
</Properties>
</file>