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0FCC" w14:paraId="04774C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F80E30" w14:textId="77777777" w:rsidR="00751A4A" w:rsidRPr="000C0FCC" w:rsidRDefault="00C34165" w:rsidP="0010095E">
            <w:pPr>
              <w:pStyle w:val="EPName"/>
            </w:pPr>
            <w:bookmarkStart w:id="0" w:name="_GoBack"/>
            <w:bookmarkEnd w:id="0"/>
            <w:r w:rsidRPr="000C0FCC">
              <w:t>Parlamento Europeu</w:t>
            </w:r>
          </w:p>
          <w:p w14:paraId="314529AB" w14:textId="77777777" w:rsidR="00751A4A" w:rsidRPr="000C0F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0FCC">
              <w:t>2024</w:t>
            </w:r>
            <w:r w:rsidR="00817416" w:rsidRPr="000C0FCC">
              <w:t>-202</w:t>
            </w:r>
            <w:r w:rsidRPr="000C0FCC">
              <w:t>9</w:t>
            </w:r>
          </w:p>
        </w:tc>
        <w:tc>
          <w:tcPr>
            <w:tcW w:w="2268" w:type="dxa"/>
            <w:shd w:val="clear" w:color="auto" w:fill="auto"/>
          </w:tcPr>
          <w:p w14:paraId="455C640E" w14:textId="77777777" w:rsidR="00751A4A" w:rsidRPr="000C0FCC" w:rsidRDefault="00187494" w:rsidP="0010095E">
            <w:pPr>
              <w:pStyle w:val="EPLogo"/>
            </w:pPr>
            <w:r w:rsidRPr="000C0FCC">
              <w:rPr>
                <w:noProof/>
                <w:lang w:val="en-GB"/>
              </w:rPr>
              <w:drawing>
                <wp:inline distT="0" distB="0" distL="0" distR="0" wp14:anchorId="75328698" wp14:editId="2E6262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B4DA96" w14:textId="77777777" w:rsidR="00D058B8" w:rsidRPr="000C0FCC" w:rsidRDefault="00D058B8" w:rsidP="004C5D52">
      <w:pPr>
        <w:pStyle w:val="LineTop"/>
      </w:pPr>
    </w:p>
    <w:p w14:paraId="08329432" w14:textId="77777777" w:rsidR="00680577" w:rsidRPr="000C0FCC" w:rsidRDefault="00C34165" w:rsidP="00680577">
      <w:pPr>
        <w:pStyle w:val="EPBodyTA1"/>
      </w:pPr>
      <w:r w:rsidRPr="000C0FCC">
        <w:t>TEXTOS APROVADOS</w:t>
      </w:r>
    </w:p>
    <w:p w14:paraId="176C04A1" w14:textId="77777777" w:rsidR="00D058B8" w:rsidRPr="000C0FCC" w:rsidRDefault="00D058B8" w:rsidP="00D058B8">
      <w:pPr>
        <w:pStyle w:val="LineBottom"/>
      </w:pPr>
    </w:p>
    <w:p w14:paraId="25FA4C63" w14:textId="09FE5C25" w:rsidR="00C34165" w:rsidRPr="000C0FCC" w:rsidRDefault="00C34165" w:rsidP="00C34165">
      <w:pPr>
        <w:pStyle w:val="ATHeading1"/>
      </w:pPr>
      <w:bookmarkStart w:id="1" w:name="TANumber"/>
      <w:r w:rsidRPr="000C0FCC">
        <w:t>P10_TA(2024)</w:t>
      </w:r>
      <w:bookmarkEnd w:id="1"/>
      <w:r w:rsidR="00012C99" w:rsidRPr="000C0FCC">
        <w:t>00</w:t>
      </w:r>
      <w:r w:rsidR="00012C99" w:rsidRPr="000C0FCC">
        <w:t>26</w:t>
      </w:r>
    </w:p>
    <w:p w14:paraId="0E5138C7" w14:textId="77777777" w:rsidR="00C34165" w:rsidRPr="000C0FCC" w:rsidRDefault="00C34165" w:rsidP="00C34165">
      <w:pPr>
        <w:pStyle w:val="ATHeading2"/>
      </w:pPr>
      <w:bookmarkStart w:id="2" w:name="title"/>
      <w:r w:rsidRPr="000C0FCC">
        <w:t>Quitação 2022: orçamento geral da UE – Conselho Europeu e Conselho</w:t>
      </w:r>
      <w:bookmarkEnd w:id="2"/>
    </w:p>
    <w:p w14:paraId="5CFBD05B" w14:textId="77777777" w:rsidR="00C34165" w:rsidRPr="000C0FCC" w:rsidRDefault="00C34165" w:rsidP="00C34165">
      <w:pPr>
        <w:rPr>
          <w:i/>
          <w:vanish/>
        </w:rPr>
      </w:pPr>
      <w:r w:rsidRPr="000C0FCC">
        <w:rPr>
          <w:i/>
        </w:rPr>
        <w:fldChar w:fldCharType="begin"/>
      </w:r>
      <w:r w:rsidRPr="000C0FCC">
        <w:rPr>
          <w:i/>
        </w:rPr>
        <w:instrText xml:space="preserve"> TC"(</w:instrText>
      </w:r>
      <w:bookmarkStart w:id="3" w:name="DocNumber"/>
      <w:r w:rsidRPr="000C0FCC">
        <w:rPr>
          <w:i/>
        </w:rPr>
        <w:instrText>A10-0003/2024</w:instrText>
      </w:r>
      <w:bookmarkEnd w:id="3"/>
      <w:r w:rsidRPr="000C0FCC">
        <w:rPr>
          <w:i/>
        </w:rPr>
        <w:instrText xml:space="preserve"> - Relator: Jonas Sjöstedt)"\l3 \n&gt; \* MERGEFORMAT </w:instrText>
      </w:r>
      <w:r w:rsidRPr="000C0FCC">
        <w:rPr>
          <w:i/>
        </w:rPr>
        <w:fldChar w:fldCharType="end"/>
      </w:r>
    </w:p>
    <w:p w14:paraId="43751763" w14:textId="77777777" w:rsidR="00C34165" w:rsidRPr="000C0FCC" w:rsidRDefault="00C34165" w:rsidP="00C34165">
      <w:pPr>
        <w:rPr>
          <w:vanish/>
        </w:rPr>
      </w:pPr>
      <w:bookmarkStart w:id="4" w:name="Commission"/>
      <w:r w:rsidRPr="000C0FCC">
        <w:rPr>
          <w:vanish/>
        </w:rPr>
        <w:t>Comissão do Controlo Orçamental</w:t>
      </w:r>
      <w:bookmarkEnd w:id="4"/>
    </w:p>
    <w:p w14:paraId="7E0F131E" w14:textId="77777777" w:rsidR="00C34165" w:rsidRPr="000C0FCC" w:rsidRDefault="00C34165" w:rsidP="00C34165">
      <w:pPr>
        <w:rPr>
          <w:vanish/>
        </w:rPr>
      </w:pPr>
      <w:bookmarkStart w:id="5" w:name="PE"/>
      <w:r w:rsidRPr="000C0FCC">
        <w:rPr>
          <w:vanish/>
        </w:rPr>
        <w:t>PE761.252</w:t>
      </w:r>
      <w:bookmarkEnd w:id="5"/>
    </w:p>
    <w:p w14:paraId="235D6428" w14:textId="1478435A" w:rsidR="00C34165" w:rsidRPr="000C0FCC" w:rsidRDefault="00E362E0" w:rsidP="00C34165">
      <w:pPr>
        <w:pStyle w:val="ATHeading3"/>
      </w:pPr>
      <w:bookmarkStart w:id="6" w:name="Sujet"/>
      <w:r w:rsidRPr="000C0FCC">
        <w:t xml:space="preserve">1. </w:t>
      </w:r>
      <w:r w:rsidR="00C34165" w:rsidRPr="000C0FCC">
        <w:t xml:space="preserve">Decisão do Parlamento Europeu, de </w:t>
      </w:r>
      <w:r w:rsidRPr="000C0FCC">
        <w:t xml:space="preserve">22 </w:t>
      </w:r>
      <w:r w:rsidR="00C34165" w:rsidRPr="000C0FCC">
        <w:t xml:space="preserve">de </w:t>
      </w:r>
      <w:r w:rsidRPr="000C0FCC">
        <w:t xml:space="preserve">outubro </w:t>
      </w:r>
      <w:r w:rsidR="00C34165" w:rsidRPr="000C0FCC">
        <w:t>de 2024, sobre a quitação pela execução do orçamento geral da União Europeia para o exercício de 2022, Secção II – Conselho Europeu e Conselho</w:t>
      </w:r>
      <w:bookmarkEnd w:id="6"/>
      <w:r w:rsidR="00C34165" w:rsidRPr="000C0FCC">
        <w:t xml:space="preserve"> </w:t>
      </w:r>
      <w:bookmarkStart w:id="7" w:name="References"/>
      <w:r w:rsidR="00C34165" w:rsidRPr="000C0FCC">
        <w:t>(2023/2131(DEC))</w:t>
      </w:r>
      <w:bookmarkEnd w:id="7"/>
    </w:p>
    <w:p w14:paraId="50D8088E" w14:textId="77777777" w:rsidR="003331B8" w:rsidRPr="000C0FCC" w:rsidRDefault="003331B8" w:rsidP="003331B8">
      <w:pPr>
        <w:pStyle w:val="EPComma"/>
      </w:pPr>
      <w:bookmarkStart w:id="8" w:name="TextBodyBegin"/>
      <w:bookmarkEnd w:id="8"/>
      <w:r w:rsidRPr="000C0FCC">
        <w:rPr>
          <w:i/>
        </w:rPr>
        <w:t>O Parlamento Europeu</w:t>
      </w:r>
      <w:r w:rsidRPr="000C0FCC">
        <w:t>,</w:t>
      </w:r>
    </w:p>
    <w:p w14:paraId="0ACD0801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orçamento geral da União Europeia para o exercício de 2022</w:t>
      </w:r>
      <w:r w:rsidRPr="000C0FCC">
        <w:rPr>
          <w:rStyle w:val="FootnoteReference"/>
        </w:rPr>
        <w:footnoteReference w:id="1"/>
      </w:r>
      <w:r w:rsidRPr="000C0FCC">
        <w:t>,</w:t>
      </w:r>
    </w:p>
    <w:p w14:paraId="76B8CEB9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Atendendo às contas anuais consolidadas da União Eur</w:t>
      </w:r>
      <w:r w:rsidR="00D05DC7" w:rsidRPr="000C0FCC">
        <w:t>opeia relativas ao exercício de </w:t>
      </w:r>
      <w:r w:rsidRPr="000C0FCC">
        <w:t>2022 (COM(2023)0391 – C9</w:t>
      </w:r>
      <w:r w:rsidRPr="000C0FCC">
        <w:noBreakHyphen/>
        <w:t>0250/2023)</w:t>
      </w:r>
      <w:r w:rsidRPr="000C0FCC">
        <w:rPr>
          <w:rStyle w:val="FootnoteReference"/>
        </w:rPr>
        <w:footnoteReference w:id="2"/>
      </w:r>
      <w:r w:rsidRPr="000C0FCC">
        <w:t>,</w:t>
      </w:r>
    </w:p>
    <w:p w14:paraId="2ADF9089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relatório anual do Conselho dirigido à autoridade de quitação relativo às auditorias internas efetuadas em 2022,</w:t>
      </w:r>
    </w:p>
    <w:p w14:paraId="5DB89F06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Atendendo ao relatório anual do Tribunal de Contas sobre a execução do orçamento relativo ao exercício de 2022, acompanhado das respostas das instituições</w:t>
      </w:r>
      <w:r w:rsidRPr="000C0FCC">
        <w:rPr>
          <w:rStyle w:val="FootnoteReference"/>
        </w:rPr>
        <w:footnoteReference w:id="3"/>
      </w:r>
      <w:r w:rsidRPr="000C0FCC">
        <w:t>,</w:t>
      </w:r>
    </w:p>
    <w:p w14:paraId="0EB99F6B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Atendendo à declaração relativa à fiabilidade das contas e à legalidade e regularidade das operações subjacentes</w:t>
      </w:r>
      <w:r w:rsidRPr="000C0FCC">
        <w:rPr>
          <w:rStyle w:val="FootnoteReference"/>
        </w:rPr>
        <w:footnoteReference w:id="4"/>
      </w:r>
      <w:r w:rsidRPr="000C0FCC">
        <w:t>, emitida pelo Tribunal de Contas para o exercício de 2022, nos termos do artigo 287.º do Tratado sobre o Funcionamento da União Europeia,</w:t>
      </w:r>
    </w:p>
    <w:p w14:paraId="0225977A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a sua Decisão, de 23 de abril de 2024</w:t>
      </w:r>
      <w:r w:rsidRPr="000C0FCC">
        <w:rPr>
          <w:rStyle w:val="FootnoteReference"/>
        </w:rPr>
        <w:footnoteReference w:id="5"/>
      </w:r>
      <w:r w:rsidRPr="000C0FCC">
        <w:t>, que adiou a decisão de quitação relativa ao exercício de 2022, bem como a resolução que a acompanha,</w:t>
      </w:r>
    </w:p>
    <w:p w14:paraId="7730E15C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artigo 314.º, n.º 10, e os artigos 317.º, 318.º e 319.º do Tratado sobre o Funcionamento da União Europeia,</w:t>
      </w:r>
    </w:p>
    <w:p w14:paraId="29426F8D" w14:textId="1ADB1DA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Regulamento (UE, Euratom) 2018/1046 do Parlamento Europeu e do Conselho, de 18 de julho de 2018, relativo às disposições financeiras aplicáveis ao orçamento geral da União e que revoga os Regulamentos (UE) n</w:t>
      </w:r>
      <w:r w:rsidR="00E362E0" w:rsidRPr="000C0FCC">
        <w:t xml:space="preserve">.º </w:t>
      </w:r>
      <w:r w:rsidRPr="000C0FCC">
        <w:t>1296/2013, (UE) n</w:t>
      </w:r>
      <w:r w:rsidR="00E362E0" w:rsidRPr="000C0FCC">
        <w:t xml:space="preserve">.º </w:t>
      </w:r>
      <w:r w:rsidRPr="000C0FCC">
        <w:lastRenderedPageBreak/>
        <w:t>1301/2013, (UE) n</w:t>
      </w:r>
      <w:r w:rsidR="00E362E0" w:rsidRPr="000C0FCC">
        <w:t xml:space="preserve">.º </w:t>
      </w:r>
      <w:r w:rsidRPr="000C0FCC">
        <w:t>1303/2013, (UE) n</w:t>
      </w:r>
      <w:r w:rsidR="00E362E0" w:rsidRPr="000C0FCC">
        <w:t xml:space="preserve">.º </w:t>
      </w:r>
      <w:r w:rsidRPr="000C0FCC">
        <w:t>1304/2013, (UE) n</w:t>
      </w:r>
      <w:r w:rsidR="00E362E0" w:rsidRPr="000C0FCC">
        <w:t xml:space="preserve">.º </w:t>
      </w:r>
      <w:r w:rsidRPr="000C0FCC">
        <w:t>1309/2013, (UE) n</w:t>
      </w:r>
      <w:r w:rsidR="00E362E0" w:rsidRPr="000C0FCC">
        <w:t xml:space="preserve">.º </w:t>
      </w:r>
      <w:r w:rsidRPr="000C0FCC">
        <w:t>1316/2013, (UE) n</w:t>
      </w:r>
      <w:r w:rsidR="00E362E0" w:rsidRPr="000C0FCC">
        <w:t xml:space="preserve">.º </w:t>
      </w:r>
      <w:r w:rsidRPr="000C0FCC">
        <w:t>223/2014, (UE) n</w:t>
      </w:r>
      <w:r w:rsidR="00E362E0" w:rsidRPr="000C0FCC">
        <w:t>.º </w:t>
      </w:r>
      <w:r w:rsidRPr="000C0FCC">
        <w:t>283/2014 e a Decisão n</w:t>
      </w:r>
      <w:r w:rsidR="00E362E0" w:rsidRPr="000C0FCC">
        <w:t xml:space="preserve">.º </w:t>
      </w:r>
      <w:r w:rsidRPr="000C0FCC">
        <w:t>541/2014/UE, e que revoga o Regulamento (UE, Euratom) n</w:t>
      </w:r>
      <w:r w:rsidR="00E362E0" w:rsidRPr="000C0FCC">
        <w:t>.º </w:t>
      </w:r>
      <w:r w:rsidRPr="000C0FCC">
        <w:t>966/2012</w:t>
      </w:r>
      <w:r w:rsidRPr="000C0FCC">
        <w:rPr>
          <w:rStyle w:val="FootnoteReference"/>
        </w:rPr>
        <w:footnoteReference w:id="6"/>
      </w:r>
      <w:r w:rsidRPr="000C0FCC">
        <w:t>, nomeadamente os artigos 59.º, 118.º, 260.º, 261.º e 262.º,</w:t>
      </w:r>
    </w:p>
    <w:p w14:paraId="74BE38A1" w14:textId="071AFD0F" w:rsidR="00E362E0" w:rsidRPr="000C0FCC" w:rsidRDefault="00D05DC7" w:rsidP="003331B8">
      <w:pPr>
        <w:pStyle w:val="NormalHanging12a"/>
      </w:pPr>
      <w:r w:rsidRPr="000C0FCC">
        <w:t>–</w:t>
      </w:r>
      <w:r w:rsidRPr="000C0FCC">
        <w:tab/>
        <w:t>Tendo em conta o Regulamento (UE, Euratom) 2024/2509 do Parlamento Europeu e do Conselho, de 23 de setembro de 2024, relativo às regras financeiras aplicáveis ao orçamento geral da União</w:t>
      </w:r>
      <w:r w:rsidRPr="000C0FCC">
        <w:rPr>
          <w:rStyle w:val="FootnoteReference"/>
        </w:rPr>
        <w:footnoteReference w:id="7"/>
      </w:r>
      <w:r w:rsidRPr="000C0FCC">
        <w:t>, nomeadamente os seus artigos 59.º,</w:t>
      </w:r>
      <w:r w:rsidR="00304941" w:rsidRPr="000C0FCC">
        <w:t xml:space="preserve"> 118.º, 266.º, 267.º e </w:t>
      </w:r>
      <w:r w:rsidRPr="000C0FCC">
        <w:t>268.º,</w:t>
      </w:r>
    </w:p>
    <w:p w14:paraId="408F7279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artigo 102.º e o anexo V do seu Regimento,</w:t>
      </w:r>
    </w:p>
    <w:p w14:paraId="5A275AB5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segundo relatório da Comissão do Controlo Orçamental (A10</w:t>
      </w:r>
      <w:r w:rsidRPr="000C0FCC">
        <w:noBreakHyphen/>
        <w:t>0003/2024),</w:t>
      </w:r>
    </w:p>
    <w:p w14:paraId="32CFA7EC" w14:textId="77777777" w:rsidR="003331B8" w:rsidRPr="000C0FCC" w:rsidRDefault="003331B8" w:rsidP="003331B8">
      <w:pPr>
        <w:pStyle w:val="NormalHanging12a"/>
      </w:pPr>
      <w:r w:rsidRPr="000C0FCC">
        <w:t>1.</w:t>
      </w:r>
      <w:r w:rsidRPr="000C0FCC">
        <w:tab/>
        <w:t>Recusa dar quitação à Secretária</w:t>
      </w:r>
      <w:r w:rsidRPr="000C0FCC">
        <w:noBreakHyphen/>
        <w:t>Geral do Conselho pela execução do orçamento do Conselho Europeu e do Conselho para o exercício de 2022;</w:t>
      </w:r>
    </w:p>
    <w:p w14:paraId="6369DE3A" w14:textId="77777777" w:rsidR="003331B8" w:rsidRPr="000C0FCC" w:rsidRDefault="003331B8" w:rsidP="003331B8">
      <w:pPr>
        <w:pStyle w:val="NormalHanging12a"/>
      </w:pPr>
      <w:r w:rsidRPr="000C0FCC">
        <w:t>2.</w:t>
      </w:r>
      <w:r w:rsidRPr="000C0FCC">
        <w:tab/>
        <w:t>Regista as suas observações na resolução que se segue;</w:t>
      </w:r>
    </w:p>
    <w:p w14:paraId="6F7F3A93" w14:textId="77777777" w:rsidR="003331B8" w:rsidRPr="000C0FCC" w:rsidRDefault="003331B8" w:rsidP="003331B8">
      <w:pPr>
        <w:pStyle w:val="NormalHanging12a"/>
      </w:pPr>
      <w:r w:rsidRPr="000C0FCC">
        <w:t>3.</w:t>
      </w:r>
      <w:r w:rsidRPr="000C0FCC">
        <w:tab/>
        <w:t xml:space="preserve">Encarrega a sua Presidente de transmitir a presente decisão e a resolução que desta constitui parte integrante ao Conselho Europeu, ao Conselho, à Comissão e ao Tribunal de Contas e de prover à respetiva publicação no </w:t>
      </w:r>
      <w:r w:rsidRPr="000C0FCC">
        <w:rPr>
          <w:i/>
        </w:rPr>
        <w:t>Jornal Oficial da União Europeia</w:t>
      </w:r>
      <w:r w:rsidRPr="000C0FCC">
        <w:t xml:space="preserve"> (série L).</w:t>
      </w:r>
    </w:p>
    <w:p w14:paraId="7EF6FBA1" w14:textId="77777777" w:rsidR="003331B8" w:rsidRPr="000C0FCC" w:rsidRDefault="003331B8" w:rsidP="003331B8"/>
    <w:p w14:paraId="642054C9" w14:textId="77777777" w:rsidR="003331B8" w:rsidRPr="000C0FCC" w:rsidRDefault="003331B8" w:rsidP="003331B8">
      <w:pPr>
        <w:pStyle w:val="PageHeading"/>
        <w:sectPr w:rsidR="003331B8" w:rsidRPr="000C0FCC" w:rsidSect="00642668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7618241" w14:textId="43132886" w:rsidR="003331B8" w:rsidRPr="000C0FCC" w:rsidRDefault="003331B8" w:rsidP="00E362E0">
      <w:pPr>
        <w:pStyle w:val="PageHeading"/>
        <w:spacing w:after="0"/>
        <w:jc w:val="left"/>
        <w:rPr>
          <w:rFonts w:ascii="Times New Roman" w:hAnsi="Times New Roman" w:cs="Times New Roman"/>
        </w:rPr>
      </w:pPr>
      <w:bookmarkStart w:id="9" w:name="_Toc179899992"/>
      <w:r w:rsidRPr="000C0FCC">
        <w:rPr>
          <w:rFonts w:ascii="Times New Roman" w:hAnsi="Times New Roman" w:cs="Times New Roman"/>
        </w:rPr>
        <w:lastRenderedPageBreak/>
        <w:t xml:space="preserve">2. </w:t>
      </w:r>
      <w:r w:rsidR="00304941" w:rsidRPr="000C0FCC">
        <w:rPr>
          <w:rFonts w:ascii="Times New Roman" w:hAnsi="Times New Roman" w:cs="Times New Roman"/>
        </w:rPr>
        <w:t>R</w:t>
      </w:r>
      <w:r w:rsidR="00E362E0" w:rsidRPr="000C0FCC">
        <w:rPr>
          <w:rFonts w:ascii="Times New Roman" w:hAnsi="Times New Roman" w:cs="Times New Roman"/>
        </w:rPr>
        <w:t>esolução do Parlamento Europeu</w:t>
      </w:r>
      <w:bookmarkEnd w:id="9"/>
      <w:r w:rsidR="00E362E0" w:rsidRPr="000C0FCC">
        <w:rPr>
          <w:rFonts w:ascii="Times New Roman" w:hAnsi="Times New Roman" w:cs="Times New Roman"/>
        </w:rPr>
        <w:t xml:space="preserve">, de 22 de outubro de 2024, </w:t>
      </w:r>
      <w:r w:rsidRPr="000C0FCC">
        <w:rPr>
          <w:rFonts w:ascii="Times New Roman" w:hAnsi="Times New Roman" w:cs="Times New Roman"/>
        </w:rPr>
        <w:t>que contém as observações que constituem parte integrante da decisão sobre a quitação pela execução do orçamento geral da União Europeia para o exercício de 2022, Secção II – Conselho Europeu e Conselho</w:t>
      </w:r>
      <w:r w:rsidR="00E362E0" w:rsidRPr="000C0FCC">
        <w:rPr>
          <w:rFonts w:ascii="Times New Roman" w:hAnsi="Times New Roman" w:cs="Times New Roman"/>
        </w:rPr>
        <w:t xml:space="preserve"> </w:t>
      </w:r>
      <w:r w:rsidRPr="000C0FCC">
        <w:rPr>
          <w:rFonts w:ascii="Times New Roman" w:hAnsi="Times New Roman" w:cs="Times New Roman"/>
        </w:rPr>
        <w:t>(2023/2131(DEC))</w:t>
      </w:r>
    </w:p>
    <w:p w14:paraId="02CECC49" w14:textId="77777777" w:rsidR="003331B8" w:rsidRPr="000C0FCC" w:rsidRDefault="003331B8" w:rsidP="003331B8">
      <w:pPr>
        <w:pStyle w:val="EPComma"/>
      </w:pPr>
      <w:r w:rsidRPr="000C0FCC">
        <w:rPr>
          <w:i/>
        </w:rPr>
        <w:t>O Parlamento Europeu</w:t>
      </w:r>
      <w:r w:rsidRPr="000C0FCC">
        <w:t>,</w:t>
      </w:r>
    </w:p>
    <w:p w14:paraId="527FC9BC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a sua decisão sobre a quitação pela execução do orçamento geral da União Europeia para o exercício de 2022, secção II – Conselho Europeu e Conselho,</w:t>
      </w:r>
    </w:p>
    <w:p w14:paraId="0B6B1A81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artigo 102.º e o anexo V do seu Regimento,</w:t>
      </w:r>
    </w:p>
    <w:p w14:paraId="26E46BE1" w14:textId="77777777" w:rsidR="003331B8" w:rsidRPr="000C0FCC" w:rsidRDefault="003331B8" w:rsidP="003331B8">
      <w:pPr>
        <w:pStyle w:val="NormalHanging12a"/>
      </w:pPr>
      <w:r w:rsidRPr="000C0FCC">
        <w:t>–</w:t>
      </w:r>
      <w:r w:rsidRPr="000C0FCC">
        <w:tab/>
        <w:t>Tendo em conta o segundo relatório da Comissão do Controlo Orçamental (A10</w:t>
      </w:r>
      <w:r w:rsidRPr="000C0FCC">
        <w:noBreakHyphen/>
        <w:t>0003/2024),</w:t>
      </w:r>
    </w:p>
    <w:p w14:paraId="240B663D" w14:textId="77777777" w:rsidR="003331B8" w:rsidRPr="000C0FCC" w:rsidRDefault="003331B8" w:rsidP="003331B8">
      <w:pPr>
        <w:pStyle w:val="NormalHanging12a"/>
      </w:pPr>
      <w:r w:rsidRPr="000C0FCC">
        <w:t>A.</w:t>
      </w:r>
      <w:r w:rsidRPr="000C0FCC">
        <w:tab/>
        <w:t>Considerando que, no contexto do processo de quitação, a autoridade de quitação deseja salientar a particular importância de reforçar a legitimidade democrática das instituições da União, melhorando a transparência e a responsabilização e pondo em prática o conceito de orçamentação baseada no desempenho, bem como a boa governação dos recursos humanos;</w:t>
      </w:r>
    </w:p>
    <w:p w14:paraId="645E0148" w14:textId="77777777" w:rsidR="003331B8" w:rsidRPr="000C0FCC" w:rsidRDefault="003331B8" w:rsidP="003331B8">
      <w:pPr>
        <w:pStyle w:val="NormalHanging12a"/>
      </w:pPr>
      <w:r w:rsidRPr="000C0FCC">
        <w:t>B.</w:t>
      </w:r>
      <w:r w:rsidRPr="000C0FCC">
        <w:tab/>
        <w:t>Considerando que, nos termos do artigo 319.º do Tratado sobre o Funcionamento da União Europeia (TFUE), cabe unicamente ao Parlamento a responsabilidade de dar quitação pela execução do orçamento geral da União, e que o orçamento do Conselho Europeu e do Conselho é uma secção do orçamento da União;</w:t>
      </w:r>
    </w:p>
    <w:p w14:paraId="0564202B" w14:textId="77777777" w:rsidR="003331B8" w:rsidRPr="000C0FCC" w:rsidRDefault="003331B8" w:rsidP="003331B8">
      <w:pPr>
        <w:pStyle w:val="NormalHanging12a"/>
      </w:pPr>
      <w:r w:rsidRPr="000C0FCC">
        <w:t>C.</w:t>
      </w:r>
      <w:r w:rsidRPr="000C0FCC">
        <w:tab/>
        <w:t>Considerando que, nos termos do artigo 15.º, n.º 1, do Tratado da União Europeia, o Conselho Europeu não exerce funções legislativas;</w:t>
      </w:r>
    </w:p>
    <w:p w14:paraId="6D32D282" w14:textId="77777777" w:rsidR="003331B8" w:rsidRPr="000C0FCC" w:rsidRDefault="003331B8" w:rsidP="003331B8">
      <w:pPr>
        <w:pStyle w:val="NormalHanging12a"/>
      </w:pPr>
      <w:r w:rsidRPr="000C0FCC">
        <w:t>D.</w:t>
      </w:r>
      <w:r w:rsidRPr="000C0FCC">
        <w:tab/>
        <w:t>Considerando que, nos termos do artigo 317.º do TFUE, a Comissão deve executar o orçamento sob sua própria responsabilidade, de acordo com os princípios da boa gestão financeira, e que, com base no quadro em vigor, a Comissão deve conferir às demais instituições da União as competências necessárias para darem execução às secções do orçamento que lhes dizem respeito;</w:t>
      </w:r>
    </w:p>
    <w:p w14:paraId="51C2AA9B" w14:textId="77777777" w:rsidR="003331B8" w:rsidRPr="000C0FCC" w:rsidRDefault="003331B8" w:rsidP="003331B8">
      <w:pPr>
        <w:pStyle w:val="NormalHanging12a"/>
      </w:pPr>
      <w:r w:rsidRPr="000C0FCC">
        <w:t>E.</w:t>
      </w:r>
      <w:r w:rsidRPr="000C0FCC">
        <w:tab/>
        <w:t>Considerando que, nos termos do artigo 235.º, n.º 4, e do artigo 240.º, n.º 2, do TFUE, o Conselho Europeu e o Conselho (o «Conselho») são assistidos pelo Secretariado-Geral do Conselho e que o Secretário-Geral do Conselho é inteiramente responsável pela boa gestão das dotações inscritas na secção II do orçamento da União;</w:t>
      </w:r>
    </w:p>
    <w:p w14:paraId="3417CD02" w14:textId="77777777" w:rsidR="003331B8" w:rsidRPr="000C0FCC" w:rsidRDefault="003331B8" w:rsidP="003331B8">
      <w:pPr>
        <w:pStyle w:val="NormalHanging12a"/>
      </w:pPr>
      <w:r w:rsidRPr="000C0FCC">
        <w:t>F.</w:t>
      </w:r>
      <w:r w:rsidRPr="000C0FCC">
        <w:tab/>
        <w:t>Considerando que, ao longo de quase vinte anos, o Parlamento tem aplicado a prática consolidada e respeitada de dar quitação a todas as instituições, órgãos e organismos da União, e que a Comissão apoia a continuação da prática de dar quitação a cada instituição, órgão ou organismo da União pelas suas despesas administrativas;</w:t>
      </w:r>
    </w:p>
    <w:p w14:paraId="10209142" w14:textId="77777777" w:rsidR="003331B8" w:rsidRPr="000C0FCC" w:rsidRDefault="003331B8" w:rsidP="003331B8">
      <w:pPr>
        <w:pStyle w:val="NormalHanging12a"/>
      </w:pPr>
      <w:r w:rsidRPr="000C0FCC">
        <w:t>G.</w:t>
      </w:r>
      <w:r w:rsidRPr="000C0FCC">
        <w:tab/>
        <w:t>Considerando que, nos termos do artigo 59.º, n.º 1, do Regulamento Financeiro, a Comissão confere às outras instituições da União os poderes necessários para a execução das secções do orçamento que lhes dizem respeito;</w:t>
      </w:r>
    </w:p>
    <w:p w14:paraId="4C71480C" w14:textId="77777777" w:rsidR="003331B8" w:rsidRPr="000C0FCC" w:rsidRDefault="003331B8" w:rsidP="003331B8">
      <w:pPr>
        <w:pStyle w:val="NormalHanging12a"/>
      </w:pPr>
      <w:r w:rsidRPr="000C0FCC">
        <w:t>H.</w:t>
      </w:r>
      <w:r w:rsidRPr="000C0FCC">
        <w:tab/>
        <w:t>Considerando que o facto de o Conselho não cooperar no processo de quitação obriga o Parlamento, desde 2009, a recusar dar quitação ao Secretário-Geral do Conselho;</w:t>
      </w:r>
    </w:p>
    <w:p w14:paraId="30E5E19B" w14:textId="77777777" w:rsidR="003331B8" w:rsidRPr="000C0FCC" w:rsidRDefault="003331B8" w:rsidP="003331B8">
      <w:pPr>
        <w:pStyle w:val="NormalHanging12a"/>
      </w:pPr>
      <w:r w:rsidRPr="000C0FCC">
        <w:lastRenderedPageBreak/>
        <w:t>I.</w:t>
      </w:r>
      <w:r w:rsidRPr="000C0FCC">
        <w:tab/>
        <w:t>Considerando que o Conselho Europeu e o Conselho, enquanto instituições da União e beneficiários do orçamento geral da União, devem pautar-se pela transparência e pela responsabilização democrática perante os cidadãos da União e sujeitar-se ao controlo democrático da utilização de fundos públicos;</w:t>
      </w:r>
    </w:p>
    <w:p w14:paraId="7E0CCAB3" w14:textId="77777777" w:rsidR="003331B8" w:rsidRPr="000C0FCC" w:rsidRDefault="003331B8" w:rsidP="003331B8">
      <w:pPr>
        <w:pStyle w:val="NormalHanging12a"/>
      </w:pPr>
      <w:r w:rsidRPr="000C0FCC">
        <w:t>J.</w:t>
      </w:r>
      <w:r w:rsidRPr="000C0FCC">
        <w:tab/>
        <w:t>Considerando que a recomendação da Provedora de Justiça Europeia (a «Provedora de Justiça») no inquérito estratégico OI/2/2017/TE sobre a transparência do processo legislativo indicou que a prática do Conselho em matéria de transparência do processo legislativo configurava má administração e deve ser alterada para permitir aos cidadãos acompanhar o processo legislativo da União;</w:t>
      </w:r>
    </w:p>
    <w:p w14:paraId="4BC93B99" w14:textId="77777777" w:rsidR="003331B8" w:rsidRPr="000C0FCC" w:rsidRDefault="003331B8" w:rsidP="003331B8">
      <w:pPr>
        <w:pStyle w:val="NormalHanging12a"/>
      </w:pPr>
      <w:r w:rsidRPr="000C0FCC">
        <w:t>K.</w:t>
      </w:r>
      <w:r w:rsidRPr="000C0FCC">
        <w:tab/>
        <w:t>Considerando que a jurisprudência do Tribunal de Justiça da União Europeia confirma o direito dos contribuintes e do público a serem mantidos informados sobre a utilização das receitas públicas e que o Tribunal Geral, no seu acórdão de 25 de janeiro de 2023 no processo T-163/21</w:t>
      </w:r>
      <w:r w:rsidRPr="000C0FCC">
        <w:rPr>
          <w:rStyle w:val="FootnoteReference"/>
        </w:rPr>
        <w:footnoteReference w:id="8"/>
      </w:r>
      <w:r w:rsidRPr="000C0FCC">
        <w:t xml:space="preserve">, </w:t>
      </w:r>
      <w:r w:rsidRPr="000C0FCC">
        <w:rPr>
          <w:i/>
        </w:rPr>
        <w:t>De Capitani/Conselho</w:t>
      </w:r>
      <w:r w:rsidRPr="000C0FCC">
        <w:t>, declarou, no concernente à transparência no processo legislativo da União, que os documentos elaborados pelo Conselho nos seus grupos de trabalho não são de natureza técnica, mas, sim, legislativa, estando, por conseguinte, sujeitos a pedidos de acesso a documentos;</w:t>
      </w:r>
    </w:p>
    <w:p w14:paraId="02003F1E" w14:textId="77777777" w:rsidR="003331B8" w:rsidRPr="000C0FCC" w:rsidRDefault="003331B8" w:rsidP="003331B8">
      <w:pPr>
        <w:pStyle w:val="NormalHanging12a"/>
      </w:pPr>
      <w:r w:rsidRPr="000C0FCC">
        <w:t>1.</w:t>
      </w:r>
      <w:r w:rsidRPr="000C0FCC">
        <w:tab/>
        <w:t>Lamenta vivamente que, desde 2009 e de novo no exercício de 2022, o Conselho continue a recusar-se a cooperar com o Parlamento no processo de quitação, impedindo o Parlamento de tomar uma decisão informada com base num controlo sério e exaustivo da execução do orçamento do Conselho e, por conseguinte, obrigando o Parlamento a recusar a quitação;</w:t>
      </w:r>
    </w:p>
    <w:p w14:paraId="5E820FE7" w14:textId="77777777" w:rsidR="003331B8" w:rsidRPr="000C0FCC" w:rsidRDefault="003331B8" w:rsidP="003331B8">
      <w:pPr>
        <w:pStyle w:val="NormalHanging12a"/>
      </w:pPr>
      <w:r w:rsidRPr="000C0FCC">
        <w:t>2.</w:t>
      </w:r>
      <w:r w:rsidRPr="000C0FCC">
        <w:tab/>
        <w:t>Observa que, em 28 de setembro de 2023, os serviços competentes do Parlamento, em nome do relator para o processo de quitação, enviaram um questionário ao Secretariado do Conselho com 74 perguntas importantes para o Parlamento, a fim de permitir um controlo exaustivo da execução orçamental do Conselho e da gestão do Conselho; assinala ainda que foram enviados questionários semelhantes às demais instituições e que todas transmitiram ao Parlamento respostas pormenorizadas a todas as perguntas;</w:t>
      </w:r>
    </w:p>
    <w:p w14:paraId="3EA8FEFE" w14:textId="77777777" w:rsidR="003331B8" w:rsidRPr="000C0FCC" w:rsidRDefault="003331B8" w:rsidP="003331B8">
      <w:pPr>
        <w:pStyle w:val="NormalHanging12a"/>
      </w:pPr>
      <w:r w:rsidRPr="000C0FCC">
        <w:t>3.</w:t>
      </w:r>
      <w:r w:rsidRPr="000C0FCC">
        <w:tab/>
        <w:t>Lamenta que, em 12 de outubro de 2023, o Secretariado-Geral do Conselho tenha informado mais uma vez o Parlamento de que não responderia ao questionário que lhe fora enviado e que o Conselho não participaria na audição agendada para 25 de outubro de 2023 no âmbito do processo de quitação e na qual participaram todas as outras instituições convidadas;</w:t>
      </w:r>
    </w:p>
    <w:p w14:paraId="744B1A3B" w14:textId="77777777" w:rsidR="003331B8" w:rsidRPr="000C0FCC" w:rsidRDefault="003331B8" w:rsidP="003331B8">
      <w:pPr>
        <w:pStyle w:val="NormalHanging12a"/>
      </w:pPr>
      <w:r w:rsidRPr="000C0FCC">
        <w:t>4.</w:t>
      </w:r>
      <w:r w:rsidRPr="000C0FCC">
        <w:tab/>
        <w:t>Destaca a prerrogativa do Parlamento de dar quitação nos termos do artigo 319.º do TFUE, bem como das disposições aplicáveis do Regulamento Financeiro e do Regimento do Parlamento, em consonância com a prática e a interpretação atuais, nomeadamente o poder de conceder quitação, a fim de manter a transparência e assegurar a responsabilidade democrática perante os contribuintes da União;</w:t>
      </w:r>
    </w:p>
    <w:p w14:paraId="003A3FF9" w14:textId="77777777" w:rsidR="003331B8" w:rsidRPr="000C0FCC" w:rsidRDefault="003331B8" w:rsidP="003331B8">
      <w:pPr>
        <w:pStyle w:val="NormalHanging12a"/>
      </w:pPr>
      <w:r w:rsidRPr="000C0FCC">
        <w:t>5.</w:t>
      </w:r>
      <w:r w:rsidRPr="000C0FCC">
        <w:tab/>
        <w:t xml:space="preserve">Sublinha que o artigo 59.º, n.º 1, do Regulamento Financeiro dispõe que a Comissão confere às outras instituições da União os poderes necessários para a execução das secções do orçamento que lhes dizem respeito, pelo que considera incompreensível que o Conselho acredite ser apropriado que deva ser concedida quitação à Comissão pela </w:t>
      </w:r>
      <w:r w:rsidRPr="000C0FCC">
        <w:lastRenderedPageBreak/>
        <w:t>execução do orçamento do Conselho;</w:t>
      </w:r>
    </w:p>
    <w:p w14:paraId="55B4F4B8" w14:textId="77777777" w:rsidR="003331B8" w:rsidRPr="000C0FCC" w:rsidRDefault="003331B8" w:rsidP="003331B8">
      <w:pPr>
        <w:pStyle w:val="NormalHanging12a"/>
      </w:pPr>
      <w:r w:rsidRPr="000C0FCC">
        <w:t>6.</w:t>
      </w:r>
      <w:r w:rsidRPr="000C0FCC">
        <w:tab/>
        <w:t>Salienta a prática consolidada e respeitada seguida pelo Parlamento ao longo de quase vinte anos de conceder quitação a todas as instituições, órgãos e organismos da União; recorda que a Comissão declarou a sua incapacidade para supervisionar a execução dos orçamentos das outras instituições da União; sublinha o ponto de vista reiterado da Comissão segundo o qual a prática de dar quitação a cada instituição da União pelas suas despesas administrativas deve continuar a ser exercida diretamente pelo Parlamento;</w:t>
      </w:r>
    </w:p>
    <w:p w14:paraId="1A1D18B4" w14:textId="77777777" w:rsidR="003331B8" w:rsidRPr="000C0FCC" w:rsidRDefault="003331B8" w:rsidP="003331B8">
      <w:pPr>
        <w:pStyle w:val="NormalHanging12a"/>
      </w:pPr>
      <w:r w:rsidRPr="000C0FCC">
        <w:t>7.</w:t>
      </w:r>
      <w:r w:rsidRPr="000C0FCC">
        <w:tab/>
        <w:t>Salienta que a situação atual permite que o Parlamento verifique apenas os relatórios do Tribunal e do Provedor de Justiça, bem como as informações acessíveis ao público no sítio Web do Conselho, uma vez que o Conselho continua a sua má prática de não colaborar com o Parlamento, o que impede esta instituição de exercer as suas funções e de tomar uma decisão informada sobre a concessão de quitação;</w:t>
      </w:r>
    </w:p>
    <w:p w14:paraId="69497BCB" w14:textId="77777777" w:rsidR="003331B8" w:rsidRPr="000C0FCC" w:rsidRDefault="003331B8" w:rsidP="003331B8">
      <w:pPr>
        <w:pStyle w:val="NormalHanging12a"/>
      </w:pPr>
      <w:r w:rsidRPr="000C0FCC">
        <w:t>8.</w:t>
      </w:r>
      <w:r w:rsidRPr="000C0FCC">
        <w:tab/>
        <w:t>Lamenta que o Conselho demonstre, há mais de uma década, que não tem qualquer vontade política de colaborar com o Parlamento no âmbito do processo de quitação anual; sublinha que esta atitude teve repercussões negativas duradouras para ambas as instituições, desacreditou a gestão e o controlo democrático do orçamento da União e abalou a confiança dos cidadãos na União enquanto entidade transparente;</w:t>
      </w:r>
    </w:p>
    <w:p w14:paraId="431F02BF" w14:textId="77777777" w:rsidR="003331B8" w:rsidRPr="000C0FCC" w:rsidRDefault="003331B8" w:rsidP="003331B8">
      <w:pPr>
        <w:pStyle w:val="NormalHanging12a"/>
      </w:pPr>
      <w:r w:rsidRPr="000C0FCC">
        <w:t>9.</w:t>
      </w:r>
      <w:r w:rsidRPr="000C0FCC">
        <w:tab/>
        <w:t>Reitera a sua profunda frustração relativamente à atitude do Conselho em relação ao processo de quitação, que transmite uma mensagem inadequada aos cidadãos da União num momento em que é essencial uma maior transparência; sublinha que o Conselho tem de respeitar as mesmas normas de responsabilização que espera de outras instituições da União;</w:t>
      </w:r>
    </w:p>
    <w:p w14:paraId="17B937B9" w14:textId="77777777" w:rsidR="003331B8" w:rsidRPr="000C0FCC" w:rsidRDefault="003331B8" w:rsidP="003331B8">
      <w:pPr>
        <w:pStyle w:val="NormalHanging12a"/>
      </w:pPr>
      <w:r w:rsidRPr="000C0FCC">
        <w:t>10.</w:t>
      </w:r>
      <w:r w:rsidRPr="000C0FCC">
        <w:tab/>
        <w:t>Salienta que todas as outras instituições da União reconhecem e compreendem o princípio de que – dada a delegação de poderes em matéria de execução orçamental – o Parlamento tem o direito e a obrigação de controlar os seus orçamentos e a sua execução no âmbito do processo de quitação; neste contexto, manifesta a sua firme desaprovação por o Conselho persistir na sua recusa em cooperar com o Parlamento a este respeito;</w:t>
      </w:r>
    </w:p>
    <w:p w14:paraId="379B81FC" w14:textId="77777777" w:rsidR="003331B8" w:rsidRPr="000C0FCC" w:rsidRDefault="003331B8" w:rsidP="003331B8">
      <w:pPr>
        <w:pStyle w:val="NormalHanging12a"/>
      </w:pPr>
      <w:r w:rsidRPr="000C0FCC">
        <w:t>11.</w:t>
      </w:r>
      <w:r w:rsidRPr="000C0FCC">
        <w:tab/>
        <w:t>Recorda que a jurisprudência do Tribunal de Justiça da União Europeia defende o direito de os contribuintes e o público em geral serem informados sobre a utilização das receitas públicas; solicita, por conseguinte, o pleno respeito da prerrogativa e do papel do Parlamento enquanto garante do princípio da responsabilização democrática; apela ao Conselho para que dê devidamente seguimento às recomendações aprovadas pelo Parlamento no âmbito do processo de quitação;</w:t>
      </w:r>
    </w:p>
    <w:p w14:paraId="63D668DA" w14:textId="77777777" w:rsidR="003331B8" w:rsidRPr="000C0FCC" w:rsidRDefault="003331B8" w:rsidP="003331B8">
      <w:pPr>
        <w:pStyle w:val="NormalHanging12a"/>
      </w:pPr>
      <w:r w:rsidRPr="000C0FCC">
        <w:t>12.</w:t>
      </w:r>
      <w:r w:rsidRPr="000C0FCC">
        <w:tab/>
        <w:t>Destaca que uma revisão dos Tratados poderia tornar o processo de quitação mais claro e mais transparente, conferindo ao Parlamento competências explícitas para dar quitação a cada instituição, órgão e organismo da União separadamente; sublinha, no entanto, que na pendência de tal revisão, a situação atual tem de ser melhorada através de uma cooperação institucional reforçada no âmbito do atual quadro dos Tratados e exorta o Conselho a colaborar ativamente com o Parlamento na resposta à situação atual;</w:t>
      </w:r>
    </w:p>
    <w:p w14:paraId="338157E6" w14:textId="77777777" w:rsidR="003331B8" w:rsidRPr="000C0FCC" w:rsidRDefault="003331B8" w:rsidP="003331B8">
      <w:pPr>
        <w:pStyle w:val="NormalHanging12a"/>
      </w:pPr>
      <w:r w:rsidRPr="000C0FCC">
        <w:t>13.</w:t>
      </w:r>
      <w:r w:rsidRPr="000C0FCC">
        <w:tab/>
        <w:t xml:space="preserve">Insta o Conselho a retomar as negociações com o Parlamento ao mais alto nível, o mais </w:t>
      </w:r>
      <w:r w:rsidRPr="000C0FCC">
        <w:lastRenderedPageBreak/>
        <w:t>rapidamente possível, e a associar a este processo os secretários‑gerais e os presidentes das duas instituições, a fim de ultrapassar o impasse e encontrar uma solução, respeitando simultaneamente os papéis respetivos do Parlamento e do Conselho no processo de quitação e garantindo a transparência e um controlo democrático adequado da execução orçamental;</w:t>
      </w:r>
    </w:p>
    <w:p w14:paraId="0415F131" w14:textId="77777777" w:rsidR="003331B8" w:rsidRPr="000C0FCC" w:rsidRDefault="003331B8" w:rsidP="003331B8">
      <w:pPr>
        <w:pStyle w:val="NormalHanging12a"/>
      </w:pPr>
      <w:r w:rsidRPr="000C0FCC">
        <w:t>14.</w:t>
      </w:r>
      <w:r w:rsidRPr="000C0FCC">
        <w:tab/>
        <w:t>Lamenta que o Conselho não se tenha preparado para evitar uma Presidência do Conselho liderada por um Estado-Membro objeto dum procedimento nos termos do artigo 7.º, cuja consequência é a Presidência do Conselho estar a ser utilizada de forma abusiva pelo Governo húngaro e o princípio da cooperação leal ter sido violado;</w:t>
      </w:r>
    </w:p>
    <w:p w14:paraId="58D2A816" w14:textId="77777777" w:rsidR="003331B8" w:rsidRPr="000C0FCC" w:rsidRDefault="003331B8" w:rsidP="003331B8">
      <w:pPr>
        <w:pStyle w:val="NormalHanging12a"/>
      </w:pPr>
      <w:r w:rsidRPr="000C0FCC">
        <w:t>15.</w:t>
      </w:r>
      <w:r w:rsidRPr="000C0FCC">
        <w:tab/>
        <w:t>Salienta que continuam válidas as observações formuladas pelo Parlamento na sua resolução de quitação de 23 de abril de 2024 a respeito das prioridades políticas – incluindo a falta de orientações vinculativas relacionadas com o patrocínio de empresas das presidências rotativas do Conselho –, da gestão orçamental e financeira, da gestão interna, do desempenho e do controlo interno, dos recursos humanos, da igualdade – designadamente o desequilíbrio de género – e do bem‑estar do pessoal, do quadro deontológico e da transparência, da digitalização, da cibersegurança e da proteção de dados, dos edifícios, do ambiente e da sustentabilidade, bem como da cooperação interinstitucional e da comunicação;</w:t>
      </w:r>
    </w:p>
    <w:p w14:paraId="2487322E" w14:textId="77777777" w:rsidR="003331B8" w:rsidRPr="000C0FCC" w:rsidRDefault="003331B8" w:rsidP="003331B8">
      <w:pPr>
        <w:pStyle w:val="NormalHanging12a"/>
      </w:pPr>
      <w:r w:rsidRPr="000C0FCC">
        <w:t>16.</w:t>
      </w:r>
      <w:r w:rsidRPr="000C0FCC">
        <w:tab/>
        <w:t>Reitera que a utilização do processo de votação por unanimidade no Conselho em determinados domínios de intervenção está a paralisar o processo de decisão da União, tornando-a suscetível a chantagem por parte dos Estados-Membros, sobretudo aqueles que não respeitam o Estado de direito.</w:t>
      </w:r>
    </w:p>
    <w:p w14:paraId="719CCE8C" w14:textId="77777777" w:rsidR="00E365E1" w:rsidRPr="000C0FCC" w:rsidRDefault="00E365E1" w:rsidP="00C34165">
      <w:bookmarkStart w:id="10" w:name="TextBodyEnd"/>
      <w:bookmarkEnd w:id="10"/>
    </w:p>
    <w:sectPr w:rsidR="00E365E1" w:rsidRPr="000C0FCC" w:rsidSect="0064266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254D9" w14:textId="77777777" w:rsidR="00C34165" w:rsidRPr="00642668" w:rsidRDefault="00C34165">
      <w:r w:rsidRPr="00642668">
        <w:separator/>
      </w:r>
    </w:p>
  </w:endnote>
  <w:endnote w:type="continuationSeparator" w:id="0">
    <w:p w14:paraId="4EAB4443" w14:textId="77777777" w:rsidR="00C34165" w:rsidRPr="00642668" w:rsidRDefault="00C34165">
      <w:r w:rsidRPr="006426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12C92" w14:textId="77777777" w:rsidR="003331B8" w:rsidRPr="00642668" w:rsidRDefault="003331B8" w:rsidP="007F1140">
    <w:pPr>
      <w:pStyle w:val="EPFooter"/>
    </w:pPr>
    <w:r w:rsidRPr="00642668">
      <w:t>PE</w:t>
    </w:r>
    <w:r w:rsidRPr="00642668">
      <w:rPr>
        <w:rStyle w:val="HideTWBExt"/>
      </w:rPr>
      <w:t>&lt;NoPE&gt;</w:t>
    </w:r>
    <w:r w:rsidRPr="00642668">
      <w:t>761.252</w:t>
    </w:r>
    <w:r w:rsidRPr="00642668">
      <w:rPr>
        <w:rStyle w:val="HideTWBExt"/>
      </w:rPr>
      <w:t>&lt;/NoPE&gt;&lt;Version&gt;</w:t>
    </w:r>
    <w:r w:rsidRPr="00642668">
      <w:t>v02-00</w:t>
    </w:r>
    <w:r w:rsidRPr="00642668">
      <w:rPr>
        <w:rStyle w:val="HideTWBExt"/>
      </w:rPr>
      <w:t>&lt;/Version&gt;</w:t>
    </w:r>
    <w:r w:rsidRPr="00642668">
      <w:tab/>
    </w:r>
    <w:r w:rsidRPr="00642668">
      <w:fldChar w:fldCharType="begin"/>
    </w:r>
    <w:r w:rsidRPr="00642668">
      <w:instrText xml:space="preserve"> PAGE  \* MERGEFORMAT </w:instrText>
    </w:r>
    <w:r w:rsidRPr="00642668">
      <w:fldChar w:fldCharType="separate"/>
    </w:r>
    <w:r w:rsidR="00642668" w:rsidRPr="00642668">
      <w:rPr>
        <w:noProof/>
      </w:rPr>
      <w:t>2</w:t>
    </w:r>
    <w:r w:rsidRPr="00642668">
      <w:fldChar w:fldCharType="end"/>
    </w:r>
    <w:r w:rsidRPr="00642668">
      <w:t>/</w:t>
    </w:r>
    <w:fldSimple w:instr=" NUMPAGES  \* MERGEFORMAT ">
      <w:r w:rsidR="00642668" w:rsidRPr="00642668">
        <w:rPr>
          <w:noProof/>
        </w:rPr>
        <w:t>4</w:t>
      </w:r>
    </w:fldSimple>
    <w:r w:rsidRPr="00642668">
      <w:tab/>
    </w:r>
    <w:r w:rsidRPr="00642668">
      <w:rPr>
        <w:rStyle w:val="HideTWBExt"/>
      </w:rPr>
      <w:t>&lt;PathFdR&gt;</w:t>
    </w:r>
    <w:r w:rsidRPr="00642668">
      <w:t>RR\1307728PT.docx</w:t>
    </w:r>
    <w:r w:rsidRPr="00642668">
      <w:rPr>
        <w:rStyle w:val="HideTWBExt"/>
      </w:rPr>
      <w:t>&lt;/PathFdR&gt;</w:t>
    </w:r>
  </w:p>
  <w:p w14:paraId="0FE7C977" w14:textId="77777777" w:rsidR="003331B8" w:rsidRPr="00642668" w:rsidRDefault="003331B8" w:rsidP="007F1140">
    <w:pPr>
      <w:pStyle w:val="EPFooter2"/>
    </w:pPr>
    <w:r w:rsidRPr="00642668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CD56C" w14:textId="77777777" w:rsidR="003331B8" w:rsidRPr="00E362E0" w:rsidRDefault="003331B8" w:rsidP="00E362E0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5C6E7" w14:textId="77777777" w:rsidR="003331B8" w:rsidRPr="00642668" w:rsidRDefault="003331B8" w:rsidP="007F1140">
    <w:pPr>
      <w:pStyle w:val="EPFooter"/>
    </w:pPr>
    <w:r w:rsidRPr="00642668">
      <w:rPr>
        <w:rStyle w:val="HideTWBExt"/>
      </w:rPr>
      <w:t>&lt;PathFdR&gt;</w:t>
    </w:r>
    <w:r w:rsidRPr="00642668">
      <w:t>RR\1307728PT.docx</w:t>
    </w:r>
    <w:r w:rsidRPr="00642668">
      <w:rPr>
        <w:rStyle w:val="HideTWBExt"/>
      </w:rPr>
      <w:t>&lt;/PathFdR&gt;</w:t>
    </w:r>
    <w:r w:rsidRPr="00642668">
      <w:tab/>
    </w:r>
    <w:r w:rsidRPr="00642668">
      <w:tab/>
      <w:t>PE</w:t>
    </w:r>
    <w:r w:rsidRPr="00642668">
      <w:rPr>
        <w:rStyle w:val="HideTWBExt"/>
      </w:rPr>
      <w:t>&lt;NoPE&gt;</w:t>
    </w:r>
    <w:r w:rsidRPr="00642668">
      <w:t>761.252</w:t>
    </w:r>
    <w:r w:rsidRPr="00642668">
      <w:rPr>
        <w:rStyle w:val="HideTWBExt"/>
      </w:rPr>
      <w:t>&lt;/NoPE&gt;&lt;Version&gt;</w:t>
    </w:r>
    <w:r w:rsidRPr="00642668">
      <w:t>v02-00</w:t>
    </w:r>
    <w:r w:rsidRPr="00642668">
      <w:rPr>
        <w:rStyle w:val="HideTWBExt"/>
      </w:rPr>
      <w:t>&lt;/Version&gt;</w:t>
    </w:r>
  </w:p>
  <w:p w14:paraId="522C501A" w14:textId="77777777" w:rsidR="003331B8" w:rsidRPr="00642668" w:rsidRDefault="003331B8" w:rsidP="007F1140">
    <w:pPr>
      <w:pStyle w:val="EPFooter2"/>
    </w:pPr>
    <w:r w:rsidRPr="00642668">
      <w:t>PT</w:t>
    </w:r>
    <w:r w:rsidRPr="00642668">
      <w:tab/>
    </w:r>
    <w:r w:rsidRPr="00642668">
      <w:rPr>
        <w:b w:val="0"/>
        <w:i/>
        <w:color w:val="C0C0C0"/>
        <w:sz w:val="22"/>
      </w:rPr>
      <w:t>Unida na diversidade</w:t>
    </w:r>
    <w:r w:rsidRPr="00642668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3AB8D" w14:textId="77777777" w:rsidR="00064002" w:rsidRPr="0064266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507DB" w14:textId="77777777" w:rsidR="00064002" w:rsidRPr="0064266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AE68B" w14:textId="77777777" w:rsidR="00064002" w:rsidRPr="006426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FDE9" w14:textId="77777777" w:rsidR="00C34165" w:rsidRPr="00642668" w:rsidRDefault="00C34165">
      <w:r w:rsidRPr="00642668">
        <w:separator/>
      </w:r>
    </w:p>
  </w:footnote>
  <w:footnote w:type="continuationSeparator" w:id="0">
    <w:p w14:paraId="2AEC5A9F" w14:textId="77777777" w:rsidR="00C34165" w:rsidRPr="00642668" w:rsidRDefault="00C34165">
      <w:r w:rsidRPr="00642668">
        <w:continuationSeparator/>
      </w:r>
    </w:p>
  </w:footnote>
  <w:footnote w:id="1">
    <w:p w14:paraId="7ED58E7E" w14:textId="77777777" w:rsidR="003331B8" w:rsidRPr="000C0FCC" w:rsidRDefault="003331B8" w:rsidP="00642668">
      <w:pPr>
        <w:pStyle w:val="FootnoteText"/>
        <w:ind w:left="567" w:hanging="567"/>
        <w:rPr>
          <w:sz w:val="24"/>
          <w:lang w:val="da-DK"/>
        </w:rPr>
      </w:pPr>
      <w:r w:rsidRPr="00642668">
        <w:rPr>
          <w:rStyle w:val="FootnoteReference"/>
          <w:sz w:val="24"/>
          <w:lang w:val="pt-PT"/>
        </w:rPr>
        <w:footnoteRef/>
      </w:r>
      <w:r w:rsidR="00642668" w:rsidRPr="000C0FCC">
        <w:rPr>
          <w:sz w:val="24"/>
          <w:lang w:val="da-DK"/>
        </w:rPr>
        <w:t xml:space="preserve"> </w:t>
      </w:r>
      <w:r w:rsidR="00642668" w:rsidRPr="000C0FCC">
        <w:rPr>
          <w:sz w:val="24"/>
          <w:lang w:val="da-DK"/>
        </w:rPr>
        <w:tab/>
      </w:r>
      <w:r w:rsidRPr="000C0FCC">
        <w:rPr>
          <w:sz w:val="24"/>
          <w:lang w:val="da-DK"/>
        </w:rPr>
        <w:t>JO L 45 de 24.2.2022.</w:t>
      </w:r>
    </w:p>
  </w:footnote>
  <w:footnote w:id="2">
    <w:p w14:paraId="61C871E8" w14:textId="77777777" w:rsidR="003331B8" w:rsidRPr="000C0FCC" w:rsidRDefault="003331B8" w:rsidP="00642668">
      <w:pPr>
        <w:pStyle w:val="FootnoteText"/>
        <w:ind w:left="567" w:hanging="567"/>
        <w:rPr>
          <w:sz w:val="24"/>
          <w:lang w:val="da-DK"/>
        </w:rPr>
      </w:pPr>
      <w:r w:rsidRPr="00642668">
        <w:rPr>
          <w:rStyle w:val="FootnoteReference"/>
          <w:sz w:val="24"/>
          <w:lang w:val="pt-PT"/>
        </w:rPr>
        <w:footnoteRef/>
      </w:r>
      <w:r w:rsidR="00642668" w:rsidRPr="000C0FCC">
        <w:rPr>
          <w:sz w:val="24"/>
          <w:lang w:val="da-DK"/>
        </w:rPr>
        <w:t xml:space="preserve"> </w:t>
      </w:r>
      <w:r w:rsidR="00642668" w:rsidRPr="000C0FCC">
        <w:rPr>
          <w:sz w:val="24"/>
          <w:lang w:val="da-DK"/>
        </w:rPr>
        <w:tab/>
      </w:r>
      <w:r w:rsidRPr="000C0FCC">
        <w:rPr>
          <w:sz w:val="24"/>
          <w:lang w:val="da-DK"/>
        </w:rPr>
        <w:t>JO C, C/2023/2, 12.10.2023.</w:t>
      </w:r>
    </w:p>
  </w:footnote>
  <w:footnote w:id="3">
    <w:p w14:paraId="61C6AE1E" w14:textId="77777777" w:rsidR="003331B8" w:rsidRPr="000C0FCC" w:rsidRDefault="003331B8" w:rsidP="00642668">
      <w:pPr>
        <w:pStyle w:val="FootnoteText"/>
        <w:ind w:left="567" w:hanging="567"/>
        <w:rPr>
          <w:sz w:val="24"/>
          <w:lang w:val="da-DK"/>
        </w:rPr>
      </w:pPr>
      <w:r w:rsidRPr="00642668">
        <w:rPr>
          <w:rStyle w:val="FootnoteReference"/>
          <w:sz w:val="24"/>
          <w:lang w:val="pt-PT"/>
        </w:rPr>
        <w:footnoteRef/>
      </w:r>
      <w:r w:rsidR="00642668" w:rsidRPr="000C0FCC">
        <w:rPr>
          <w:sz w:val="24"/>
          <w:lang w:val="da-DK"/>
        </w:rPr>
        <w:t xml:space="preserve"> </w:t>
      </w:r>
      <w:r w:rsidR="00642668" w:rsidRPr="000C0FCC">
        <w:rPr>
          <w:sz w:val="24"/>
          <w:lang w:val="da-DK"/>
        </w:rPr>
        <w:tab/>
      </w:r>
      <w:r w:rsidRPr="000C0FCC">
        <w:rPr>
          <w:sz w:val="24"/>
          <w:lang w:val="da-DK"/>
        </w:rPr>
        <w:t>JO C, C/2023/103, 4.10.2023.</w:t>
      </w:r>
    </w:p>
  </w:footnote>
  <w:footnote w:id="4">
    <w:p w14:paraId="1E1290C3" w14:textId="77777777" w:rsidR="003331B8" w:rsidRPr="00642668" w:rsidRDefault="003331B8" w:rsidP="00642668">
      <w:pPr>
        <w:pStyle w:val="FootnoteText"/>
        <w:ind w:left="567" w:hanging="567"/>
        <w:rPr>
          <w:sz w:val="24"/>
          <w:lang w:val="pt-PT"/>
        </w:rPr>
      </w:pPr>
      <w:r w:rsidRPr="00642668">
        <w:rPr>
          <w:rStyle w:val="FootnoteReference"/>
          <w:sz w:val="24"/>
          <w:lang w:val="pt-PT"/>
        </w:rPr>
        <w:footnoteRef/>
      </w:r>
      <w:r w:rsidR="00642668" w:rsidRPr="00642668">
        <w:rPr>
          <w:sz w:val="24"/>
          <w:lang w:val="pt-PT"/>
        </w:rPr>
        <w:t xml:space="preserve"> </w:t>
      </w:r>
      <w:r w:rsidR="00642668" w:rsidRPr="00642668">
        <w:rPr>
          <w:sz w:val="24"/>
          <w:lang w:val="pt-PT"/>
        </w:rPr>
        <w:tab/>
      </w:r>
      <w:r w:rsidRPr="00642668">
        <w:rPr>
          <w:sz w:val="24"/>
          <w:lang w:val="pt-PT"/>
        </w:rPr>
        <w:t>JO C, C/2023/112, 12.10.2023.</w:t>
      </w:r>
    </w:p>
  </w:footnote>
  <w:footnote w:id="5">
    <w:p w14:paraId="494856D7" w14:textId="77777777" w:rsidR="003331B8" w:rsidRPr="00642668" w:rsidRDefault="003331B8" w:rsidP="00642668">
      <w:pPr>
        <w:pStyle w:val="FootnoteText"/>
        <w:ind w:left="567" w:hanging="567"/>
        <w:rPr>
          <w:sz w:val="24"/>
          <w:lang w:val="pt-PT"/>
        </w:rPr>
      </w:pPr>
      <w:r w:rsidRPr="00642668">
        <w:rPr>
          <w:rStyle w:val="FootnoteReference"/>
          <w:sz w:val="24"/>
          <w:lang w:val="pt-PT"/>
        </w:rPr>
        <w:footnoteRef/>
      </w:r>
      <w:r w:rsidR="00642668" w:rsidRPr="00642668">
        <w:rPr>
          <w:sz w:val="24"/>
          <w:lang w:val="pt-PT"/>
        </w:rPr>
        <w:t xml:space="preserve"> </w:t>
      </w:r>
      <w:r w:rsidR="00642668" w:rsidRPr="00642668">
        <w:rPr>
          <w:sz w:val="24"/>
          <w:lang w:val="pt-PT"/>
        </w:rPr>
        <w:tab/>
      </w:r>
      <w:r w:rsidRPr="00642668">
        <w:rPr>
          <w:sz w:val="24"/>
          <w:lang w:val="pt-PT"/>
        </w:rPr>
        <w:t>Textos Aprovados, P9_TA(2024)0288.</w:t>
      </w:r>
    </w:p>
  </w:footnote>
  <w:footnote w:id="6">
    <w:p w14:paraId="77385350" w14:textId="77777777" w:rsidR="003331B8" w:rsidRPr="00642668" w:rsidRDefault="003331B8" w:rsidP="00642668">
      <w:pPr>
        <w:pStyle w:val="FootnoteText"/>
        <w:ind w:left="567" w:hanging="567"/>
        <w:rPr>
          <w:sz w:val="24"/>
          <w:lang w:val="pt-PT"/>
        </w:rPr>
      </w:pPr>
      <w:r w:rsidRPr="00642668">
        <w:rPr>
          <w:rStyle w:val="FootnoteReference"/>
          <w:sz w:val="24"/>
          <w:lang w:val="pt-PT"/>
        </w:rPr>
        <w:footnoteRef/>
      </w:r>
      <w:r w:rsidR="00642668" w:rsidRPr="00642668">
        <w:rPr>
          <w:sz w:val="24"/>
          <w:lang w:val="pt-PT"/>
        </w:rPr>
        <w:t xml:space="preserve"> </w:t>
      </w:r>
      <w:r w:rsidR="00642668" w:rsidRPr="00642668">
        <w:rPr>
          <w:sz w:val="24"/>
          <w:lang w:val="pt-PT"/>
        </w:rPr>
        <w:tab/>
      </w:r>
      <w:r w:rsidRPr="00642668">
        <w:rPr>
          <w:sz w:val="24"/>
          <w:lang w:val="pt-PT"/>
        </w:rPr>
        <w:t>JO L 193 de 30.7.2018, p. 1.</w:t>
      </w:r>
    </w:p>
  </w:footnote>
  <w:footnote w:id="7">
    <w:p w14:paraId="46E122C4" w14:textId="77777777" w:rsidR="00D05DC7" w:rsidRPr="00805A4D" w:rsidRDefault="00D05DC7" w:rsidP="00D05DC7">
      <w:pPr>
        <w:pStyle w:val="FootnoteText"/>
        <w:keepLines w:val="0"/>
        <w:spacing w:line="240" w:lineRule="exact"/>
        <w:ind w:left="567" w:hanging="567"/>
        <w:rPr>
          <w:sz w:val="24"/>
          <w:lang w:val="fi-FI"/>
        </w:rPr>
      </w:pPr>
      <w:r w:rsidRPr="007A671D">
        <w:rPr>
          <w:rStyle w:val="FootnoteReference"/>
          <w:sz w:val="24"/>
          <w:lang w:val="pt-PT"/>
        </w:rPr>
        <w:footnoteRef/>
      </w:r>
      <w:r w:rsidRPr="00805A4D">
        <w:rPr>
          <w:sz w:val="24"/>
          <w:lang w:val="fi-FI"/>
        </w:rPr>
        <w:t xml:space="preserve"> </w:t>
      </w:r>
      <w:r w:rsidRPr="00805A4D">
        <w:rPr>
          <w:sz w:val="24"/>
          <w:lang w:val="fi-FI"/>
        </w:rPr>
        <w:tab/>
      </w:r>
      <w:r w:rsidRPr="00805A4D">
        <w:rPr>
          <w:sz w:val="24"/>
          <w:szCs w:val="24"/>
          <w:lang w:val="fi-FI"/>
        </w:rPr>
        <w:t>J</w:t>
      </w:r>
      <w:r>
        <w:rPr>
          <w:sz w:val="24"/>
          <w:szCs w:val="24"/>
          <w:lang w:val="fi-FI"/>
        </w:rPr>
        <w:t>O</w:t>
      </w:r>
      <w:r w:rsidRPr="00805A4D">
        <w:rPr>
          <w:sz w:val="24"/>
          <w:szCs w:val="24"/>
          <w:lang w:val="fi-FI"/>
        </w:rPr>
        <w:t xml:space="preserve"> L, 2024/2509, 26.9.2024, ELI: </w:t>
      </w:r>
      <w:hyperlink r:id="rId1" w:history="1">
        <w:r w:rsidRPr="00E124DB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805A4D">
        <w:rPr>
          <w:sz w:val="24"/>
          <w:szCs w:val="24"/>
          <w:lang w:val="fi-FI"/>
        </w:rPr>
        <w:t>.</w:t>
      </w:r>
    </w:p>
  </w:footnote>
  <w:footnote w:id="8">
    <w:p w14:paraId="45FF9909" w14:textId="77777777" w:rsidR="003331B8" w:rsidRPr="00642668" w:rsidRDefault="003331B8" w:rsidP="00642668">
      <w:pPr>
        <w:pStyle w:val="FootnoteText"/>
        <w:ind w:left="567" w:hanging="567"/>
        <w:rPr>
          <w:sz w:val="24"/>
          <w:lang w:val="pt-PT"/>
        </w:rPr>
      </w:pPr>
      <w:r w:rsidRPr="00642668">
        <w:rPr>
          <w:rStyle w:val="FootnoteReference"/>
          <w:sz w:val="24"/>
          <w:lang w:val="pt-PT"/>
        </w:rPr>
        <w:footnoteRef/>
      </w:r>
      <w:r w:rsidR="00642668" w:rsidRPr="00642668">
        <w:rPr>
          <w:sz w:val="24"/>
          <w:lang w:val="pt-PT"/>
        </w:rPr>
        <w:t xml:space="preserve"> </w:t>
      </w:r>
      <w:r w:rsidR="00642668" w:rsidRPr="00642668">
        <w:rPr>
          <w:sz w:val="24"/>
          <w:lang w:val="pt-PT"/>
        </w:rPr>
        <w:tab/>
      </w:r>
      <w:r w:rsidRPr="00642668">
        <w:rPr>
          <w:sz w:val="24"/>
          <w:lang w:val="pt-PT"/>
        </w:rPr>
        <w:t xml:space="preserve">Acórdão do Tribunal Geral de 25 de janeiro de 2023, </w:t>
      </w:r>
      <w:r w:rsidRPr="00642668">
        <w:rPr>
          <w:i/>
          <w:sz w:val="24"/>
          <w:lang w:val="pt-PT"/>
        </w:rPr>
        <w:t>De Capitani/Conselho</w:t>
      </w:r>
      <w:r w:rsidRPr="00642668">
        <w:rPr>
          <w:sz w:val="24"/>
          <w:lang w:val="pt-PT"/>
        </w:rPr>
        <w:t>, T-163/21, CLI:EU:T:2023:15.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121CB" w14:textId="77777777" w:rsidR="00064002" w:rsidRPr="006426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14E70" w14:textId="77777777" w:rsidR="00064002" w:rsidRPr="006426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8BE40" w14:textId="77777777" w:rsidR="00064002" w:rsidRPr="006426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4"/>
    <w:docVar w:name="dvlangue" w:val="PT"/>
    <w:docVar w:name="dvnumam" w:val="0"/>
    <w:docVar w:name="dvpe" w:val="761.252"/>
    <w:docVar w:name="dvrapporteur" w:val="Relator: "/>
    <w:docVar w:name="dvtitre" w:val="Decisão do Parlamento Europeu, de ... de ... de 2024, sobre a quitação pela execução do orçamento geral da União Europeia para o exercício de 2022, Secção II – Conselho Europeu e Conselho(2023/2131(DEC))"/>
  </w:docVars>
  <w:rsids>
    <w:rsidRoot w:val="00C34165"/>
    <w:rsid w:val="00002272"/>
    <w:rsid w:val="00012C99"/>
    <w:rsid w:val="00064002"/>
    <w:rsid w:val="000677B9"/>
    <w:rsid w:val="000831BA"/>
    <w:rsid w:val="000A42CC"/>
    <w:rsid w:val="000C0FCC"/>
    <w:rsid w:val="000E389D"/>
    <w:rsid w:val="000E7DD9"/>
    <w:rsid w:val="0010095E"/>
    <w:rsid w:val="00125B37"/>
    <w:rsid w:val="00187494"/>
    <w:rsid w:val="001F32AE"/>
    <w:rsid w:val="002767FF"/>
    <w:rsid w:val="002B18FE"/>
    <w:rsid w:val="002B5493"/>
    <w:rsid w:val="00304941"/>
    <w:rsid w:val="003331B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66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C0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4165"/>
    <w:rsid w:val="00C61C0C"/>
    <w:rsid w:val="00C941CB"/>
    <w:rsid w:val="00CC2357"/>
    <w:rsid w:val="00CF071A"/>
    <w:rsid w:val="00D058B8"/>
    <w:rsid w:val="00D05DC7"/>
    <w:rsid w:val="00D56C11"/>
    <w:rsid w:val="00D834A0"/>
    <w:rsid w:val="00D872DF"/>
    <w:rsid w:val="00D91E21"/>
    <w:rsid w:val="00DA7FCD"/>
    <w:rsid w:val="00E362E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3814DD"/>
  <w15:chartTrackingRefBased/>
  <w15:docId w15:val="{D7FAC1FD-27DE-4ED5-AF79-C677FB75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331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331B8"/>
    <w:pPr>
      <w:spacing w:before="480" w:after="240"/>
    </w:pPr>
  </w:style>
  <w:style w:type="paragraph" w:customStyle="1" w:styleId="PageHeading">
    <w:name w:val="PageHeading"/>
    <w:basedOn w:val="Normal"/>
    <w:rsid w:val="003331B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331B8"/>
    <w:rPr>
      <w:b/>
    </w:rPr>
  </w:style>
  <w:style w:type="paragraph" w:customStyle="1" w:styleId="NormalHanging12a">
    <w:name w:val="NormalHanging12a"/>
    <w:basedOn w:val="Normal"/>
    <w:link w:val="NormalHanging12aChar"/>
    <w:rsid w:val="003331B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331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31B8"/>
    <w:rPr>
      <w:sz w:val="24"/>
      <w:lang w:val="pt-PT"/>
    </w:rPr>
  </w:style>
  <w:style w:type="paragraph" w:customStyle="1" w:styleId="EPFooter">
    <w:name w:val="EPFooter"/>
    <w:basedOn w:val="Normal"/>
    <w:rsid w:val="003331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3331B8"/>
    <w:rPr>
      <w:sz w:val="24"/>
      <w:lang w:val="pt-PT"/>
    </w:rPr>
  </w:style>
  <w:style w:type="paragraph" w:styleId="BalloonText">
    <w:name w:val="Balloon Text"/>
    <w:basedOn w:val="Normal"/>
    <w:link w:val="BalloonTextChar"/>
    <w:rsid w:val="00E362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62E0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D05D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5D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5DC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05D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5DC7"/>
    <w:rPr>
      <w:b/>
      <w:bCs/>
      <w:lang w:val="pt-PT"/>
    </w:rPr>
  </w:style>
  <w:style w:type="character" w:styleId="Hyperlink">
    <w:name w:val="Hyperlink"/>
    <w:basedOn w:val="DefaultParagraphFont"/>
    <w:rsid w:val="00D05D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D8685-69D5-4AEA-A194-DA30F5D5E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2156</Words>
  <Characters>11686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IAM-RELEC1</cp:lastModifiedBy>
  <cp:revision>2</cp:revision>
  <cp:lastPrinted>2004-11-19T15:42:00Z</cp:lastPrinted>
  <dcterms:created xsi:type="dcterms:W3CDTF">2024-10-22T10:43:00Z</dcterms:created>
  <dcterms:modified xsi:type="dcterms:W3CDTF">2024-10-22T10:43:00Z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A10-0003/2024</vt:lpwstr>
  </property>
  <property fmtid="{D5CDD505-2E9C-101B-9397-08002B2CF9AE}" pid="4" name="&lt;Type&gt;">
    <vt:lpwstr>RR</vt:lpwstr>
  </property>
</Properties>
</file>