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52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52D7" w:rsidRDefault="00AD0E3A" w:rsidP="0010095E">
            <w:pPr>
              <w:pStyle w:val="EPName"/>
            </w:pPr>
            <w:bookmarkStart w:id="0" w:name="_GoBack"/>
            <w:bookmarkEnd w:id="0"/>
            <w:r w:rsidRPr="005852D7">
              <w:t>Európsky parlament</w:t>
            </w:r>
          </w:p>
          <w:p w:rsidR="00751A4A" w:rsidRPr="005852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52D7">
              <w:t>2024</w:t>
            </w:r>
            <w:r w:rsidR="00817416" w:rsidRPr="005852D7">
              <w:t>-202</w:t>
            </w:r>
            <w:r w:rsidRPr="005852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852D7" w:rsidRDefault="00187494" w:rsidP="0010095E">
            <w:pPr>
              <w:pStyle w:val="EPLogo"/>
            </w:pPr>
            <w:r w:rsidRPr="005852D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52D7" w:rsidRDefault="00D058B8" w:rsidP="004C5D52">
      <w:pPr>
        <w:pStyle w:val="LineTop"/>
      </w:pPr>
    </w:p>
    <w:p w:rsidR="00680577" w:rsidRPr="005852D7" w:rsidRDefault="00AD0E3A" w:rsidP="00680577">
      <w:pPr>
        <w:pStyle w:val="EPBodyTA1"/>
      </w:pPr>
      <w:r w:rsidRPr="005852D7">
        <w:t>PRIJATÉ TEXTY</w:t>
      </w:r>
    </w:p>
    <w:p w:rsidR="00D058B8" w:rsidRPr="005852D7" w:rsidRDefault="00D058B8" w:rsidP="00D058B8">
      <w:pPr>
        <w:pStyle w:val="LineBottom"/>
      </w:pPr>
    </w:p>
    <w:p w:rsidR="00AD0E3A" w:rsidRPr="005852D7" w:rsidRDefault="00AD0E3A" w:rsidP="00AD0E3A">
      <w:pPr>
        <w:pStyle w:val="ATHeading1"/>
      </w:pPr>
      <w:bookmarkStart w:id="1" w:name="TANumber"/>
      <w:r w:rsidRPr="005852D7">
        <w:t>P10_TA(2024)00</w:t>
      </w:r>
      <w:r w:rsidR="005852D7" w:rsidRPr="005852D7">
        <w:t>26</w:t>
      </w:r>
      <w:bookmarkEnd w:id="1"/>
    </w:p>
    <w:p w:rsidR="00AD0E3A" w:rsidRPr="005852D7" w:rsidRDefault="00AD0E3A" w:rsidP="00AD0E3A">
      <w:pPr>
        <w:pStyle w:val="ATHeading2"/>
      </w:pPr>
      <w:bookmarkStart w:id="2" w:name="title"/>
      <w:r w:rsidRPr="005852D7">
        <w:t>Absolutórium za rok 2022: všeobecný rozpočet EÚ – Európska rada a Rada</w:t>
      </w:r>
      <w:bookmarkEnd w:id="2"/>
    </w:p>
    <w:p w:rsidR="00AD0E3A" w:rsidRPr="005852D7" w:rsidRDefault="00AD0E3A" w:rsidP="00AD0E3A">
      <w:pPr>
        <w:rPr>
          <w:i/>
          <w:vanish/>
        </w:rPr>
      </w:pPr>
      <w:r w:rsidRPr="005852D7">
        <w:rPr>
          <w:i/>
        </w:rPr>
        <w:fldChar w:fldCharType="begin"/>
      </w:r>
      <w:r w:rsidRPr="005852D7">
        <w:rPr>
          <w:i/>
        </w:rPr>
        <w:instrText xml:space="preserve"> TC"(</w:instrText>
      </w:r>
      <w:bookmarkStart w:id="3" w:name="DocNumber"/>
      <w:r w:rsidRPr="005852D7">
        <w:rPr>
          <w:i/>
        </w:rPr>
        <w:instrText>A10-0003/2024</w:instrText>
      </w:r>
      <w:bookmarkEnd w:id="3"/>
      <w:r w:rsidRPr="005852D7">
        <w:rPr>
          <w:i/>
        </w:rPr>
        <w:instrText xml:space="preserve"> - Spravodajca: </w:instrText>
      </w:r>
      <w:proofErr w:type="spellStart"/>
      <w:r w:rsidRPr="005852D7">
        <w:rPr>
          <w:i/>
        </w:rPr>
        <w:instrText>Jonas</w:instrText>
      </w:r>
      <w:proofErr w:type="spellEnd"/>
      <w:r w:rsidRPr="005852D7">
        <w:rPr>
          <w:i/>
        </w:rPr>
        <w:instrText xml:space="preserve"> </w:instrText>
      </w:r>
      <w:proofErr w:type="spellStart"/>
      <w:r w:rsidRPr="005852D7">
        <w:rPr>
          <w:i/>
        </w:rPr>
        <w:instrText>Sjöstedt</w:instrText>
      </w:r>
      <w:proofErr w:type="spellEnd"/>
      <w:r w:rsidRPr="005852D7">
        <w:rPr>
          <w:i/>
        </w:rPr>
        <w:instrText xml:space="preserve">)"\l3 \n&gt; \* MERGEFORMAT </w:instrText>
      </w:r>
      <w:r w:rsidRPr="005852D7">
        <w:rPr>
          <w:i/>
        </w:rPr>
        <w:fldChar w:fldCharType="end"/>
      </w:r>
    </w:p>
    <w:p w:rsidR="00AD0E3A" w:rsidRPr="005852D7" w:rsidRDefault="00AD0E3A" w:rsidP="00AD0E3A">
      <w:pPr>
        <w:rPr>
          <w:vanish/>
        </w:rPr>
      </w:pPr>
      <w:bookmarkStart w:id="4" w:name="Commission"/>
      <w:r w:rsidRPr="005852D7">
        <w:rPr>
          <w:vanish/>
        </w:rPr>
        <w:t>Výbor pre kontrolu rozpočtu</w:t>
      </w:r>
      <w:bookmarkEnd w:id="4"/>
    </w:p>
    <w:p w:rsidR="00AD0E3A" w:rsidRPr="005852D7" w:rsidRDefault="00AD0E3A" w:rsidP="00AD0E3A">
      <w:pPr>
        <w:rPr>
          <w:vanish/>
        </w:rPr>
      </w:pPr>
      <w:bookmarkStart w:id="5" w:name="PE"/>
      <w:r w:rsidRPr="005852D7">
        <w:rPr>
          <w:vanish/>
        </w:rPr>
        <w:t>PE761.252</w:t>
      </w:r>
      <w:bookmarkEnd w:id="5"/>
    </w:p>
    <w:p w:rsidR="00AD0E3A" w:rsidRPr="005852D7" w:rsidRDefault="002F110D" w:rsidP="00AD0E3A">
      <w:pPr>
        <w:pStyle w:val="ATHeading3"/>
      </w:pPr>
      <w:bookmarkStart w:id="6" w:name="Sujet"/>
      <w:r w:rsidRPr="005852D7">
        <w:t>1. R</w:t>
      </w:r>
      <w:r w:rsidR="00AD0E3A" w:rsidRPr="005852D7">
        <w:t xml:space="preserve">ozhodnutie Európskeho parlamentu </w:t>
      </w:r>
      <w:r w:rsidR="00463958" w:rsidRPr="005852D7">
        <w:t xml:space="preserve">z 22. októbra 2024 </w:t>
      </w:r>
      <w:r w:rsidR="00AD0E3A" w:rsidRPr="005852D7">
        <w:t>o absolutóriu za plnenie všeobecného rozpočtu Európskej únie za rozpočtový rok 2022, oddiel II – Európska rada a Rada</w:t>
      </w:r>
      <w:bookmarkEnd w:id="6"/>
      <w:r w:rsidR="00AD0E3A" w:rsidRPr="005852D7">
        <w:t xml:space="preserve"> </w:t>
      </w:r>
      <w:bookmarkStart w:id="7" w:name="References"/>
      <w:r w:rsidR="00AD0E3A" w:rsidRPr="005852D7">
        <w:t>(2023/2131(DEC))</w:t>
      </w:r>
      <w:bookmarkEnd w:id="7"/>
    </w:p>
    <w:p w:rsidR="007E738A" w:rsidRPr="005852D7" w:rsidRDefault="007E738A" w:rsidP="007E738A">
      <w:pPr>
        <w:pStyle w:val="EPComma"/>
      </w:pPr>
      <w:bookmarkStart w:id="8" w:name="TextBodyBegin"/>
      <w:bookmarkEnd w:id="8"/>
      <w:r w:rsidRPr="005852D7">
        <w:rPr>
          <w:i/>
          <w:iCs/>
        </w:rPr>
        <w:t>Európsky parlament</w:t>
      </w:r>
      <w:r w:rsidRPr="005852D7">
        <w:t>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všeobecný rozpočet Európskej únie na rozpočtový rok 2022</w:t>
      </w:r>
      <w:r w:rsidRPr="005852D7">
        <w:rPr>
          <w:rStyle w:val="FootnoteReference"/>
        </w:rPr>
        <w:footnoteReference w:id="1"/>
      </w:r>
      <w:r w:rsidRPr="005852D7">
        <w:t>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konsolidovanú ročnú účtovnú závierku Európskej únie za rozpočtový rok 2022 (COM(2023)0391 – C9</w:t>
      </w:r>
      <w:r w:rsidRPr="005852D7">
        <w:noBreakHyphen/>
        <w:t>0250/2023)</w:t>
      </w:r>
      <w:r w:rsidRPr="005852D7">
        <w:rPr>
          <w:rStyle w:val="FootnoteReference"/>
        </w:rPr>
        <w:footnoteReference w:id="2"/>
      </w:r>
      <w:r w:rsidRPr="005852D7">
        <w:t>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výročnú správu Rady o vnútorných auditoch vykonaných v roku 2022 pre orgán udeľujúci absolutórium,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výročnú správu Dvora audítorov o plnení rozpočtu za rozpočtový rok 2022 spolu s odpoveďami inštitúcií</w:t>
      </w:r>
      <w:r w:rsidRPr="005852D7">
        <w:rPr>
          <w:rStyle w:val="FootnoteReference"/>
        </w:rPr>
        <w:footnoteReference w:id="3"/>
      </w:r>
      <w:r w:rsidRPr="005852D7">
        <w:t>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vyhlásenie o vierohodnosti</w:t>
      </w:r>
      <w:r w:rsidRPr="005852D7">
        <w:rPr>
          <w:rStyle w:val="FootnoteReference"/>
        </w:rPr>
        <w:footnoteReference w:id="4"/>
      </w:r>
      <w:r w:rsidRPr="005852D7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svoje rozhodnutie z 23. apríla 2024</w:t>
      </w:r>
      <w:r w:rsidRPr="005852D7">
        <w:rPr>
          <w:rStyle w:val="FootnoteReference"/>
        </w:rPr>
        <w:footnoteReference w:id="5"/>
      </w:r>
      <w:r w:rsidRPr="005852D7">
        <w:t>, ktorým sa odkladá rozhodnutie o absolutóriu za rozpočtový rok 2022, ako aj na priložené uznesenie,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článok 314 ods. 10 a články 317, 318 a 319 Zmluvy o fungovaní Európskej únie,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 xml:space="preserve">so zreteľom na nariadenie Európskeho parlamentu a Rady (EÚ, </w:t>
      </w:r>
      <w:proofErr w:type="spellStart"/>
      <w:r w:rsidRPr="005852D7">
        <w:t>Euratom</w:t>
      </w:r>
      <w:proofErr w:type="spellEnd"/>
      <w:r w:rsidRPr="005852D7">
        <w:t xml:space="preserve">) 2018/1046 z 18. júla 2018 o rozpočtových pravidlách, ktoré sa vzťahujú na všeobecný rozpočet Únie, o zmene nariadení (EÚ) č. 1296/2013, (EÚ) č. 1301/2013, (EÚ) č. 1303/2013, (EÚ) č. 1304/2013, (EÚ) č. 1309/2013, (EÚ) č. 1316/2013, (EÚ) č. 223/2014, (EÚ) </w:t>
      </w:r>
      <w:r w:rsidRPr="005852D7">
        <w:lastRenderedPageBreak/>
        <w:t xml:space="preserve">č. 283/2014 a rozhodnutia č. 541/2014/EÚ a o zrušení nariadenia (EÚ, </w:t>
      </w:r>
      <w:proofErr w:type="spellStart"/>
      <w:r w:rsidRPr="005852D7">
        <w:t>Euratom</w:t>
      </w:r>
      <w:proofErr w:type="spellEnd"/>
      <w:r w:rsidRPr="005852D7">
        <w:t>) č. 966/2012</w:t>
      </w:r>
      <w:r w:rsidRPr="005852D7">
        <w:rPr>
          <w:rStyle w:val="FootnoteReference"/>
        </w:rPr>
        <w:footnoteReference w:id="6"/>
      </w:r>
      <w:r w:rsidRPr="005852D7">
        <w:t>, a najmä na jeho články 59, 118, 260, 261 a 262,</w:t>
      </w:r>
    </w:p>
    <w:p w:rsidR="00463958" w:rsidRPr="005852D7" w:rsidRDefault="00463958" w:rsidP="007E738A">
      <w:pPr>
        <w:pStyle w:val="NormalHanging12a"/>
      </w:pPr>
      <w:r w:rsidRPr="005852D7">
        <w:t>–</w:t>
      </w:r>
      <w:r w:rsidRPr="005852D7">
        <w:tab/>
        <w:t xml:space="preserve">so zreteľom na nariadenie Európskeho parlamentu a Rady (EÚ, </w:t>
      </w:r>
      <w:proofErr w:type="spellStart"/>
      <w:r w:rsidRPr="005852D7">
        <w:t>Euratom</w:t>
      </w:r>
      <w:proofErr w:type="spellEnd"/>
      <w:r w:rsidRPr="005852D7">
        <w:t>) 2024/2509 z 23. septembra 2024 o rozpočtových pravidlách, ktoré sa vzťahujú na všeobecný rozpočet Únie</w:t>
      </w:r>
      <w:r w:rsidRPr="005852D7">
        <w:rPr>
          <w:rStyle w:val="FootnoteReference"/>
        </w:rPr>
        <w:footnoteReference w:id="7"/>
      </w:r>
      <w:r w:rsidRPr="005852D7">
        <w:t>, a najmä na jeho články 59, 118, 266, 267 a 268,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článok 102 a prílohu V k rokovaciemu poriadku,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druhú správu Výboru pre kontrolu rozpočtu (A10-0003/2024),</w:t>
      </w:r>
    </w:p>
    <w:p w:rsidR="007E738A" w:rsidRPr="005852D7" w:rsidRDefault="007E738A" w:rsidP="007E738A">
      <w:pPr>
        <w:pStyle w:val="NormalHanging12a"/>
      </w:pPr>
      <w:r w:rsidRPr="005852D7">
        <w:t>1.</w:t>
      </w:r>
      <w:r w:rsidRPr="005852D7">
        <w:tab/>
        <w:t>neudeľuje generálnemu tajomníkovi Rady absolutórium za plnenie rozpočtu Európskej rady a Rady za rozpočtový rok 2022;</w:t>
      </w:r>
    </w:p>
    <w:p w:rsidR="007E738A" w:rsidRPr="005852D7" w:rsidRDefault="007E738A" w:rsidP="007E738A">
      <w:pPr>
        <w:pStyle w:val="NormalHanging12a"/>
      </w:pPr>
      <w:r w:rsidRPr="005852D7">
        <w:t>2.</w:t>
      </w:r>
      <w:r w:rsidRPr="005852D7">
        <w:tab/>
        <w:t>uvádza svoje poznámky v priloženom uznesení;</w:t>
      </w:r>
    </w:p>
    <w:p w:rsidR="007E738A" w:rsidRPr="005852D7" w:rsidRDefault="007E738A" w:rsidP="007E738A">
      <w:pPr>
        <w:pStyle w:val="NormalHanging12a"/>
      </w:pPr>
      <w:r w:rsidRPr="005852D7">
        <w:t>3.</w:t>
      </w:r>
      <w:r w:rsidRPr="005852D7">
        <w:tab/>
        <w:t xml:space="preserve">poveruje svoju predsedníčku, aby postúpila toto rozhodnutie a uznesenie, ktoré je jeho neoddeliteľnou súčasťou, Európskej rade, Rade, Komisii a Dvoru audítorov a aby zabezpečila ich uverejnenie v </w:t>
      </w:r>
      <w:r w:rsidRPr="005852D7">
        <w:rPr>
          <w:i/>
        </w:rPr>
        <w:t>Úradnom vestníku Európskej únie</w:t>
      </w:r>
      <w:r w:rsidRPr="005852D7">
        <w:t xml:space="preserve"> (v sérii L).</w:t>
      </w:r>
    </w:p>
    <w:p w:rsidR="007E738A" w:rsidRPr="005852D7" w:rsidRDefault="007E738A" w:rsidP="007E738A"/>
    <w:p w:rsidR="007E738A" w:rsidRPr="005852D7" w:rsidRDefault="007E738A" w:rsidP="007E738A">
      <w:pPr>
        <w:pStyle w:val="PageHeading"/>
        <w:sectPr w:rsidR="007E738A" w:rsidRPr="005852D7" w:rsidSect="00D1663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E738A" w:rsidRPr="005852D7" w:rsidRDefault="007E738A" w:rsidP="002F110D">
      <w:pPr>
        <w:pStyle w:val="ATHeading3"/>
      </w:pPr>
      <w:bookmarkStart w:id="9" w:name="_Toc180048254"/>
      <w:r w:rsidRPr="005852D7">
        <w:lastRenderedPageBreak/>
        <w:t xml:space="preserve">2. </w:t>
      </w:r>
      <w:bookmarkEnd w:id="9"/>
      <w:r w:rsidR="002F110D" w:rsidRPr="005852D7">
        <w:t>Uznesenie</w:t>
      </w:r>
      <w:r w:rsidR="002F110D" w:rsidRPr="005852D7">
        <w:t xml:space="preserve"> Európskeho parlamentu </w:t>
      </w:r>
      <w:r w:rsidR="00463958" w:rsidRPr="005852D7">
        <w:t xml:space="preserve">z 22. októbra 2024 </w:t>
      </w:r>
      <w:r w:rsidRPr="005852D7">
        <w:t xml:space="preserve">s poznámkami, ktoré </w:t>
      </w:r>
      <w:r w:rsidR="00463958" w:rsidRPr="005852D7">
        <w:t>je</w:t>
      </w:r>
      <w:r w:rsidR="00463958" w:rsidRPr="005852D7">
        <w:t xml:space="preserve"> </w:t>
      </w:r>
      <w:r w:rsidRPr="005852D7">
        <w:t>neoddeliteľnou súčasťou rozhodnutia o absolutóriu za plnenie všeobecného rozpočtu Európskej únie za rozpočtový rok 2022, oddiel II – Európska rada a</w:t>
      </w:r>
      <w:r w:rsidR="002F110D" w:rsidRPr="005852D7">
        <w:t> </w:t>
      </w:r>
      <w:r w:rsidRPr="005852D7">
        <w:t>Rada</w:t>
      </w:r>
      <w:r w:rsidR="002F110D" w:rsidRPr="005852D7">
        <w:t xml:space="preserve"> </w:t>
      </w:r>
      <w:r w:rsidRPr="005852D7">
        <w:t>(2023/2131(DEC))</w:t>
      </w:r>
    </w:p>
    <w:p w:rsidR="007E738A" w:rsidRPr="005852D7" w:rsidRDefault="007E738A" w:rsidP="007E738A">
      <w:pPr>
        <w:pStyle w:val="EPComma"/>
      </w:pPr>
      <w:r w:rsidRPr="005852D7">
        <w:rPr>
          <w:i/>
          <w:iCs/>
        </w:rPr>
        <w:t>Európsky parlament</w:t>
      </w:r>
      <w:r w:rsidRPr="005852D7">
        <w:t>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svoje rozhodnutie o absolutóriu za plnenie všeobecného rozpočtu Európskej únie za rozpočtový rok 2022, oddiel II – Európska rada a Rada,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článok 102 a prílohu V k rokovaciemu poriadku,</w:t>
      </w:r>
    </w:p>
    <w:p w:rsidR="007E738A" w:rsidRPr="005852D7" w:rsidRDefault="007E738A" w:rsidP="007E738A">
      <w:pPr>
        <w:pStyle w:val="NormalHanging12a"/>
      </w:pPr>
      <w:r w:rsidRPr="005852D7">
        <w:t>–</w:t>
      </w:r>
      <w:r w:rsidRPr="005852D7">
        <w:tab/>
        <w:t>so zreteľom na druhú správu Výboru pre kontrolu rozpočtu (A10-0003/2024),</w:t>
      </w:r>
    </w:p>
    <w:p w:rsidR="007E738A" w:rsidRPr="005852D7" w:rsidRDefault="007E738A" w:rsidP="007E738A">
      <w:pPr>
        <w:pStyle w:val="NormalHanging12a"/>
      </w:pPr>
      <w:r w:rsidRPr="005852D7">
        <w:t>A.</w:t>
      </w:r>
      <w:r w:rsidRPr="005852D7">
        <w:tab/>
        <w:t>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zdrojov;</w:t>
      </w:r>
    </w:p>
    <w:p w:rsidR="007E738A" w:rsidRPr="005852D7" w:rsidRDefault="007E738A" w:rsidP="007E738A">
      <w:pPr>
        <w:pStyle w:val="NormalHanging12a"/>
      </w:pPr>
      <w:r w:rsidRPr="005852D7">
        <w:t>B.</w:t>
      </w:r>
      <w:r w:rsidRPr="005852D7">
        <w:tab/>
        <w:t>keďže podľa článku 319 Zmluvy o fungovaní Európskej únie (ďalej len „ZFEÚ“) má Európsky parlament výhradnú zodpovednosť za udelenie absolutória za plnenie všeobecného rozpočtu Únie a keďže rozpočet Európskej rady a Rady je jedným z oddielov rozpočtu Únie;</w:t>
      </w:r>
    </w:p>
    <w:p w:rsidR="007E738A" w:rsidRPr="005852D7" w:rsidRDefault="007E738A" w:rsidP="007E738A">
      <w:pPr>
        <w:pStyle w:val="NormalHanging12a"/>
      </w:pPr>
      <w:r w:rsidRPr="005852D7">
        <w:t>C.</w:t>
      </w:r>
      <w:r w:rsidRPr="005852D7">
        <w:tab/>
        <w:t>keďže podľa článku 15 ods. 1 Zmluvy o Európskej únii Európska rada nevykonáva legislatívnu funkciu;</w:t>
      </w:r>
    </w:p>
    <w:p w:rsidR="007E738A" w:rsidRPr="005852D7" w:rsidRDefault="007E738A" w:rsidP="007E738A">
      <w:pPr>
        <w:pStyle w:val="NormalHanging12a"/>
      </w:pPr>
      <w:r w:rsidRPr="005852D7">
        <w:t>D.</w:t>
      </w:r>
      <w:r w:rsidRPr="005852D7">
        <w:tab/>
        <w:t>keďže podľa článku 317 ZFEÚ Komisia plní rozpočet na vlastnú zodpovednosť, a to podľa zásad správneho finančného riadenia, a keďže podľa platného rámca Komisia deleguje na ostatné inštitúcie Únie právomoci potrebné na implementáciu rozpočtových oddielov, ktoré sa ich týkajú;</w:t>
      </w:r>
    </w:p>
    <w:p w:rsidR="007E738A" w:rsidRPr="005852D7" w:rsidRDefault="007E738A" w:rsidP="007E738A">
      <w:pPr>
        <w:pStyle w:val="NormalHanging12a"/>
      </w:pPr>
      <w:r w:rsidRPr="005852D7">
        <w:t>E.</w:t>
      </w:r>
      <w:r w:rsidRPr="005852D7">
        <w:tab/>
        <w:t>keďže podľa článku 235 ods. 4 a článku 240 ods. 2 ZFEÚ Európskej rade a Rade (ďalej len „Rada“) pomáha Generálny sekretariát Rady a keďže generálny tajomník Rady v plnej miere zodpovedá za správne riadenie rozpočtových prostriedkov v oddiele II rozpočtu Únie;</w:t>
      </w:r>
    </w:p>
    <w:p w:rsidR="007E738A" w:rsidRPr="005852D7" w:rsidRDefault="007E738A" w:rsidP="007E738A">
      <w:pPr>
        <w:pStyle w:val="NormalHanging12a"/>
      </w:pPr>
      <w:r w:rsidRPr="005852D7">
        <w:t>F.</w:t>
      </w:r>
      <w:r w:rsidRPr="005852D7">
        <w:tab/>
        <w:t>keďže Európsky parlament už takmer dvadsať rokov vykonáva osvedčený a rešpektovaný postup udeľovania absolutória všetkým inštitúciám, orgánom, úradom a agentúram Únie a keďže Komisia podporuje to, aby sa tento postup udeľovania absolutória jednotlivým inštitúciám za ich administratívne výdavky uplatňoval aj naďalej;</w:t>
      </w:r>
    </w:p>
    <w:p w:rsidR="007E738A" w:rsidRPr="005852D7" w:rsidRDefault="007E738A" w:rsidP="007E738A">
      <w:pPr>
        <w:pStyle w:val="NormalHanging12a"/>
      </w:pPr>
      <w:r w:rsidRPr="005852D7">
        <w:t>G.</w:t>
      </w:r>
      <w:r w:rsidRPr="005852D7">
        <w:tab/>
        <w:t>keďže podľa článku 59 ods. 1 nariadenia o rozpočtových pravidlách Komisia deleguje na ostatné inštitúcie Únie právomoci potrebné na implementáciu rozpočtových oddielov, ktoré sa ich týkajú;</w:t>
      </w:r>
    </w:p>
    <w:p w:rsidR="007E738A" w:rsidRPr="005852D7" w:rsidRDefault="007E738A" w:rsidP="007E738A">
      <w:pPr>
        <w:pStyle w:val="NormalHanging12a"/>
      </w:pPr>
      <w:r w:rsidRPr="005852D7">
        <w:t>H.</w:t>
      </w:r>
      <w:r w:rsidRPr="005852D7">
        <w:tab/>
        <w:t xml:space="preserve">keďže v dôsledku nedostatočnej spolupráce Rady v rámci postupu udelenia absolutória </w:t>
      </w:r>
      <w:r w:rsidRPr="005852D7">
        <w:lastRenderedPageBreak/>
        <w:t>je Európsky parlament od roku 2009 nútený odmietať udelenie absolutória generálnemu tajomníkovi Rady;</w:t>
      </w:r>
    </w:p>
    <w:p w:rsidR="007E738A" w:rsidRPr="005852D7" w:rsidRDefault="007E738A" w:rsidP="007E738A">
      <w:pPr>
        <w:pStyle w:val="NormalHanging12a"/>
      </w:pPr>
      <w:r w:rsidRPr="005852D7">
        <w:t>I.</w:t>
      </w:r>
      <w:r w:rsidRPr="005852D7">
        <w:tab/>
        <w:t>keďže Európska rada a Rada by ako inštitúcie Únie aj ako príjemcovia finančných prostriedkov zo všeobecného rozpočtu Únie mali byť transparentné a demokraticky sa zodpovedať občanom Únie a mali by podliehať demokratickej kontrole vynakladania verejných finančných prostriedkov;</w:t>
      </w:r>
    </w:p>
    <w:p w:rsidR="007E738A" w:rsidRPr="005852D7" w:rsidRDefault="007E738A" w:rsidP="007E738A">
      <w:pPr>
        <w:pStyle w:val="NormalHanging12a"/>
      </w:pPr>
      <w:r w:rsidRPr="005852D7">
        <w:t>J.</w:t>
      </w:r>
      <w:r w:rsidRPr="005852D7">
        <w:tab/>
        <w:t>keďže v odporúčaní európskej ombudsmanky (ďalej len „ombudsmanka“) v strategickom vyšetrovaní OI/2/2017/TE týkajúcom sa transparentnosti legislatívneho procesu Rady sa uviedlo, že postupovanie Rady, pokiaľ ide o transparentnosť legislatívneho procesu, predstavuje nesprávny úradný postup a malo by sa riešiť, aby občania mohli sledovať legislatívny proces Únie;</w:t>
      </w:r>
    </w:p>
    <w:p w:rsidR="007E738A" w:rsidRPr="005852D7" w:rsidRDefault="007E738A" w:rsidP="007E738A">
      <w:pPr>
        <w:pStyle w:val="NormalHanging12a"/>
      </w:pPr>
      <w:r w:rsidRPr="005852D7">
        <w:t>K.</w:t>
      </w:r>
      <w:r w:rsidRPr="005852D7">
        <w:tab/>
        <w:t>keďže judikatúra Súdneho dvora Európskej únie potvrdzuje právo daňovníkov a verejnosti na priebežné informácie o využívaní verejných príjmov a keďže Všeobecný súd vo svojom rozsudku z 25. januára 2023 vo veci T-163/21</w:t>
      </w:r>
      <w:r w:rsidRPr="005852D7">
        <w:rPr>
          <w:rStyle w:val="FootnoteReference"/>
        </w:rPr>
        <w:footnoteReference w:id="8"/>
      </w:r>
      <w:r w:rsidRPr="005852D7">
        <w:t xml:space="preserve"> De </w:t>
      </w:r>
      <w:proofErr w:type="spellStart"/>
      <w:r w:rsidRPr="005852D7">
        <w:t>Capitani</w:t>
      </w:r>
      <w:proofErr w:type="spellEnd"/>
      <w:r w:rsidRPr="005852D7">
        <w:t>/Rada o transparentnosti v rámci legislatívneho procesu Únie uviedol, že dokumenty vypracované Radou v jej pracovných skupinách nie sú technickej, ale legislatívnej povahy, a preto podliehajú žiadostiam o prístup k dokumentom;</w:t>
      </w:r>
    </w:p>
    <w:p w:rsidR="007E738A" w:rsidRPr="005852D7" w:rsidRDefault="007E738A" w:rsidP="007E738A">
      <w:pPr>
        <w:pStyle w:val="NormalHanging12a"/>
      </w:pPr>
      <w:r w:rsidRPr="005852D7">
        <w:t>1.</w:t>
      </w:r>
      <w:r w:rsidRPr="005852D7">
        <w:tab/>
        <w:t>vyjadruje hlboké poľutovanie nad tým, že Rada už od roku 2009 a opäť aj v prípade rozpočtového roka 2022 odmieta spolupracovať s</w:t>
      </w:r>
      <w:r w:rsidR="00DA4124" w:rsidRPr="005852D7">
        <w:t> </w:t>
      </w:r>
      <w:r w:rsidR="00DA4124" w:rsidRPr="005852D7">
        <w:t>Európsk</w:t>
      </w:r>
      <w:r w:rsidR="00DA4124" w:rsidRPr="005852D7">
        <w:t>ym p</w:t>
      </w:r>
      <w:r w:rsidRPr="005852D7">
        <w:t xml:space="preserve">arlamentom v otázke postupu udelenia absolutória, čím </w:t>
      </w:r>
      <w:r w:rsidR="00DA4124" w:rsidRPr="005852D7">
        <w:t>Európsk</w:t>
      </w:r>
      <w:r w:rsidR="00DA4124" w:rsidRPr="005852D7">
        <w:t>emu p</w:t>
      </w:r>
      <w:r w:rsidRPr="005852D7">
        <w:t>arlamentu bráni prijať informované rozhodnutie na základe serióznej a dôkladnej kontroly plnenia rozpočtu Rady a núti ho odmietnuť udeliť jej absolutórium;</w:t>
      </w:r>
    </w:p>
    <w:p w:rsidR="007E738A" w:rsidRPr="005852D7" w:rsidRDefault="007E738A" w:rsidP="007E738A">
      <w:pPr>
        <w:pStyle w:val="NormalHanging12a"/>
      </w:pPr>
      <w:r w:rsidRPr="005852D7">
        <w:t>2.</w:t>
      </w:r>
      <w:r w:rsidRPr="005852D7">
        <w:tab/>
        <w:t xml:space="preserve">konštatuje, že príslušné útvary </w:t>
      </w:r>
      <w:r w:rsidR="00DA4124" w:rsidRPr="005852D7">
        <w:t>Európsk</w:t>
      </w:r>
      <w:r w:rsidR="00DA4124" w:rsidRPr="005852D7">
        <w:t>eho p</w:t>
      </w:r>
      <w:r w:rsidRPr="005852D7">
        <w:t>arlamentu zaslali 28. septembra 2023 v mene spravodajcu pre postup udelenia absolutória sekretariátu Rady dotazník so 74 dôležitými otázkami s cieľom umožniť dôkladnú kontrolu plnenia rozpočtu Rady a jej riadenia; ďalej konštatuje, že podobné dotazníky boli zaslané všetkým ostatným inštitúciám, ktoré poskytli Parlamentu dôkladné odpovede na všetky položené otázky;</w:t>
      </w:r>
    </w:p>
    <w:p w:rsidR="007E738A" w:rsidRPr="005852D7" w:rsidRDefault="007E738A" w:rsidP="007E738A">
      <w:pPr>
        <w:pStyle w:val="NormalHanging12a"/>
      </w:pPr>
      <w:r w:rsidRPr="005852D7">
        <w:t>3.</w:t>
      </w:r>
      <w:r w:rsidRPr="005852D7">
        <w:tab/>
        <w:t xml:space="preserve">vyjadruje poľutovanie nad tým, že Generálny sekretariát Rady 12. októbra 2023 opätovne informoval </w:t>
      </w:r>
      <w:r w:rsidR="00DA4124" w:rsidRPr="005852D7">
        <w:t>Európsk</w:t>
      </w:r>
      <w:r w:rsidR="00DA4124" w:rsidRPr="005852D7">
        <w:t>y p</w:t>
      </w:r>
      <w:r w:rsidRPr="005852D7">
        <w:t>arlament, že nebude odpovedať na jeho dotazník a že Rada sa nezúčastní na vypočutí naplánovanom na 25. októbra 2023 v rámci postupu udelenia absolutória, na ktorom sa zúčastnili všetky ostatné prizvané inštitúcie;</w:t>
      </w:r>
    </w:p>
    <w:p w:rsidR="007E738A" w:rsidRPr="005852D7" w:rsidRDefault="007E738A" w:rsidP="007E738A">
      <w:pPr>
        <w:pStyle w:val="NormalHanging12a"/>
      </w:pPr>
      <w:r w:rsidRPr="005852D7">
        <w:t>4.</w:t>
      </w:r>
      <w:r w:rsidRPr="005852D7">
        <w:tab/>
        <w:t xml:space="preserve">zdôrazňuje výsadu </w:t>
      </w:r>
      <w:r w:rsidR="00DA4124" w:rsidRPr="005852D7">
        <w:t>Európsk</w:t>
      </w:r>
      <w:r w:rsidR="00DA4124" w:rsidRPr="005852D7">
        <w:t>eho p</w:t>
      </w:r>
      <w:r w:rsidRPr="005852D7">
        <w:t xml:space="preserve">arlamentu udeľovať absolutórium podľa článku 319 ZFEÚ, ako aj podľa uplatniteľných ustanovení nariadenia o rozpočtových pravidlách a rokovacieho poriadku </w:t>
      </w:r>
      <w:r w:rsidR="00DA4124" w:rsidRPr="005852D7">
        <w:t>Európsk</w:t>
      </w:r>
      <w:r w:rsidR="00DA4124" w:rsidRPr="005852D7">
        <w:t>eho p</w:t>
      </w:r>
      <w:r w:rsidRPr="005852D7">
        <w:t>arlamentu v súlade so súčasným výkladom a praxou, konkrétne právomoc udeľovať absolutórium s cieľom zachovávať transparentnosť a zabezpečiť demokratickú zodpovednosť vo vzťahu k daňovníkom Únie;</w:t>
      </w:r>
    </w:p>
    <w:p w:rsidR="007E738A" w:rsidRPr="005852D7" w:rsidRDefault="007E738A" w:rsidP="007E738A">
      <w:pPr>
        <w:pStyle w:val="NormalHanging12a"/>
      </w:pPr>
      <w:r w:rsidRPr="005852D7">
        <w:t>5.</w:t>
      </w:r>
      <w:r w:rsidRPr="005852D7">
        <w:tab/>
        <w:t>zdôrazňuje, že v článku 59 ods. 1 nariadenia o rozpočtových pravidlách sa uvádza, že Komisia deleguje na ostatné inštitúcie Únie právomoci potrebné na implementáciu rozpočtových oddielov, ktoré sa ich týkajú, a preto nerozumie tomu, že Rada považuje za vhodné, aby sa absolutórium za plnenie rozpočtu Rady udeľovalo Komisii;</w:t>
      </w:r>
    </w:p>
    <w:p w:rsidR="007E738A" w:rsidRPr="005852D7" w:rsidRDefault="007E738A" w:rsidP="007E738A">
      <w:pPr>
        <w:pStyle w:val="NormalHanging12a"/>
      </w:pPr>
      <w:r w:rsidRPr="005852D7">
        <w:lastRenderedPageBreak/>
        <w:t>6.</w:t>
      </w:r>
      <w:r w:rsidRPr="005852D7">
        <w:tab/>
        <w:t xml:space="preserve">zdôrazňuje osvedčený a rešpektovaný postup udeľovania absolutória všetkým inštitúciám, orgánom, úradom a agentúram Únie, ktorý Európsky parlament dodržiava už takmer dvadsať rokov; pripomína, že Komisia vyhlásila, že nedokáže dohliadať na plnenie rozpočtov ostatných inštitúcií Únie; zdôrazňuje opakované stanovisko Komisie, podľa ktorého by mal </w:t>
      </w:r>
      <w:r w:rsidR="00DA4124" w:rsidRPr="005852D7">
        <w:t>Európsk</w:t>
      </w:r>
      <w:r w:rsidR="00DA4124" w:rsidRPr="005852D7">
        <w:t>y p</w:t>
      </w:r>
      <w:r w:rsidRPr="005852D7">
        <w:t>arlament pokračovať v postupe udeľovania absolutória každej inštitúcii Únie za jej administratívne výdavky;</w:t>
      </w:r>
    </w:p>
    <w:p w:rsidR="007E738A" w:rsidRPr="005852D7" w:rsidRDefault="007E738A" w:rsidP="007E738A">
      <w:pPr>
        <w:pStyle w:val="NormalHanging12a"/>
      </w:pPr>
      <w:r w:rsidRPr="005852D7">
        <w:t>7.</w:t>
      </w:r>
      <w:r w:rsidRPr="005852D7">
        <w:tab/>
        <w:t xml:space="preserve">zdôrazňuje, že súčasná situácia umožňuje </w:t>
      </w:r>
      <w:r w:rsidR="00DA4124" w:rsidRPr="005852D7">
        <w:t>Európsk</w:t>
      </w:r>
      <w:r w:rsidR="00DA4124" w:rsidRPr="005852D7">
        <w:t>emu p</w:t>
      </w:r>
      <w:r w:rsidRPr="005852D7">
        <w:t>arlamentu kontrolovať len správy Dvora audítorov a ombudsmanky, ako aj verejne dostupné informácie na webovom sídle Rady, pretože Rada naďalej nespolupracuje s</w:t>
      </w:r>
      <w:r w:rsidR="00DA4124" w:rsidRPr="005852D7">
        <w:t> </w:t>
      </w:r>
      <w:r w:rsidR="00DA4124" w:rsidRPr="005852D7">
        <w:t>Európsk</w:t>
      </w:r>
      <w:r w:rsidR="00DA4124" w:rsidRPr="005852D7">
        <w:t>ym p</w:t>
      </w:r>
      <w:r w:rsidRPr="005852D7">
        <w:t xml:space="preserve">arlamentom, čo </w:t>
      </w:r>
      <w:r w:rsidR="00DA4124" w:rsidRPr="005852D7">
        <w:t>Európsk</w:t>
      </w:r>
      <w:r w:rsidR="00DA4124" w:rsidRPr="005852D7">
        <w:t>emu p</w:t>
      </w:r>
      <w:r w:rsidRPr="005852D7">
        <w:t>arlamentu znemožňuje riadne vykonávať jeho povinnosti a prijať informované rozhodnutie o udelení absolutória;</w:t>
      </w:r>
    </w:p>
    <w:p w:rsidR="007E738A" w:rsidRPr="005852D7" w:rsidRDefault="007E738A" w:rsidP="007E738A">
      <w:pPr>
        <w:pStyle w:val="NormalHanging12a"/>
      </w:pPr>
      <w:r w:rsidRPr="005852D7">
        <w:t>8.</w:t>
      </w:r>
      <w:r w:rsidRPr="005852D7">
        <w:tab/>
        <w:t>vyjadruje poľutovanie nad tým, že Rada už viac ako desať rokov preukazuje, že nemá žiadnu politickú vôľu spolupracovať s</w:t>
      </w:r>
      <w:r w:rsidR="00DA4124" w:rsidRPr="005852D7">
        <w:t> </w:t>
      </w:r>
      <w:r w:rsidR="00DA4124" w:rsidRPr="005852D7">
        <w:t>Európsk</w:t>
      </w:r>
      <w:r w:rsidR="00DA4124" w:rsidRPr="005852D7">
        <w:t>ym p</w:t>
      </w:r>
      <w:r w:rsidRPr="005852D7">
        <w:t>arlamentom v kontexte ročného postupu udelenia absolutória; zdôrazňuje, že tento postoj má pretrvávajúci negatívny vplyv na obe inštitúcie, zdiskreditoval riadenie a demokratickú kontrolu rozpočtu Únie a poškodil dôveru občanov v Úniu ako transparentný subjekt;</w:t>
      </w:r>
    </w:p>
    <w:p w:rsidR="007E738A" w:rsidRPr="005852D7" w:rsidRDefault="007E738A" w:rsidP="007E738A">
      <w:pPr>
        <w:pStyle w:val="NormalHanging12a"/>
      </w:pPr>
      <w:r w:rsidRPr="005852D7">
        <w:t>9.</w:t>
      </w:r>
      <w:r w:rsidRPr="005852D7">
        <w:tab/>
        <w:t>opakuje svoju hlbokú frustráciu, pokiaľ ide o postoj Rady k postupu udeľovania absolutória, ktorý občanom Únie vysiela nevhodný signál v čase, keď je nevyhnutná väčšia transparentnosť; zdôrazňuje, že Rada musí dodržiavať rovnaké normy zodpovednosti, aké očakáva od iných inštitúcií Únie;</w:t>
      </w:r>
    </w:p>
    <w:p w:rsidR="007E738A" w:rsidRPr="005852D7" w:rsidRDefault="007E738A" w:rsidP="007E738A">
      <w:pPr>
        <w:pStyle w:val="NormalHanging12a"/>
      </w:pPr>
      <w:r w:rsidRPr="005852D7">
        <w:t>10.</w:t>
      </w:r>
      <w:r w:rsidRPr="005852D7">
        <w:tab/>
        <w:t xml:space="preserve">zdôrazňuje, že všetky ostatné inštitúcie Únie uznávajú a chápu zásadu, že vzhľadom na delegovanie právomocí týkajúcich sa plnenia rozpočtu má </w:t>
      </w:r>
      <w:r w:rsidR="00DA4124" w:rsidRPr="005852D7">
        <w:t>Európsk</w:t>
      </w:r>
      <w:r w:rsidR="00DA4124" w:rsidRPr="005852D7">
        <w:t>y p</w:t>
      </w:r>
      <w:r w:rsidRPr="005852D7">
        <w:t>arlament právo aj povinnosť kontrolovať ich rozpočty a ich plnenie v rámci postupu udeľovania absolutória; vzhľadom na uvedené vyjadruje silný nesúhlas s tým, že Rada naďalej odmieta v tejto súvislosti spolupracovať s</w:t>
      </w:r>
      <w:r w:rsidR="00DA4124" w:rsidRPr="005852D7">
        <w:t> </w:t>
      </w:r>
      <w:r w:rsidR="00DA4124" w:rsidRPr="005852D7">
        <w:t>Európsk</w:t>
      </w:r>
      <w:r w:rsidR="00DA4124" w:rsidRPr="005852D7">
        <w:t>ym p</w:t>
      </w:r>
      <w:r w:rsidRPr="005852D7">
        <w:t>arlamentom;</w:t>
      </w:r>
    </w:p>
    <w:p w:rsidR="007E738A" w:rsidRPr="005852D7" w:rsidRDefault="007E738A" w:rsidP="007E738A">
      <w:pPr>
        <w:pStyle w:val="NormalHanging12a"/>
      </w:pPr>
      <w:r w:rsidRPr="005852D7">
        <w:t>11.</w:t>
      </w:r>
      <w:r w:rsidRPr="005852D7">
        <w:tab/>
        <w:t xml:space="preserve">pripomína, že judikatúra Súdneho dvora Európskej únie podporuje právo daňovníkov a verejnosti na priebežné informácie o využívaní verejných príjmov; požaduje preto plné rešpektovanie výsady </w:t>
      </w:r>
      <w:r w:rsidR="00DA4124" w:rsidRPr="005852D7">
        <w:t>Európsk</w:t>
      </w:r>
      <w:r w:rsidR="00DA4124" w:rsidRPr="005852D7">
        <w:t>eho p</w:t>
      </w:r>
      <w:r w:rsidRPr="005852D7">
        <w:t xml:space="preserve">arlamentu a jeho úlohy garanta zásady demokratickej zodpovednosti; vyzýva Radu, aby náležite nadviazala na odporúčania prijaté </w:t>
      </w:r>
      <w:r w:rsidR="00DA4124" w:rsidRPr="005852D7">
        <w:t>Európsk</w:t>
      </w:r>
      <w:r w:rsidR="00DA4124" w:rsidRPr="005852D7">
        <w:t>ym p</w:t>
      </w:r>
      <w:r w:rsidRPr="005852D7">
        <w:t>arlamentom v kontexte postupu udelenia absolutória za plnenie rozpočtu;</w:t>
      </w:r>
    </w:p>
    <w:p w:rsidR="007E738A" w:rsidRPr="005852D7" w:rsidRDefault="007E738A" w:rsidP="007E738A">
      <w:pPr>
        <w:pStyle w:val="NormalHanging12a"/>
      </w:pPr>
      <w:r w:rsidRPr="005852D7">
        <w:t>12.</w:t>
      </w:r>
      <w:r w:rsidRPr="005852D7">
        <w:tab/>
        <w:t xml:space="preserve">zdôrazňuje, že revízia zmlúv by mohla vniesť do postupu udelenia absolutória väčšiu jasnosť a transparentnosť tým, že by sa </w:t>
      </w:r>
      <w:r w:rsidR="00DA4124" w:rsidRPr="005852D7">
        <w:t>Európsk</w:t>
      </w:r>
      <w:r w:rsidR="00DA4124" w:rsidRPr="005852D7">
        <w:t>emu p</w:t>
      </w:r>
      <w:r w:rsidRPr="005852D7">
        <w:t xml:space="preserve">arlamentu poskytla výslovná právomoc udeľovať absolutórium všetkým inštitúciám, orgánom, úradom a agentúram Únie samostatne; zdôrazňuje však, že kým k takejto revízii dôjde, súčasná situácia sa musí zlepšiť lepšou </w:t>
      </w:r>
      <w:proofErr w:type="spellStart"/>
      <w:r w:rsidRPr="005852D7">
        <w:t>medziinštitucionálnou</w:t>
      </w:r>
      <w:proofErr w:type="spellEnd"/>
      <w:r w:rsidRPr="005852D7">
        <w:t xml:space="preserve"> spoluprácou v súčasnom rámci zmlúv, a naliehavo vyzýva Radu, aby aktívne spolupracovala s</w:t>
      </w:r>
      <w:r w:rsidR="00DA4124" w:rsidRPr="005852D7">
        <w:t> </w:t>
      </w:r>
      <w:r w:rsidR="00DA4124" w:rsidRPr="005852D7">
        <w:t>Európsk</w:t>
      </w:r>
      <w:r w:rsidR="00DA4124" w:rsidRPr="005852D7">
        <w:t>ym p</w:t>
      </w:r>
      <w:r w:rsidRPr="005852D7">
        <w:t>arlamentom pri riešení súčasnej situácie;</w:t>
      </w:r>
    </w:p>
    <w:p w:rsidR="007E738A" w:rsidRPr="005852D7" w:rsidRDefault="007E738A" w:rsidP="007E738A">
      <w:pPr>
        <w:pStyle w:val="NormalHanging12a"/>
      </w:pPr>
      <w:r w:rsidRPr="005852D7">
        <w:t>13.</w:t>
      </w:r>
      <w:r w:rsidRPr="005852D7">
        <w:tab/>
        <w:t>vyzýva Radu, aby čo najskôr obnovila rokovania s</w:t>
      </w:r>
      <w:r w:rsidR="00DA4124" w:rsidRPr="005852D7">
        <w:t> </w:t>
      </w:r>
      <w:r w:rsidR="00DA4124" w:rsidRPr="005852D7">
        <w:t>Európsk</w:t>
      </w:r>
      <w:r w:rsidR="00DA4124" w:rsidRPr="005852D7">
        <w:t>ym p</w:t>
      </w:r>
      <w:r w:rsidRPr="005852D7">
        <w:t xml:space="preserve">arlamentom na najvyššej úrovni, na ktorých sa zúčastnia generálni tajomníci a predsedovia oboch inštitúcií, v snahe prekonať patovú situáciu a nájsť riešenie pri rešpektovaní príslušných úloh </w:t>
      </w:r>
      <w:r w:rsidR="00DA4124" w:rsidRPr="005852D7">
        <w:t>Európsk</w:t>
      </w:r>
      <w:r w:rsidR="00DA4124" w:rsidRPr="005852D7">
        <w:t>eho p</w:t>
      </w:r>
      <w:r w:rsidRPr="005852D7">
        <w:t>arlamentu a Rady v rámci postupu udelenia absolutória a zabezpečení transparentnosti a riadnej demokratickej kontroly plnenia rozpočtu;</w:t>
      </w:r>
    </w:p>
    <w:p w:rsidR="007E738A" w:rsidRPr="005852D7" w:rsidRDefault="007E738A" w:rsidP="007E738A">
      <w:pPr>
        <w:pStyle w:val="NormalHanging12a"/>
      </w:pPr>
      <w:r w:rsidRPr="005852D7">
        <w:t>14.</w:t>
      </w:r>
      <w:r w:rsidRPr="005852D7">
        <w:tab/>
        <w:t xml:space="preserve">vyjadruje poľutovanie nad tým, že Rada neprijala vhodné opatrenia, aby sa zamedzilo predsedníctvu Rady členského štátu, na ktorý sa uplatňuje postup podľa článku 7, v dôsledku čoho maďarská vláda zneužíva predsedníctvo Rady a porušuje zásadu lojálnej </w:t>
      </w:r>
      <w:r w:rsidRPr="005852D7">
        <w:lastRenderedPageBreak/>
        <w:t>spolupráce;</w:t>
      </w:r>
    </w:p>
    <w:p w:rsidR="007E738A" w:rsidRPr="005852D7" w:rsidRDefault="007E738A" w:rsidP="007E738A">
      <w:pPr>
        <w:pStyle w:val="NormalHanging12a"/>
      </w:pPr>
      <w:r w:rsidRPr="005852D7">
        <w:t>15.</w:t>
      </w:r>
      <w:r w:rsidRPr="005852D7">
        <w:tab/>
        <w:t xml:space="preserve">zdôrazňuje, že stále platia pripomienky </w:t>
      </w:r>
      <w:r w:rsidR="00DA4124" w:rsidRPr="005852D7">
        <w:t>Európsk</w:t>
      </w:r>
      <w:r w:rsidR="00DA4124" w:rsidRPr="005852D7">
        <w:t>eho p</w:t>
      </w:r>
      <w:r w:rsidRPr="005852D7">
        <w:t xml:space="preserve">arlamentu týkajúce sa politických priorít – vrátane absencie záväzných usmernení o podnikovom sponzorovaní rotujúcich predsedníctiev Rady –, rozpočtového a finančného riadenia, vnútorného riadenia, výkonnosti a vnútornej kontroly, ľudských zdrojov, rovnosti – ako napríklad rodovej rovnováhy – a zamestnancov, blahobytu, etického rámca a transparentnosti, digitalizácie, kybernetickej bezpečnosti a ochrany údajov, budov, životného prostredia a udržateľnosti, </w:t>
      </w:r>
      <w:proofErr w:type="spellStart"/>
      <w:r w:rsidRPr="005852D7">
        <w:t>medziinštitucionálnej</w:t>
      </w:r>
      <w:proofErr w:type="spellEnd"/>
      <w:r w:rsidRPr="005852D7">
        <w:t xml:space="preserve"> spolupráce a komunikácie, ktoré uviedol vo svojom uznesení o absolutóriu z 23. apríla 2024;</w:t>
      </w:r>
    </w:p>
    <w:p w:rsidR="007E738A" w:rsidRPr="005852D7" w:rsidRDefault="007E738A" w:rsidP="007E738A">
      <w:pPr>
        <w:pStyle w:val="NormalHanging12a"/>
      </w:pPr>
      <w:r w:rsidRPr="005852D7">
        <w:t>16.</w:t>
      </w:r>
      <w:r w:rsidRPr="005852D7">
        <w:tab/>
        <w:t>opakuje, že používanie postupu jednomyseľného hlasovania v Rade v určitých oblastiach politiky ochromuje rozhodovací proces Únie, v dôsledku čoho vzniká priestor na vydieranie členskými štátmi, najmä tými, ktoré nedodržiavajú zásady právneho štátu.</w:t>
      </w:r>
    </w:p>
    <w:sectPr w:rsidR="007E738A" w:rsidRPr="005852D7" w:rsidSect="00D166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E3A" w:rsidRPr="00D16637" w:rsidRDefault="00AD0E3A">
      <w:r w:rsidRPr="00D16637">
        <w:separator/>
      </w:r>
    </w:p>
  </w:endnote>
  <w:endnote w:type="continuationSeparator" w:id="0">
    <w:p w:rsidR="00AD0E3A" w:rsidRPr="00D16637" w:rsidRDefault="00AD0E3A">
      <w:r w:rsidRPr="00D166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38A" w:rsidRPr="00D16637" w:rsidRDefault="007E738A" w:rsidP="00331DD7">
    <w:pPr>
      <w:pStyle w:val="EPFooter"/>
    </w:pPr>
    <w:r w:rsidRPr="00D16637">
      <w:t>PE</w:t>
    </w:r>
    <w:r w:rsidRPr="00D16637">
      <w:rPr>
        <w:rStyle w:val="HideTWBExt"/>
      </w:rPr>
      <w:t>&lt;</w:t>
    </w:r>
    <w:proofErr w:type="spellStart"/>
    <w:r w:rsidRPr="00D16637">
      <w:rPr>
        <w:rStyle w:val="HideTWBExt"/>
      </w:rPr>
      <w:t>NoPE</w:t>
    </w:r>
    <w:proofErr w:type="spellEnd"/>
    <w:r w:rsidRPr="00D16637">
      <w:rPr>
        <w:rStyle w:val="HideTWBExt"/>
      </w:rPr>
      <w:t>&gt;</w:t>
    </w:r>
    <w:r w:rsidRPr="00D16637">
      <w:t>761.252</w:t>
    </w:r>
    <w:r w:rsidRPr="00D16637">
      <w:rPr>
        <w:rStyle w:val="HideTWBExt"/>
      </w:rPr>
      <w:t>&lt;/</w:t>
    </w:r>
    <w:proofErr w:type="spellStart"/>
    <w:r w:rsidRPr="00D16637">
      <w:rPr>
        <w:rStyle w:val="HideTWBExt"/>
      </w:rPr>
      <w:t>NoPE</w:t>
    </w:r>
    <w:proofErr w:type="spellEnd"/>
    <w:r w:rsidRPr="00D16637">
      <w:rPr>
        <w:rStyle w:val="HideTWBExt"/>
      </w:rPr>
      <w:t>&gt;&lt;Version&gt;</w:t>
    </w:r>
    <w:r w:rsidRPr="00D16637">
      <w:t>v02-00</w:t>
    </w:r>
    <w:r w:rsidRPr="00D16637">
      <w:rPr>
        <w:rStyle w:val="HideTWBExt"/>
      </w:rPr>
      <w:t>&lt;/</w:t>
    </w:r>
    <w:proofErr w:type="spellStart"/>
    <w:r w:rsidRPr="00D16637">
      <w:rPr>
        <w:rStyle w:val="HideTWBExt"/>
      </w:rPr>
      <w:t>Version</w:t>
    </w:r>
    <w:proofErr w:type="spellEnd"/>
    <w:r w:rsidRPr="00D16637">
      <w:rPr>
        <w:rStyle w:val="HideTWBExt"/>
      </w:rPr>
      <w:t>&gt;</w:t>
    </w:r>
    <w:r w:rsidRPr="00D16637">
      <w:tab/>
    </w:r>
    <w:r w:rsidRPr="00D16637">
      <w:fldChar w:fldCharType="begin"/>
    </w:r>
    <w:r w:rsidRPr="00D16637">
      <w:instrText xml:space="preserve"> PAGE  \* MERGEFORMAT </w:instrText>
    </w:r>
    <w:r w:rsidRPr="00D16637">
      <w:fldChar w:fldCharType="separate"/>
    </w:r>
    <w:r w:rsidR="00D16637" w:rsidRPr="00D16637">
      <w:rPr>
        <w:noProof/>
      </w:rPr>
      <w:t>2</w:t>
    </w:r>
    <w:r w:rsidRPr="00D16637">
      <w:fldChar w:fldCharType="end"/>
    </w:r>
    <w:r w:rsidRPr="00D16637">
      <w:t>/</w:t>
    </w:r>
    <w:r w:rsidRPr="00D16637">
      <w:fldChar w:fldCharType="begin"/>
    </w:r>
    <w:r w:rsidRPr="00D16637">
      <w:instrText xml:space="preserve"> NUMPAGES  \* MERGEFORMAT </w:instrText>
    </w:r>
    <w:r w:rsidRPr="00D16637">
      <w:fldChar w:fldCharType="separate"/>
    </w:r>
    <w:r w:rsidR="00D16637" w:rsidRPr="00D16637">
      <w:rPr>
        <w:noProof/>
      </w:rPr>
      <w:t>4</w:t>
    </w:r>
    <w:r w:rsidRPr="00D16637">
      <w:rPr>
        <w:noProof/>
      </w:rPr>
      <w:fldChar w:fldCharType="end"/>
    </w:r>
    <w:r w:rsidRPr="00D16637">
      <w:tab/>
    </w:r>
    <w:r w:rsidRPr="00D16637">
      <w:rPr>
        <w:rStyle w:val="HideTWBExt"/>
      </w:rPr>
      <w:t>&lt;PathFdR&gt;</w:t>
    </w:r>
    <w:r w:rsidRPr="00D16637">
      <w:t>RR\1307728SK.docx</w:t>
    </w:r>
    <w:r w:rsidRPr="00D16637">
      <w:rPr>
        <w:rStyle w:val="HideTWBExt"/>
      </w:rPr>
      <w:t>&lt;/</w:t>
    </w:r>
    <w:proofErr w:type="spellStart"/>
    <w:r w:rsidRPr="00D16637">
      <w:rPr>
        <w:rStyle w:val="HideTWBExt"/>
      </w:rPr>
      <w:t>PathFdR</w:t>
    </w:r>
    <w:proofErr w:type="spellEnd"/>
    <w:r w:rsidRPr="00D16637">
      <w:rPr>
        <w:rStyle w:val="HideTWBExt"/>
      </w:rPr>
      <w:t>&gt;</w:t>
    </w:r>
  </w:p>
  <w:p w:rsidR="007E738A" w:rsidRPr="00D16637" w:rsidRDefault="007E738A" w:rsidP="00331DD7">
    <w:pPr>
      <w:pStyle w:val="EPFooter2"/>
    </w:pPr>
    <w:r w:rsidRPr="00D1663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38A" w:rsidRPr="00D16637" w:rsidRDefault="007E738A" w:rsidP="00331DD7">
    <w:pPr>
      <w:pStyle w:val="EPFooter"/>
    </w:pPr>
    <w:r w:rsidRPr="00D16637">
      <w:rPr>
        <w:rStyle w:val="HideTWBExt"/>
      </w:rPr>
      <w:t>&lt;PathFdR&gt;</w:t>
    </w:r>
    <w:r w:rsidRPr="00D16637">
      <w:t>RR\1307728SK.docx</w:t>
    </w:r>
    <w:r w:rsidRPr="00D16637">
      <w:rPr>
        <w:rStyle w:val="HideTWBExt"/>
      </w:rPr>
      <w:t>&lt;/</w:t>
    </w:r>
    <w:proofErr w:type="spellStart"/>
    <w:r w:rsidRPr="00D16637">
      <w:rPr>
        <w:rStyle w:val="HideTWBExt"/>
      </w:rPr>
      <w:t>PathFdR</w:t>
    </w:r>
    <w:proofErr w:type="spellEnd"/>
    <w:r w:rsidRPr="00D16637">
      <w:rPr>
        <w:rStyle w:val="HideTWBExt"/>
      </w:rPr>
      <w:t>&gt;</w:t>
    </w:r>
    <w:r w:rsidRPr="00D16637">
      <w:tab/>
    </w:r>
    <w:r w:rsidRPr="00D16637">
      <w:tab/>
      <w:t>PE</w:t>
    </w:r>
    <w:r w:rsidRPr="00D16637">
      <w:rPr>
        <w:rStyle w:val="HideTWBExt"/>
      </w:rPr>
      <w:t>&lt;</w:t>
    </w:r>
    <w:proofErr w:type="spellStart"/>
    <w:r w:rsidRPr="00D16637">
      <w:rPr>
        <w:rStyle w:val="HideTWBExt"/>
      </w:rPr>
      <w:t>NoPE</w:t>
    </w:r>
    <w:proofErr w:type="spellEnd"/>
    <w:r w:rsidRPr="00D16637">
      <w:rPr>
        <w:rStyle w:val="HideTWBExt"/>
      </w:rPr>
      <w:t>&gt;</w:t>
    </w:r>
    <w:r w:rsidRPr="00D16637">
      <w:t>761.252</w:t>
    </w:r>
    <w:r w:rsidRPr="00D16637">
      <w:rPr>
        <w:rStyle w:val="HideTWBExt"/>
      </w:rPr>
      <w:t>&lt;/</w:t>
    </w:r>
    <w:proofErr w:type="spellStart"/>
    <w:r w:rsidRPr="00D16637">
      <w:rPr>
        <w:rStyle w:val="HideTWBExt"/>
      </w:rPr>
      <w:t>NoPE</w:t>
    </w:r>
    <w:proofErr w:type="spellEnd"/>
    <w:r w:rsidRPr="00D16637">
      <w:rPr>
        <w:rStyle w:val="HideTWBExt"/>
      </w:rPr>
      <w:t>&gt;&lt;Version&gt;</w:t>
    </w:r>
    <w:r w:rsidRPr="00D16637">
      <w:t>v02-00</w:t>
    </w:r>
    <w:r w:rsidRPr="00D16637">
      <w:rPr>
        <w:rStyle w:val="HideTWBExt"/>
      </w:rPr>
      <w:t>&lt;/</w:t>
    </w:r>
    <w:proofErr w:type="spellStart"/>
    <w:r w:rsidRPr="00D16637">
      <w:rPr>
        <w:rStyle w:val="HideTWBExt"/>
      </w:rPr>
      <w:t>Version</w:t>
    </w:r>
    <w:proofErr w:type="spellEnd"/>
    <w:r w:rsidRPr="00D16637">
      <w:rPr>
        <w:rStyle w:val="HideTWBExt"/>
      </w:rPr>
      <w:t>&gt;</w:t>
    </w:r>
  </w:p>
  <w:p w:rsidR="007E738A" w:rsidRPr="00D16637" w:rsidRDefault="007E738A" w:rsidP="00331DD7">
    <w:pPr>
      <w:pStyle w:val="EPFooter2"/>
    </w:pPr>
    <w:r w:rsidRPr="00D16637">
      <w:t>SK</w:t>
    </w:r>
    <w:r w:rsidRPr="00D16637">
      <w:tab/>
    </w:r>
    <w:r w:rsidRPr="00D16637">
      <w:rPr>
        <w:b w:val="0"/>
        <w:i/>
        <w:color w:val="C0C0C0"/>
        <w:sz w:val="22"/>
      </w:rPr>
      <w:t>Zjednotení v rozmanitosti</w:t>
    </w:r>
    <w:r w:rsidRPr="00D1663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63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63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6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E3A" w:rsidRPr="00D16637" w:rsidRDefault="00AD0E3A">
      <w:r w:rsidRPr="00D16637">
        <w:separator/>
      </w:r>
    </w:p>
  </w:footnote>
  <w:footnote w:type="continuationSeparator" w:id="0">
    <w:p w:rsidR="00AD0E3A" w:rsidRPr="00D16637" w:rsidRDefault="00AD0E3A">
      <w:r w:rsidRPr="00D16637">
        <w:continuationSeparator/>
      </w:r>
    </w:p>
  </w:footnote>
  <w:footnote w:id="1">
    <w:p w:rsidR="007E738A" w:rsidRPr="00D16637" w:rsidRDefault="007E738A" w:rsidP="00D16637">
      <w:pPr>
        <w:pStyle w:val="FootnoteText"/>
        <w:ind w:left="567" w:hanging="567"/>
        <w:rPr>
          <w:sz w:val="24"/>
          <w:lang w:val="sk-SK"/>
        </w:rPr>
      </w:pPr>
      <w:r w:rsidRPr="00D16637">
        <w:rPr>
          <w:rStyle w:val="FootnoteReference"/>
          <w:sz w:val="24"/>
          <w:lang w:val="sk-SK"/>
        </w:rPr>
        <w:footnoteRef/>
      </w:r>
      <w:r w:rsidR="00D16637" w:rsidRPr="00D16637">
        <w:rPr>
          <w:sz w:val="24"/>
          <w:lang w:val="sk-SK"/>
        </w:rPr>
        <w:t xml:space="preserve"> </w:t>
      </w:r>
      <w:r w:rsidR="00D16637" w:rsidRPr="00D16637">
        <w:rPr>
          <w:sz w:val="24"/>
          <w:lang w:val="sk-SK"/>
        </w:rPr>
        <w:tab/>
      </w:r>
      <w:r w:rsidRPr="00D16637">
        <w:rPr>
          <w:sz w:val="24"/>
          <w:lang w:val="sk-SK"/>
        </w:rPr>
        <w:t>Ú. v. EÚ L 45, 24.2.2022.</w:t>
      </w:r>
    </w:p>
  </w:footnote>
  <w:footnote w:id="2">
    <w:p w:rsidR="007E738A" w:rsidRPr="00D16637" w:rsidRDefault="007E738A" w:rsidP="00D16637">
      <w:pPr>
        <w:pStyle w:val="FootnoteText"/>
        <w:ind w:left="567" w:hanging="567"/>
        <w:rPr>
          <w:sz w:val="24"/>
          <w:lang w:val="sk-SK"/>
        </w:rPr>
      </w:pPr>
      <w:r w:rsidRPr="00D16637">
        <w:rPr>
          <w:rStyle w:val="FootnoteReference"/>
          <w:sz w:val="24"/>
          <w:lang w:val="sk-SK"/>
        </w:rPr>
        <w:footnoteRef/>
      </w:r>
      <w:r w:rsidR="00D16637" w:rsidRPr="00D16637">
        <w:rPr>
          <w:sz w:val="24"/>
          <w:lang w:val="sk-SK"/>
        </w:rPr>
        <w:t xml:space="preserve"> </w:t>
      </w:r>
      <w:r w:rsidR="00D16637" w:rsidRPr="00D16637">
        <w:rPr>
          <w:sz w:val="24"/>
          <w:lang w:val="sk-SK"/>
        </w:rPr>
        <w:tab/>
      </w:r>
      <w:r w:rsidRPr="00D16637">
        <w:rPr>
          <w:sz w:val="24"/>
          <w:lang w:val="sk-SK"/>
        </w:rPr>
        <w:t xml:space="preserve">Ú. v. EÚ </w:t>
      </w:r>
      <w:r w:rsidR="00463958">
        <w:rPr>
          <w:sz w:val="24"/>
          <w:lang w:val="sk-SK"/>
        </w:rPr>
        <w:t xml:space="preserve">C, </w:t>
      </w:r>
      <w:r w:rsidRPr="00D16637">
        <w:rPr>
          <w:sz w:val="24"/>
          <w:lang w:val="sk-SK"/>
        </w:rPr>
        <w:t>C/2023/2, 12.10.2023.</w:t>
      </w:r>
    </w:p>
  </w:footnote>
  <w:footnote w:id="3">
    <w:p w:rsidR="007E738A" w:rsidRPr="00D16637" w:rsidRDefault="007E738A" w:rsidP="00D16637">
      <w:pPr>
        <w:pStyle w:val="FootnoteText"/>
        <w:ind w:left="567" w:hanging="567"/>
        <w:rPr>
          <w:sz w:val="24"/>
          <w:lang w:val="sk-SK"/>
        </w:rPr>
      </w:pPr>
      <w:r w:rsidRPr="00D16637">
        <w:rPr>
          <w:rStyle w:val="FootnoteReference"/>
          <w:sz w:val="24"/>
          <w:lang w:val="sk-SK"/>
        </w:rPr>
        <w:footnoteRef/>
      </w:r>
      <w:r w:rsidR="00D16637" w:rsidRPr="00D16637">
        <w:rPr>
          <w:sz w:val="24"/>
          <w:lang w:val="sk-SK"/>
        </w:rPr>
        <w:t xml:space="preserve"> </w:t>
      </w:r>
      <w:r w:rsidR="00D16637" w:rsidRPr="00D16637">
        <w:rPr>
          <w:sz w:val="24"/>
          <w:lang w:val="sk-SK"/>
        </w:rPr>
        <w:tab/>
      </w:r>
      <w:r w:rsidRPr="00D16637">
        <w:rPr>
          <w:sz w:val="24"/>
          <w:lang w:val="sk-SK"/>
        </w:rPr>
        <w:t>Ú. v. EÚ C, C/2023/103, 4.10.2023.</w:t>
      </w:r>
    </w:p>
  </w:footnote>
  <w:footnote w:id="4">
    <w:p w:rsidR="007E738A" w:rsidRPr="00D16637" w:rsidRDefault="007E738A" w:rsidP="00D16637">
      <w:pPr>
        <w:pStyle w:val="FootnoteText"/>
        <w:ind w:left="567" w:hanging="567"/>
        <w:rPr>
          <w:sz w:val="24"/>
          <w:lang w:val="sk-SK"/>
        </w:rPr>
      </w:pPr>
      <w:r w:rsidRPr="00D16637">
        <w:rPr>
          <w:rStyle w:val="FootnoteReference"/>
          <w:sz w:val="24"/>
          <w:lang w:val="sk-SK"/>
        </w:rPr>
        <w:footnoteRef/>
      </w:r>
      <w:r w:rsidR="00D16637" w:rsidRPr="00D16637">
        <w:rPr>
          <w:sz w:val="24"/>
          <w:lang w:val="sk-SK"/>
        </w:rPr>
        <w:t xml:space="preserve"> </w:t>
      </w:r>
      <w:r w:rsidR="00D16637" w:rsidRPr="00D16637">
        <w:rPr>
          <w:sz w:val="24"/>
          <w:lang w:val="sk-SK"/>
        </w:rPr>
        <w:tab/>
      </w:r>
      <w:r w:rsidRPr="00D16637">
        <w:rPr>
          <w:sz w:val="24"/>
          <w:lang w:val="sk-SK"/>
        </w:rPr>
        <w:t>Ú. v. EÚ C, C/2023/112, 12.10.2023.</w:t>
      </w:r>
    </w:p>
  </w:footnote>
  <w:footnote w:id="5">
    <w:p w:rsidR="007E738A" w:rsidRPr="00D16637" w:rsidRDefault="007E738A" w:rsidP="00D16637">
      <w:pPr>
        <w:pStyle w:val="FootnoteText"/>
        <w:ind w:left="567" w:hanging="567"/>
        <w:rPr>
          <w:sz w:val="24"/>
          <w:lang w:val="sk-SK"/>
        </w:rPr>
      </w:pPr>
      <w:r w:rsidRPr="00D16637">
        <w:rPr>
          <w:rStyle w:val="FootnoteReference"/>
          <w:sz w:val="24"/>
          <w:lang w:val="sk-SK"/>
        </w:rPr>
        <w:footnoteRef/>
      </w:r>
      <w:r w:rsidR="00D16637" w:rsidRPr="00D16637">
        <w:rPr>
          <w:sz w:val="24"/>
          <w:lang w:val="sk-SK"/>
        </w:rPr>
        <w:t xml:space="preserve"> </w:t>
      </w:r>
      <w:r w:rsidR="00D16637" w:rsidRPr="00D16637">
        <w:rPr>
          <w:sz w:val="24"/>
          <w:lang w:val="sk-SK"/>
        </w:rPr>
        <w:tab/>
      </w:r>
      <w:r w:rsidRPr="00D16637">
        <w:rPr>
          <w:sz w:val="24"/>
          <w:lang w:val="sk-SK"/>
        </w:rPr>
        <w:t>Prijaté texty, P9_TA(2024)0288.</w:t>
      </w:r>
    </w:p>
  </w:footnote>
  <w:footnote w:id="6">
    <w:p w:rsidR="007E738A" w:rsidRPr="00D16637" w:rsidRDefault="007E738A" w:rsidP="00D16637">
      <w:pPr>
        <w:pStyle w:val="FootnoteText"/>
        <w:ind w:left="567" w:hanging="567"/>
        <w:rPr>
          <w:sz w:val="24"/>
          <w:lang w:val="sk-SK"/>
        </w:rPr>
      </w:pPr>
      <w:r w:rsidRPr="00D16637">
        <w:rPr>
          <w:rStyle w:val="FootnoteReference"/>
          <w:sz w:val="24"/>
          <w:lang w:val="sk-SK"/>
        </w:rPr>
        <w:footnoteRef/>
      </w:r>
      <w:r w:rsidR="00D16637" w:rsidRPr="00D16637">
        <w:rPr>
          <w:sz w:val="24"/>
          <w:lang w:val="sk-SK"/>
        </w:rPr>
        <w:t xml:space="preserve"> </w:t>
      </w:r>
      <w:r w:rsidR="00D16637" w:rsidRPr="00D16637">
        <w:rPr>
          <w:sz w:val="24"/>
          <w:lang w:val="sk-SK"/>
        </w:rPr>
        <w:tab/>
      </w:r>
      <w:r w:rsidRPr="00D16637">
        <w:rPr>
          <w:sz w:val="24"/>
          <w:lang w:val="sk-SK"/>
        </w:rPr>
        <w:t>Ú. v. EÚ L 193, 30.7.2018, s. 1.</w:t>
      </w:r>
    </w:p>
  </w:footnote>
  <w:footnote w:id="7">
    <w:p w:rsidR="00463958" w:rsidRPr="005852D7" w:rsidRDefault="00463958" w:rsidP="005852D7">
      <w:pPr>
        <w:pStyle w:val="FootnoteText"/>
        <w:ind w:left="567" w:hanging="567"/>
        <w:rPr>
          <w:sz w:val="24"/>
          <w:szCs w:val="24"/>
          <w:lang w:val="fi-FI"/>
        </w:rPr>
      </w:pPr>
      <w:r w:rsidRPr="005852D7">
        <w:rPr>
          <w:rStyle w:val="FootnoteReference"/>
          <w:sz w:val="24"/>
          <w:szCs w:val="24"/>
        </w:rPr>
        <w:footnoteRef/>
      </w:r>
      <w:r w:rsidRPr="005852D7">
        <w:rPr>
          <w:sz w:val="24"/>
          <w:szCs w:val="24"/>
          <w:lang w:val="fi-FI"/>
        </w:rPr>
        <w:t xml:space="preserve"> </w:t>
      </w:r>
      <w:r w:rsidRPr="005852D7">
        <w:rPr>
          <w:sz w:val="24"/>
          <w:szCs w:val="24"/>
          <w:lang w:val="sk-SK"/>
        </w:rPr>
        <w:tab/>
      </w:r>
      <w:r w:rsidRPr="005852D7">
        <w:rPr>
          <w:sz w:val="24"/>
          <w:szCs w:val="24"/>
          <w:lang w:val="sk-SK"/>
        </w:rPr>
        <w:t xml:space="preserve">Ú. v. EÚ </w:t>
      </w:r>
      <w:r w:rsidRPr="005852D7">
        <w:rPr>
          <w:sz w:val="24"/>
          <w:szCs w:val="24"/>
          <w:lang w:val="fi-FI"/>
        </w:rPr>
        <w:t xml:space="preserve">L, 2024/2509, 26.9.2024, ELI: </w:t>
      </w:r>
      <w:hyperlink r:id="rId1" w:history="1">
        <w:r w:rsidRPr="005852D7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5852D7">
        <w:rPr>
          <w:sz w:val="24"/>
          <w:szCs w:val="24"/>
          <w:lang w:val="fi-FI"/>
        </w:rPr>
        <w:t>.</w:t>
      </w:r>
    </w:p>
  </w:footnote>
  <w:footnote w:id="8">
    <w:p w:rsidR="007E738A" w:rsidRPr="00D16637" w:rsidRDefault="007E738A" w:rsidP="00D16637">
      <w:pPr>
        <w:pStyle w:val="FootnoteText"/>
        <w:ind w:left="567" w:hanging="567"/>
        <w:rPr>
          <w:sz w:val="24"/>
          <w:lang w:val="sk-SK"/>
        </w:rPr>
      </w:pPr>
      <w:r w:rsidRPr="00D16637">
        <w:rPr>
          <w:rStyle w:val="FootnoteReference"/>
          <w:sz w:val="24"/>
          <w:lang w:val="sk-SK"/>
        </w:rPr>
        <w:footnoteRef/>
      </w:r>
      <w:r w:rsidR="00D16637" w:rsidRPr="00D16637">
        <w:rPr>
          <w:sz w:val="24"/>
          <w:lang w:val="sk-SK"/>
        </w:rPr>
        <w:t xml:space="preserve"> </w:t>
      </w:r>
      <w:r w:rsidR="00D16637" w:rsidRPr="00D16637">
        <w:rPr>
          <w:sz w:val="24"/>
          <w:lang w:val="sk-SK"/>
        </w:rPr>
        <w:tab/>
      </w:r>
      <w:r w:rsidRPr="00D16637">
        <w:rPr>
          <w:sz w:val="24"/>
          <w:lang w:val="sk-SK"/>
        </w:rPr>
        <w:t xml:space="preserve">Rozsudok Všeobecného súdu z 25. januára 2023, De </w:t>
      </w:r>
      <w:proofErr w:type="spellStart"/>
      <w:r w:rsidRPr="00D16637">
        <w:rPr>
          <w:sz w:val="24"/>
          <w:lang w:val="sk-SK"/>
        </w:rPr>
        <w:t>Capitani</w:t>
      </w:r>
      <w:proofErr w:type="spellEnd"/>
      <w:r w:rsidRPr="00D16637">
        <w:rPr>
          <w:sz w:val="24"/>
          <w:lang w:val="sk-SK"/>
        </w:rPr>
        <w:t>/Rada, T-163/21, CLI:EU:T:2023:15.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6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6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6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4"/>
    <w:docVar w:name="dvlangue" w:val="SK"/>
    <w:docVar w:name="dvnumam" w:val="0"/>
    <w:docVar w:name="dvpe" w:val="761.252"/>
    <w:docVar w:name="dvrapporteur" w:val="Spravodajca: "/>
    <w:docVar w:name="dvtitre" w:val="Rozhodnutie Európskeho parlamentu o absolutóriu za plnenie všeobecného rozpočtu Európskej únie za rozpočtový rok 2022, oddiel II – Európska rada a Rada(2023/2131(DEC))"/>
  </w:docVars>
  <w:rsids>
    <w:rsidRoot w:val="00AD0E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110D"/>
    <w:rsid w:val="00343214"/>
    <w:rsid w:val="00361C00"/>
    <w:rsid w:val="00395FA1"/>
    <w:rsid w:val="003E15D4"/>
    <w:rsid w:val="00411CCE"/>
    <w:rsid w:val="0041666E"/>
    <w:rsid w:val="00421060"/>
    <w:rsid w:val="0046395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2D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38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E3A"/>
    <w:rsid w:val="00AE0928"/>
    <w:rsid w:val="00AF3B82"/>
    <w:rsid w:val="00AF6711"/>
    <w:rsid w:val="00B12E95"/>
    <w:rsid w:val="00B22876"/>
    <w:rsid w:val="00B558F0"/>
    <w:rsid w:val="00B81CE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637"/>
    <w:rsid w:val="00D56C11"/>
    <w:rsid w:val="00D834A0"/>
    <w:rsid w:val="00D872DF"/>
    <w:rsid w:val="00D91E21"/>
    <w:rsid w:val="00DA412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45834"/>
  <w15:chartTrackingRefBased/>
  <w15:docId w15:val="{B0B82DED-652E-45BE-BB48-A0F44863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E73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E738A"/>
    <w:pPr>
      <w:spacing w:before="480" w:after="240"/>
    </w:pPr>
  </w:style>
  <w:style w:type="paragraph" w:customStyle="1" w:styleId="PageHeading">
    <w:name w:val="PageHeading"/>
    <w:basedOn w:val="Normal"/>
    <w:rsid w:val="007E73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E738A"/>
    <w:rPr>
      <w:b/>
    </w:rPr>
  </w:style>
  <w:style w:type="paragraph" w:customStyle="1" w:styleId="NormalHanging12a">
    <w:name w:val="NormalHanging12a"/>
    <w:basedOn w:val="Normal"/>
    <w:link w:val="NormalHanging12aChar"/>
    <w:rsid w:val="007E738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E73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738A"/>
    <w:rPr>
      <w:sz w:val="24"/>
      <w:lang w:val="sk-SK"/>
    </w:rPr>
  </w:style>
  <w:style w:type="paragraph" w:customStyle="1" w:styleId="EPFooter">
    <w:name w:val="EPFooter"/>
    <w:basedOn w:val="Normal"/>
    <w:rsid w:val="007E73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7E738A"/>
    <w:rPr>
      <w:sz w:val="24"/>
      <w:lang w:val="sk-SK"/>
    </w:rPr>
  </w:style>
  <w:style w:type="paragraph" w:styleId="Footer">
    <w:name w:val="footer"/>
    <w:basedOn w:val="Normal"/>
    <w:link w:val="FooterChar"/>
    <w:rsid w:val="002F11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F110D"/>
    <w:rPr>
      <w:sz w:val="24"/>
      <w:lang w:val="sk-SK"/>
    </w:rPr>
  </w:style>
  <w:style w:type="character" w:styleId="Hyperlink">
    <w:name w:val="Hyperlink"/>
    <w:basedOn w:val="DefaultParagraphFont"/>
    <w:uiPriority w:val="99"/>
    <w:unhideWhenUsed/>
    <w:rsid w:val="004639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EA857-AECC-4E4A-BB71-7D68353E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1720</Words>
  <Characters>10722</Characters>
  <Application>Microsoft Office Word</Application>
  <DocSecurity>0</DocSecurity>
  <Lines>89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2024-10-22T09:52:00Z</dcterms:created>
  <dcterms:modified xsi:type="dcterms:W3CDTF">2024-10-22T09:52:00Z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A10-0003/2024</vt:lpwstr>
  </property>
  <property fmtid="{D5CDD505-2E9C-101B-9397-08002B2CF9AE}" pid="4" name="&lt;Type&gt;">
    <vt:lpwstr>RR</vt:lpwstr>
  </property>
</Properties>
</file>