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7F0A" w:rsidTr="0010095E">
        <w:trPr>
          <w:trHeight w:hRule="exact" w:val="1418"/>
        </w:trPr>
        <w:tc>
          <w:tcPr>
            <w:tcW w:w="6804" w:type="dxa"/>
            <w:shd w:val="clear" w:color="auto" w:fill="auto"/>
            <w:vAlign w:val="center"/>
          </w:tcPr>
          <w:p w:rsidR="00751A4A" w:rsidRPr="00837F0A" w:rsidRDefault="008479F5" w:rsidP="0010095E">
            <w:pPr>
              <w:pStyle w:val="EPName"/>
            </w:pPr>
            <w:r w:rsidRPr="00837F0A">
              <w:t>Europaparlamentet</w:t>
            </w:r>
          </w:p>
          <w:p w:rsidR="00751A4A" w:rsidRPr="00837F0A" w:rsidRDefault="005F1B17" w:rsidP="005F1B17">
            <w:pPr>
              <w:pStyle w:val="EPTerm"/>
              <w:rPr>
                <w:rStyle w:val="HideTWBExt"/>
                <w:noProof w:val="0"/>
                <w:vanish w:val="0"/>
                <w:color w:val="auto"/>
              </w:rPr>
            </w:pPr>
            <w:r w:rsidRPr="00837F0A">
              <w:t>2024</w:t>
            </w:r>
            <w:r w:rsidR="00817416" w:rsidRPr="00837F0A">
              <w:t>-202</w:t>
            </w:r>
            <w:r w:rsidRPr="00837F0A">
              <w:t>9</w:t>
            </w:r>
          </w:p>
        </w:tc>
        <w:tc>
          <w:tcPr>
            <w:tcW w:w="2268" w:type="dxa"/>
            <w:shd w:val="clear" w:color="auto" w:fill="auto"/>
          </w:tcPr>
          <w:p w:rsidR="00751A4A" w:rsidRPr="00837F0A" w:rsidRDefault="00187494" w:rsidP="0010095E">
            <w:pPr>
              <w:pStyle w:val="EPLogo"/>
            </w:pPr>
            <w:r w:rsidRPr="00837F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7F0A" w:rsidRDefault="00D058B8" w:rsidP="004C5D52">
      <w:pPr>
        <w:pStyle w:val="LineTop"/>
      </w:pPr>
    </w:p>
    <w:p w:rsidR="00680577" w:rsidRPr="00837F0A" w:rsidRDefault="008479F5" w:rsidP="00680577">
      <w:pPr>
        <w:pStyle w:val="EPBodyTA1"/>
      </w:pPr>
      <w:r w:rsidRPr="00837F0A">
        <w:t>ANTAGNA TEXTER</w:t>
      </w:r>
    </w:p>
    <w:p w:rsidR="00D058B8" w:rsidRPr="00837F0A" w:rsidRDefault="00D058B8" w:rsidP="00D058B8">
      <w:pPr>
        <w:pStyle w:val="LineBottom"/>
      </w:pPr>
    </w:p>
    <w:p w:rsidR="008479F5" w:rsidRPr="00837F0A" w:rsidRDefault="008479F5" w:rsidP="008479F5">
      <w:pPr>
        <w:pStyle w:val="ATHeading1"/>
      </w:pPr>
      <w:bookmarkStart w:id="0" w:name="TANumber"/>
      <w:r w:rsidRPr="00837F0A">
        <w:t>P10_TA(2024)00</w:t>
      </w:r>
      <w:bookmarkEnd w:id="0"/>
      <w:r w:rsidR="00426FFC">
        <w:t>26</w:t>
      </w:r>
    </w:p>
    <w:p w:rsidR="008479F5" w:rsidRPr="00837F0A" w:rsidRDefault="008479F5" w:rsidP="008479F5">
      <w:pPr>
        <w:pStyle w:val="ATHeading2"/>
      </w:pPr>
      <w:bookmarkStart w:id="1" w:name="title"/>
      <w:r w:rsidRPr="00837F0A">
        <w:t>Ansvarsfrihet 2022: EU:s allmänna budget – Europeiska rådet och rådet</w:t>
      </w:r>
      <w:bookmarkEnd w:id="1"/>
    </w:p>
    <w:p w:rsidR="008479F5" w:rsidRPr="00837F0A" w:rsidRDefault="008479F5" w:rsidP="008479F5">
      <w:pPr>
        <w:rPr>
          <w:i/>
          <w:vanish/>
        </w:rPr>
      </w:pPr>
      <w:r w:rsidRPr="00837F0A">
        <w:rPr>
          <w:i/>
        </w:rPr>
        <w:fldChar w:fldCharType="begin"/>
      </w:r>
      <w:r w:rsidRPr="00837F0A">
        <w:rPr>
          <w:i/>
        </w:rPr>
        <w:instrText xml:space="preserve"> TC"(</w:instrText>
      </w:r>
      <w:bookmarkStart w:id="2" w:name="DocNumber"/>
      <w:r w:rsidRPr="00837F0A">
        <w:rPr>
          <w:i/>
        </w:rPr>
        <w:instrText>A10-0003/2024</w:instrText>
      </w:r>
      <w:bookmarkEnd w:id="2"/>
      <w:r w:rsidRPr="00837F0A">
        <w:rPr>
          <w:i/>
        </w:rPr>
        <w:instrText xml:space="preserve"> - Föredragande: Jonas Sjöstedt)"\l3 \n&gt; \* MERGEFORMAT </w:instrText>
      </w:r>
      <w:r w:rsidRPr="00837F0A">
        <w:rPr>
          <w:i/>
        </w:rPr>
        <w:fldChar w:fldCharType="end"/>
      </w:r>
    </w:p>
    <w:p w:rsidR="008479F5" w:rsidRPr="00837F0A" w:rsidRDefault="008479F5" w:rsidP="008479F5">
      <w:pPr>
        <w:rPr>
          <w:vanish/>
        </w:rPr>
      </w:pPr>
      <w:bookmarkStart w:id="3" w:name="Commission"/>
      <w:r w:rsidRPr="00837F0A">
        <w:rPr>
          <w:vanish/>
        </w:rPr>
        <w:t>Budgetkontrollutskottet</w:t>
      </w:r>
      <w:bookmarkEnd w:id="3"/>
    </w:p>
    <w:p w:rsidR="008479F5" w:rsidRPr="00837F0A" w:rsidRDefault="008479F5" w:rsidP="008479F5">
      <w:pPr>
        <w:rPr>
          <w:vanish/>
        </w:rPr>
      </w:pPr>
      <w:bookmarkStart w:id="4" w:name="PE"/>
      <w:r w:rsidRPr="00837F0A">
        <w:rPr>
          <w:vanish/>
        </w:rPr>
        <w:t>PE761.252</w:t>
      </w:r>
      <w:bookmarkEnd w:id="4"/>
    </w:p>
    <w:p w:rsidR="008479F5" w:rsidRPr="00837F0A" w:rsidRDefault="00847292" w:rsidP="008479F5">
      <w:pPr>
        <w:pStyle w:val="ATHeading3"/>
      </w:pPr>
      <w:bookmarkStart w:id="5" w:name="Sujet"/>
      <w:r w:rsidRPr="00837F0A">
        <w:t>1. E</w:t>
      </w:r>
      <w:r w:rsidR="008479F5" w:rsidRPr="00837F0A">
        <w:t xml:space="preserve">uropaparlamentets beslut av den </w:t>
      </w:r>
      <w:r w:rsidRPr="00837F0A">
        <w:t>22</w:t>
      </w:r>
      <w:r w:rsidR="008479F5" w:rsidRPr="00837F0A">
        <w:t xml:space="preserve"> </w:t>
      </w:r>
      <w:r w:rsidRPr="00837F0A">
        <w:t>oktober</w:t>
      </w:r>
      <w:r w:rsidR="008479F5" w:rsidRPr="00837F0A">
        <w:t xml:space="preserve"> 2024 om ansvarsfrihet för genomförandet av Europeiska unionens allmänna budget för budgetåret 2022, avsnitt II – Europeiska rådet och rådet</w:t>
      </w:r>
      <w:bookmarkEnd w:id="5"/>
      <w:r w:rsidR="008479F5" w:rsidRPr="00837F0A">
        <w:t xml:space="preserve"> </w:t>
      </w:r>
      <w:bookmarkStart w:id="6" w:name="References"/>
      <w:r w:rsidR="008479F5" w:rsidRPr="00837F0A">
        <w:t>(2023/2131(DEC))</w:t>
      </w:r>
      <w:bookmarkEnd w:id="6"/>
    </w:p>
    <w:p w:rsidR="00925EEF" w:rsidRPr="00837F0A" w:rsidRDefault="00925EEF" w:rsidP="00925EEF">
      <w:pPr>
        <w:pStyle w:val="EPComma"/>
      </w:pPr>
      <w:bookmarkStart w:id="7" w:name="TextBodyBegin"/>
      <w:bookmarkStart w:id="8" w:name="_Toc26759888"/>
      <w:bookmarkStart w:id="9" w:name="_Toc86200285"/>
      <w:bookmarkEnd w:id="7"/>
      <w:r w:rsidRPr="00837F0A">
        <w:rPr>
          <w:i/>
        </w:rPr>
        <w:t>Europaparlamentet fattar detta beslut</w:t>
      </w:r>
    </w:p>
    <w:p w:rsidR="00925EEF" w:rsidRPr="00837F0A" w:rsidRDefault="00925EEF" w:rsidP="00925EEF">
      <w:pPr>
        <w:pStyle w:val="NormalHanging12a"/>
      </w:pPr>
      <w:r w:rsidRPr="00837F0A">
        <w:t>–</w:t>
      </w:r>
      <w:r w:rsidRPr="00837F0A">
        <w:tab/>
        <w:t>med beaktande av Europeiska unionens allmänna budget för budgetåret 2022</w:t>
      </w:r>
      <w:r w:rsidRPr="00837F0A">
        <w:rPr>
          <w:rStyle w:val="FootnoteReference"/>
        </w:rPr>
        <w:footnoteReference w:id="1"/>
      </w:r>
      <w:r w:rsidRPr="00837F0A">
        <w:t>,</w:t>
      </w:r>
    </w:p>
    <w:p w:rsidR="00925EEF" w:rsidRPr="00837F0A" w:rsidRDefault="00925EEF" w:rsidP="00925EEF">
      <w:pPr>
        <w:pStyle w:val="NormalHanging12a"/>
      </w:pPr>
      <w:r w:rsidRPr="00837F0A">
        <w:t>–</w:t>
      </w:r>
      <w:r w:rsidRPr="00837F0A">
        <w:tab/>
        <w:t>med beaktande av Europeiska unionens konsoliderade årsredovisning för budgetåret 2022 (COM(2023)0391 – C9</w:t>
      </w:r>
      <w:r w:rsidRPr="00837F0A">
        <w:noBreakHyphen/>
        <w:t>0250/2023)</w:t>
      </w:r>
      <w:r w:rsidRPr="00837F0A">
        <w:rPr>
          <w:rStyle w:val="FootnoteReference"/>
        </w:rPr>
        <w:footnoteReference w:id="2"/>
      </w:r>
      <w:r w:rsidRPr="00837F0A">
        <w:t>,</w:t>
      </w:r>
    </w:p>
    <w:p w:rsidR="00925EEF" w:rsidRPr="00837F0A" w:rsidRDefault="00925EEF" w:rsidP="00925EEF">
      <w:pPr>
        <w:pStyle w:val="NormalHanging12a"/>
      </w:pPr>
      <w:r w:rsidRPr="00837F0A">
        <w:t>–</w:t>
      </w:r>
      <w:r w:rsidRPr="00837F0A">
        <w:tab/>
        <w:t>med beaktande av rådets årsrapport till den ansvarsfrihetsbeviljande myndigheten om de internrevisioner som genomförts under 2022,</w:t>
      </w:r>
    </w:p>
    <w:p w:rsidR="00925EEF" w:rsidRPr="00837F0A" w:rsidRDefault="00925EEF" w:rsidP="00925EEF">
      <w:pPr>
        <w:pStyle w:val="NormalHanging12a"/>
      </w:pPr>
      <w:r w:rsidRPr="00837F0A">
        <w:t>–</w:t>
      </w:r>
      <w:r w:rsidRPr="00837F0A">
        <w:tab/>
        <w:t>med beaktande av revisionsrättens årsrapport om genomförandet av budgeten för budgetåret 2022, med institutionernas svar</w:t>
      </w:r>
      <w:r w:rsidRPr="00837F0A">
        <w:rPr>
          <w:rStyle w:val="FootnoteReference"/>
        </w:rPr>
        <w:footnoteReference w:id="3"/>
      </w:r>
      <w:r w:rsidRPr="00837F0A">
        <w:t>,</w:t>
      </w:r>
    </w:p>
    <w:p w:rsidR="00925EEF" w:rsidRPr="00837F0A" w:rsidRDefault="00925EEF" w:rsidP="00925EEF">
      <w:pPr>
        <w:pStyle w:val="NormalHanging12a"/>
      </w:pPr>
      <w:r w:rsidRPr="00837F0A">
        <w:t>–</w:t>
      </w:r>
      <w:r w:rsidRPr="00837F0A">
        <w:tab/>
        <w:t>med beaktande av förklaringen om räkenskapernas tillförlitlighet och de underliggande transaktionernas laglighet och korrekthet</w:t>
      </w:r>
      <w:r w:rsidRPr="00837F0A">
        <w:rPr>
          <w:rStyle w:val="FootnoteReference"/>
        </w:rPr>
        <w:footnoteReference w:id="4"/>
      </w:r>
      <w:r w:rsidRPr="00837F0A">
        <w:t>, som avgetts av revisionsrätten för budgetåret 2022 i enlighet med artikel 287 i fördraget om Europeiska unionens funktionssätt,</w:t>
      </w:r>
    </w:p>
    <w:p w:rsidR="00925EEF" w:rsidRPr="00837F0A" w:rsidRDefault="00925EEF" w:rsidP="00925EEF">
      <w:pPr>
        <w:pStyle w:val="NormalHanging12a"/>
      </w:pPr>
      <w:r w:rsidRPr="00837F0A">
        <w:t>–</w:t>
      </w:r>
      <w:r w:rsidRPr="00837F0A">
        <w:tab/>
        <w:t>med beaktande av sitt beslut av den 23 april 2024</w:t>
      </w:r>
      <w:r w:rsidRPr="00837F0A">
        <w:rPr>
          <w:rStyle w:val="FootnoteReference"/>
        </w:rPr>
        <w:footnoteReference w:id="5"/>
      </w:r>
      <w:r w:rsidRPr="00837F0A">
        <w:t xml:space="preserve"> om att uppskjuta beviljandet av ansvarsfrihet för budgetåret 2022 samt den åtföljande resolutionen,</w:t>
      </w:r>
    </w:p>
    <w:p w:rsidR="00925EEF" w:rsidRPr="00837F0A" w:rsidRDefault="00925EEF" w:rsidP="00925EEF">
      <w:pPr>
        <w:pStyle w:val="NormalHanging12a"/>
      </w:pPr>
      <w:r w:rsidRPr="00837F0A">
        <w:t>–</w:t>
      </w:r>
      <w:r w:rsidRPr="00837F0A">
        <w:tab/>
        <w:t>med beaktande av artikel 314.10 och artiklarna 317, 318 och 319 i fördraget om Europeiska unionens funktionssätt,</w:t>
      </w:r>
    </w:p>
    <w:p w:rsidR="00925EEF" w:rsidRPr="00837F0A" w:rsidRDefault="00925EEF" w:rsidP="00925EEF">
      <w:pPr>
        <w:pStyle w:val="NormalHanging12a"/>
      </w:pPr>
      <w:r w:rsidRPr="00837F0A">
        <w:t>–</w:t>
      </w:r>
      <w:r w:rsidRPr="00837F0A">
        <w:tab/>
        <w:t xml:space="preserve">med beaktande av Europaparlamentets och rådets förordning (EU, Euratom) 2018/1046 av den 18 juli 2018 om finansiella regler för unionens allmänna budget, om ändring av </w:t>
      </w:r>
      <w:r w:rsidRPr="00837F0A">
        <w:lastRenderedPageBreak/>
        <w:t>förordningarna (EU) nr 1296/2013, (EU) nr 1301/2013, (EU) nr 1303/2013, (EU) nr 1304/2013, (EU) nr 1309/2013, (EU) nr 1316/2013, (EU) nr 223/2014, (EU) nr 283/2014 och beslut nr 541/2014/EU samt om upphävande av förordning (EU, Euratom) nr 966/2012</w:t>
      </w:r>
      <w:r w:rsidRPr="00837F0A">
        <w:rPr>
          <w:rStyle w:val="FootnoteReference"/>
        </w:rPr>
        <w:footnoteReference w:id="6"/>
      </w:r>
      <w:r w:rsidRPr="00837F0A">
        <w:t>, särskilt artiklarna 59, 118, 260, 261 och 262,</w:t>
      </w:r>
    </w:p>
    <w:p w:rsidR="00847292" w:rsidRPr="00837F0A" w:rsidRDefault="00847292" w:rsidP="00847292">
      <w:pPr>
        <w:pStyle w:val="NormalHanging12a"/>
      </w:pPr>
      <w:r w:rsidRPr="00837F0A">
        <w:t>_</w:t>
      </w:r>
      <w:r w:rsidRPr="00837F0A">
        <w:tab/>
        <w:t>med beaktande av Europaparlamentets och rådets förordning (EU, Euratom) 2024/2509 av den 23 september 2024 om finansiella regler för unionens allmänna budget</w:t>
      </w:r>
      <w:r w:rsidRPr="00837F0A">
        <w:rPr>
          <w:bCs/>
          <w:vertAlign w:val="superscript"/>
        </w:rPr>
        <w:footnoteReference w:id="7"/>
      </w:r>
      <w:r w:rsidRPr="00837F0A">
        <w:t>, särskilt artiklarna 59, 118, 266, 267 och 268,</w:t>
      </w:r>
    </w:p>
    <w:p w:rsidR="00925EEF" w:rsidRPr="00837F0A" w:rsidRDefault="00925EEF" w:rsidP="00925EEF">
      <w:pPr>
        <w:pStyle w:val="NormalHanging12a"/>
      </w:pPr>
      <w:r w:rsidRPr="00837F0A">
        <w:t>–</w:t>
      </w:r>
      <w:r w:rsidRPr="00837F0A">
        <w:tab/>
        <w:t>med beaktande av artikel 102 och bilaga V i arbetsordningen,</w:t>
      </w:r>
    </w:p>
    <w:p w:rsidR="00925EEF" w:rsidRPr="00837F0A" w:rsidRDefault="00925EEF" w:rsidP="00925EEF">
      <w:pPr>
        <w:pStyle w:val="NormalHanging12a"/>
      </w:pPr>
      <w:r w:rsidRPr="00837F0A">
        <w:t>–</w:t>
      </w:r>
      <w:r w:rsidRPr="00837F0A">
        <w:tab/>
        <w:t>med beaktande av betänkande 2 från budgetkontrollutskottet (A10-0003/2024).</w:t>
      </w:r>
    </w:p>
    <w:p w:rsidR="00925EEF" w:rsidRPr="00837F0A" w:rsidRDefault="00925EEF" w:rsidP="00925EEF">
      <w:pPr>
        <w:pStyle w:val="NormalHanging12a"/>
      </w:pPr>
      <w:r w:rsidRPr="00837F0A">
        <w:t>1.</w:t>
      </w:r>
      <w:r w:rsidRPr="00837F0A">
        <w:tab/>
        <w:t>Europaparlamentet beviljar inte rådets generalsekreterare ansvarsfrihet för genomförandet av Europiska rådets och rådets budget för budgetåret 2022.</w:t>
      </w:r>
    </w:p>
    <w:p w:rsidR="00925EEF" w:rsidRPr="00837F0A" w:rsidRDefault="00925EEF" w:rsidP="00925EEF">
      <w:pPr>
        <w:pStyle w:val="NormalHanging12a"/>
      </w:pPr>
      <w:r w:rsidRPr="00837F0A">
        <w:t>2.</w:t>
      </w:r>
      <w:r w:rsidRPr="00837F0A">
        <w:tab/>
        <w:t>Europaparlamentet redovisar sina iakttagelser i resolutionen nedan.</w:t>
      </w:r>
    </w:p>
    <w:p w:rsidR="00925EEF" w:rsidRPr="00837F0A" w:rsidRDefault="00925EEF" w:rsidP="00925EEF">
      <w:pPr>
        <w:pStyle w:val="NormalHanging12a"/>
      </w:pPr>
      <w:r w:rsidRPr="00837F0A">
        <w:t>3.</w:t>
      </w:r>
      <w:r w:rsidRPr="00837F0A">
        <w:tab/>
        <w:t xml:space="preserve">Europaparlamentet uppdrar åt talmannen att översända detta beslut och den resolution som utgör en del av beslutet till Europeiska rådet, rådet, kommissionen och revisionsrätten, samt att se till att de offentliggörs i </w:t>
      </w:r>
      <w:r w:rsidRPr="00837F0A">
        <w:rPr>
          <w:i/>
          <w:iCs/>
        </w:rPr>
        <w:t>Europeiska unionens officiella tidning</w:t>
      </w:r>
      <w:r w:rsidRPr="00837F0A">
        <w:t xml:space="preserve"> (L-serien).</w:t>
      </w:r>
    </w:p>
    <w:p w:rsidR="00925EEF" w:rsidRPr="00837F0A" w:rsidRDefault="00925EEF" w:rsidP="00925EEF"/>
    <w:p w:rsidR="00925EEF" w:rsidRPr="00837F0A" w:rsidRDefault="00925EEF" w:rsidP="00925EEF">
      <w:pPr>
        <w:pStyle w:val="PageHeading"/>
        <w:sectPr w:rsidR="00925EEF" w:rsidRPr="00837F0A" w:rsidSect="00EE271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bookmarkStart w:id="10" w:name="_GoBack"/>
      <w:bookmarkEnd w:id="10"/>
    </w:p>
    <w:bookmarkEnd w:id="8"/>
    <w:bookmarkEnd w:id="9"/>
    <w:p w:rsidR="00925EEF" w:rsidRPr="00837F0A" w:rsidRDefault="00847292" w:rsidP="00925EEF">
      <w:pPr>
        <w:pStyle w:val="NormalBold"/>
      </w:pPr>
      <w:r w:rsidRPr="00837F0A">
        <w:lastRenderedPageBreak/>
        <w:t>2. Europaparlamentets resolution av den 22 oktober 2024 m</w:t>
      </w:r>
      <w:r w:rsidR="00925EEF" w:rsidRPr="00837F0A">
        <w:t>ed de iakttagelser som utgör en del av beslutet om ansvarsfrihet för genomförandet av Europeiska unionens allmänna budget för budgetåret 2022, avsnitt II – Europeiska rådet och rådet</w:t>
      </w:r>
      <w:r w:rsidRPr="00837F0A">
        <w:t xml:space="preserve"> </w:t>
      </w:r>
      <w:r w:rsidR="00925EEF" w:rsidRPr="00837F0A">
        <w:t>(2023/2131(DEC))</w:t>
      </w:r>
    </w:p>
    <w:p w:rsidR="00925EEF" w:rsidRPr="00837F0A" w:rsidRDefault="00925EEF" w:rsidP="00925EEF">
      <w:pPr>
        <w:pStyle w:val="EPComma"/>
      </w:pPr>
      <w:r w:rsidRPr="00837F0A">
        <w:rPr>
          <w:i/>
        </w:rPr>
        <w:t>Europaparlamentet utfärdar denna resolution</w:t>
      </w:r>
    </w:p>
    <w:p w:rsidR="00925EEF" w:rsidRPr="00837F0A" w:rsidRDefault="00925EEF" w:rsidP="00925EEF">
      <w:pPr>
        <w:pStyle w:val="NormalHanging12a"/>
      </w:pPr>
      <w:r w:rsidRPr="00837F0A">
        <w:t>–</w:t>
      </w:r>
      <w:r w:rsidRPr="00837F0A">
        <w:tab/>
        <w:t>med beaktande av sitt beslut om ansvarsfrihet för genomförandet av Europeiska unionens allmänna budget för budgetåret 2022, avsnitt II – Europeiska rådet och rådet,</w:t>
      </w:r>
    </w:p>
    <w:p w:rsidR="00925EEF" w:rsidRPr="00837F0A" w:rsidRDefault="00925EEF" w:rsidP="00925EEF">
      <w:pPr>
        <w:pStyle w:val="NormalHanging12a"/>
      </w:pPr>
      <w:r w:rsidRPr="00837F0A">
        <w:t>–</w:t>
      </w:r>
      <w:r w:rsidRPr="00837F0A">
        <w:tab/>
        <w:t>med beaktande av artikel 102 och bilaga V i arbetsordningen,</w:t>
      </w:r>
    </w:p>
    <w:p w:rsidR="00925EEF" w:rsidRPr="00837F0A" w:rsidRDefault="00925EEF" w:rsidP="00925EEF">
      <w:pPr>
        <w:pStyle w:val="NormalHanging12a"/>
      </w:pPr>
      <w:r w:rsidRPr="00837F0A">
        <w:t>–</w:t>
      </w:r>
      <w:r w:rsidRPr="00837F0A">
        <w:tab/>
        <w:t>med beaktande av betänkande 2 från budgetkontrollutskottet (A10-0003/2024), och av följande skäl:</w:t>
      </w:r>
    </w:p>
    <w:p w:rsidR="00925EEF" w:rsidRPr="00837F0A" w:rsidRDefault="00925EEF" w:rsidP="00925EEF">
      <w:pPr>
        <w:pStyle w:val="NormalHanging12a"/>
      </w:pPr>
      <w:r w:rsidRPr="00837F0A">
        <w:t>A.</w:t>
      </w:r>
      <w:r w:rsidRPr="00837F0A">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resultatbaserad budgetering och säkra en god förvaltning av personalresurserna.</w:t>
      </w:r>
    </w:p>
    <w:p w:rsidR="00925EEF" w:rsidRPr="00837F0A" w:rsidRDefault="00925EEF" w:rsidP="00925EEF">
      <w:pPr>
        <w:pStyle w:val="NormalHanging12a"/>
      </w:pPr>
      <w:r w:rsidRPr="00837F0A">
        <w:t>B.</w:t>
      </w:r>
      <w:r w:rsidRPr="00837F0A">
        <w:tab/>
        <w:t>Enligt artikel 319 i fördraget om Europeiska unionens funktionssätt (EUF-fördraget) ansvarar parlamentet ensamt för att bevilja ansvarsfrihet för genomförandet av unionens allmänna budget, och Europeiska rådets och rådets budget utgör ett avsnitt i unionens budget.</w:t>
      </w:r>
    </w:p>
    <w:p w:rsidR="00925EEF" w:rsidRPr="00837F0A" w:rsidRDefault="00925EEF" w:rsidP="00925EEF">
      <w:pPr>
        <w:pStyle w:val="NormalHanging12a"/>
      </w:pPr>
      <w:r w:rsidRPr="00837F0A">
        <w:t>C.</w:t>
      </w:r>
      <w:r w:rsidRPr="00837F0A">
        <w:tab/>
        <w:t>Enligt artikel 15.1 i fördraget om Europeiska unionen ska Europeiska rådet inte ha någon lagstiftande funktion.</w:t>
      </w:r>
    </w:p>
    <w:p w:rsidR="00925EEF" w:rsidRPr="00837F0A" w:rsidRDefault="00925EEF" w:rsidP="00925EEF">
      <w:pPr>
        <w:pStyle w:val="NormalHanging12a"/>
      </w:pPr>
      <w:r w:rsidRPr="00837F0A">
        <w:t>D.</w:t>
      </w:r>
      <w:r w:rsidRPr="00837F0A">
        <w:tab/>
        <w:t>Enligt artikel 317 i EUF-fördraget ska kommissionen genomföra unionens budget på eget ansvar och med beaktande av principerna om sund ekonomisk förvaltning. Kommissionen ska enligt gällande regelverk ge de övriga unionsinstitutionerna de befogenheter som krävs för att dessa ska kunna genomföra sina respektive avsnitt i budgeten.</w:t>
      </w:r>
    </w:p>
    <w:p w:rsidR="00925EEF" w:rsidRPr="00837F0A" w:rsidRDefault="00925EEF" w:rsidP="00925EEF">
      <w:pPr>
        <w:pStyle w:val="NormalHanging12a"/>
      </w:pPr>
      <w:r w:rsidRPr="00837F0A">
        <w:t>E.</w:t>
      </w:r>
      <w:r w:rsidRPr="00837F0A">
        <w:tab/>
        <w:t>Enligt artiklarna 235.4 och 240.2 i EUF-fördraget ska Europeiska rådet och rådet (</w:t>
      </w:r>
      <w:r w:rsidRPr="00837F0A">
        <w:rPr>
          <w:i/>
          <w:iCs/>
        </w:rPr>
        <w:t>rådet</w:t>
      </w:r>
      <w:r w:rsidRPr="00837F0A">
        <w:t>) biträdas av rådets generalsekretariat, och rådets generalsekreterare är till fullo ansvarig för en sund förvaltning av anslagen i avsnitt II i unionens budget.</w:t>
      </w:r>
    </w:p>
    <w:p w:rsidR="00925EEF" w:rsidRPr="00837F0A" w:rsidRDefault="00925EEF" w:rsidP="00925EEF">
      <w:pPr>
        <w:pStyle w:val="NormalHanging12a"/>
      </w:pPr>
      <w:r w:rsidRPr="00837F0A">
        <w:t>F.</w:t>
      </w:r>
      <w:r w:rsidRPr="00837F0A">
        <w:tab/>
        <w:t>I närmare tjugo år har parlamentet tillämpat den väletablerade och respekterade praxisen att bevilja ansvarsfrihet för alla unionens institutioner, organ och byråer, och kommissionen stöder en fortsatt tillämpning av praxisen att bevilja alla enskilda institutioner, organ och byråer ansvarsfrihet för deras administrativa utgifter.</w:t>
      </w:r>
    </w:p>
    <w:p w:rsidR="00925EEF" w:rsidRPr="00837F0A" w:rsidRDefault="00925EEF" w:rsidP="00925EEF">
      <w:pPr>
        <w:pStyle w:val="NormalHanging12a"/>
      </w:pPr>
      <w:r w:rsidRPr="00837F0A">
        <w:t>G.</w:t>
      </w:r>
      <w:r w:rsidRPr="00837F0A">
        <w:tab/>
        <w:t>I enlighet med artikel 59.1 i budgetförordningen ska kommissionen ge övriga EU</w:t>
      </w:r>
      <w:r w:rsidRPr="00837F0A">
        <w:noBreakHyphen/>
        <w:t>institutioner de befogenheter som krävs för att dessa ska kunna genomföra sina respektive avsnitt av budgeten.</w:t>
      </w:r>
    </w:p>
    <w:p w:rsidR="00925EEF" w:rsidRPr="00837F0A" w:rsidRDefault="00925EEF" w:rsidP="00925EEF">
      <w:pPr>
        <w:pStyle w:val="NormalHanging12a"/>
      </w:pPr>
      <w:r w:rsidRPr="00837F0A">
        <w:t>H.</w:t>
      </w:r>
      <w:r w:rsidRPr="00837F0A">
        <w:tab/>
        <w:t>Sedan 2009 har rådets bristande samarbetsvilja i förfarandet för beviljande av ansvarsfrihet tvingat parlamentet att vägra bevilja rådets generalsekreterare ansvarsfrihet.</w:t>
      </w:r>
    </w:p>
    <w:p w:rsidR="00925EEF" w:rsidRPr="00837F0A" w:rsidRDefault="00925EEF" w:rsidP="00925EEF">
      <w:pPr>
        <w:pStyle w:val="NormalHanging12a"/>
      </w:pPr>
      <w:r w:rsidRPr="00837F0A">
        <w:t>I.</w:t>
      </w:r>
      <w:r w:rsidRPr="00837F0A">
        <w:tab/>
        <w:t>Europeiska rådet och rådet bör, i egenskap av unionsinstitutioner och mottagare av unionens allmänna budget, vara transparenta och demokratiskt ansvariga inför unionens medborgare och föremål för demokratisk kontroll när det gäller användningen av offentliga medel.</w:t>
      </w:r>
    </w:p>
    <w:p w:rsidR="00925EEF" w:rsidRPr="00837F0A" w:rsidRDefault="00925EEF" w:rsidP="00925EEF">
      <w:pPr>
        <w:pStyle w:val="NormalHanging12a"/>
      </w:pPr>
      <w:r w:rsidRPr="00837F0A">
        <w:t>J.</w:t>
      </w:r>
      <w:r w:rsidRPr="00837F0A">
        <w:tab/>
        <w:t>Europeiska ombudsmannens (</w:t>
      </w:r>
      <w:r w:rsidRPr="00837F0A">
        <w:rPr>
          <w:i/>
          <w:iCs/>
        </w:rPr>
        <w:t>ombudsmannen</w:t>
      </w:r>
      <w:r w:rsidRPr="00837F0A">
        <w:t>) rekommendation i den strategiska undersökningen OI/2/2017/TE om transparens i rådets lagstiftningsprocess visade att rådets praxis när det gäller transparens i lagstiftningsprocessen utgjorde administrativa missförhållanden och bör åtgärdas för att göra det möjligt för medborgarna att följa unionens lagstiftningsprocess.</w:t>
      </w:r>
    </w:p>
    <w:p w:rsidR="00925EEF" w:rsidRPr="00837F0A" w:rsidRDefault="00925EEF" w:rsidP="00925EEF">
      <w:pPr>
        <w:pStyle w:val="NormalHanging12a"/>
      </w:pPr>
      <w:r w:rsidRPr="00837F0A">
        <w:t>K.</w:t>
      </w:r>
      <w:r w:rsidRPr="00837F0A">
        <w:tab/>
        <w:t>Europeiska unionens domstols rättspraxis bekräftar skattebetalarnas och allmänhetens rätt till information om användningen av offentliga inkomster och i sin dom av den 25 januari 2023 i mål T-163/21</w:t>
      </w:r>
      <w:r w:rsidRPr="00837F0A">
        <w:rPr>
          <w:rStyle w:val="FootnoteReference"/>
        </w:rPr>
        <w:footnoteReference w:id="8"/>
      </w:r>
      <w:r w:rsidRPr="00837F0A">
        <w:t>, De Capitani mot rådet, om transparens i unionens lagstiftningsprocess, slog tribunalen fast att de handlingar som rådet utarbetar i sina arbetsgrupper inte är av teknisk art utan lagstiftningsmässiga och därför omfattas av begäranden om tillgång till handlingar.</w:t>
      </w:r>
    </w:p>
    <w:p w:rsidR="00925EEF" w:rsidRPr="00837F0A" w:rsidRDefault="00925EEF" w:rsidP="00925EEF">
      <w:pPr>
        <w:pStyle w:val="NormalHanging12a"/>
      </w:pPr>
      <w:r w:rsidRPr="00837F0A">
        <w:t>1.</w:t>
      </w:r>
      <w:r w:rsidRPr="00837F0A">
        <w:tab/>
        <w:t>Europaparlamentet beklagar djupt att rådet sedan 2009 och återigen för budgetåret 2022 fortsätter att vägra att samarbeta med parlamentet om ansvarsfrihetsförfarandet, vilket hindrar parlamentet från att fatta ett välgrundat beslut baserat på en seriös och grundlig granskning av genomförandet av rådets budget och därmed tvingar parlamentet att vägra bevilja ansvarsfrihet.</w:t>
      </w:r>
    </w:p>
    <w:p w:rsidR="00925EEF" w:rsidRPr="00837F0A" w:rsidRDefault="00925EEF" w:rsidP="00925EEF">
      <w:pPr>
        <w:pStyle w:val="NormalHanging12a"/>
      </w:pPr>
      <w:r w:rsidRPr="00837F0A">
        <w:t>2.</w:t>
      </w:r>
      <w:r w:rsidRPr="00837F0A">
        <w:tab/>
        <w:t>Europaparlamentet noterar att den 28 september 2023 översände parlamentets berörda avdelningar, på uppdrag av föredraganden för ansvarsfrihetsförfarandet, ett frågeformulär till rådets generalsekretariat med 74 viktiga frågor från parlamentet för att möjliggöra en grundlig granskning av genomförandet av rådets budget och av rådets förvaltning. Parlamentet noterar vidare att liknande frågeformulär skickades ut till alla övriga institutioner, som alla har gett parlamentet grundliga svar på samtliga frågor.</w:t>
      </w:r>
    </w:p>
    <w:p w:rsidR="00925EEF" w:rsidRPr="00837F0A" w:rsidRDefault="00925EEF" w:rsidP="00925EEF">
      <w:pPr>
        <w:pStyle w:val="NormalHanging12a"/>
      </w:pPr>
      <w:r w:rsidRPr="00837F0A">
        <w:t>3.</w:t>
      </w:r>
      <w:r w:rsidRPr="00837F0A">
        <w:tab/>
        <w:t>Europaparlamentet beklagar att rådets generalsekretariat den 12 oktober 2023 på nytt informerade parlamentet om att det inte skulle svara på parlamentets frågeformulär och att rådet inte skulle delta i den utfrågning som anordnades den 25 oktober 2023 som en del av ansvarsfrihetsförfarandet och i vilken alla andra inbjudna institutioner deltog.</w:t>
      </w:r>
    </w:p>
    <w:p w:rsidR="00925EEF" w:rsidRPr="00837F0A" w:rsidRDefault="00925EEF" w:rsidP="00925EEF">
      <w:pPr>
        <w:pStyle w:val="NormalHanging12a"/>
      </w:pPr>
      <w:r w:rsidRPr="00837F0A">
        <w:t>4.</w:t>
      </w:r>
      <w:r w:rsidRPr="00837F0A">
        <w:tab/>
        <w:t>Europaparlamentet betonar parlamentets befogenhet att bevilja ansvarsfrihet i enlighet med artikel 319 i EUF-fördraget och de tillämpliga bestämmelserna i budgetförordningen och parlamentets arbetsordning, i enlighet med den tolkning och praxis som för närvarande gäller, det vill säga befogenheten att bevilja ansvarsfrihet i syfte att upprätthålla transparens och säkerställa den demokratiska ansvarsskyldigheten gentemot EU:s skattebetalare.</w:t>
      </w:r>
    </w:p>
    <w:p w:rsidR="00925EEF" w:rsidRPr="00837F0A" w:rsidRDefault="00925EEF" w:rsidP="00925EEF">
      <w:pPr>
        <w:pStyle w:val="NormalHanging12a"/>
      </w:pPr>
      <w:r w:rsidRPr="00837F0A">
        <w:t>5.</w:t>
      </w:r>
      <w:r w:rsidRPr="00837F0A">
        <w:tab/>
        <w:t>Europaparlamentet understryker att det i artikel 59.1 i budgetförordningen anges att kommissionen ska ge övriga unionsinstitutioner de befogenheter som krävs för att dessa ska kunna genomföra sina respektive avsnitt i budgeten, och anser därför att det är obegripligt att rådet anser att det är lämpligt att kommissionen ska beviljas ansvarsfrihet för genomförandet av rådets budget.</w:t>
      </w:r>
    </w:p>
    <w:p w:rsidR="00925EEF" w:rsidRPr="00837F0A" w:rsidRDefault="00925EEF" w:rsidP="00925EEF">
      <w:pPr>
        <w:pStyle w:val="NormalHanging12a"/>
      </w:pPr>
      <w:r w:rsidRPr="00837F0A">
        <w:t>6.</w:t>
      </w:r>
      <w:r w:rsidRPr="00837F0A">
        <w:tab/>
        <w:t>Europaparlamentet betonar att parlamentet sedan närmare tjugo år tillämpar den väletablerade och respekterade praxisen att bevilja alla unionens institutioner, organ och byråer ansvarsfrihet. Parlamentet påminner om att kommissionen har förklarat att den inte har möjlighet att övervaka genomförandet av de andra unionsinstitutionernas budgetar. Parlamentet betonar kommissionens upprepade åsikt att praxis att bevilja ansvarsfrihet för varje unionsinstitution avseende deras administrativa utgifter även i fortsättningen bör tillämpas av parlamentet.</w:t>
      </w:r>
    </w:p>
    <w:p w:rsidR="00925EEF" w:rsidRPr="00837F0A" w:rsidRDefault="00925EEF" w:rsidP="00925EEF">
      <w:pPr>
        <w:pStyle w:val="NormalHanging12a"/>
      </w:pPr>
      <w:r w:rsidRPr="00837F0A">
        <w:t>7.</w:t>
      </w:r>
      <w:r w:rsidRPr="00837F0A">
        <w:tab/>
        <w:t>Europaparlamentet betonar att den nuvarande situationen endast gör det möjligt för parlamentet att kontrollera revisionsrättens och ombudsmannens rapporter samt den offentligt tillgängliga informationen på rådets webbplats eftersom rådet fortsätter med sin otillbörliga praxis att inte samarbeta med parlamentet, vilket gör det omöjligt för parlamentet att utföra sina uppgifter på ett korrekt sätt och att fatta ett välgrundat beslut om beviljande av ansvarsfrihet.</w:t>
      </w:r>
    </w:p>
    <w:p w:rsidR="00925EEF" w:rsidRPr="00837F0A" w:rsidRDefault="00925EEF" w:rsidP="00925EEF">
      <w:pPr>
        <w:pStyle w:val="NormalHanging12a"/>
      </w:pPr>
      <w:r w:rsidRPr="00837F0A">
        <w:t>8.</w:t>
      </w:r>
      <w:r w:rsidRPr="00837F0A">
        <w:tab/>
        <w:t>Europaparlamentet beklagar att rådet i mer än ett årtionde har visat att det inte har någon politisk vilja att samarbeta med parlamentet inom ramen för det årliga ansvarsfrihetsförfarandet. Parlamentet understryker att denna hållning har haft en varaktig negativ inverkan på båda institutionerna, att den har misskrediterat förvaltningen och den demokratiska kontrollen av unionens budget och skadat medborgarnas förtroende för unionen som en transparent enhet.</w:t>
      </w:r>
    </w:p>
    <w:p w:rsidR="00925EEF" w:rsidRPr="00837F0A" w:rsidRDefault="00925EEF" w:rsidP="00925EEF">
      <w:pPr>
        <w:pStyle w:val="NormalHanging12a"/>
      </w:pPr>
      <w:r w:rsidRPr="00837F0A">
        <w:t>9.</w:t>
      </w:r>
      <w:r w:rsidRPr="00837F0A">
        <w:tab/>
        <w:t>Europaparlamentet upprepar sin djupa frustration över rådets inställning till förfarandet för beviljande av ansvarsfrihet, som förmedlar ett olämpligt budskap till unionsmedborgarna i en tid då större transparens är avgörande. Parlamentet understryker att rådet måste följa samma standarder för ansvarsskyldighet som det förväntar sig av andra unionsinstitutioner.</w:t>
      </w:r>
    </w:p>
    <w:p w:rsidR="00925EEF" w:rsidRPr="00837F0A" w:rsidRDefault="00925EEF" w:rsidP="00925EEF">
      <w:pPr>
        <w:pStyle w:val="NormalHanging12a"/>
      </w:pPr>
      <w:r w:rsidRPr="00837F0A">
        <w:t>10.</w:t>
      </w:r>
      <w:r w:rsidRPr="00837F0A">
        <w:tab/>
        <w:t>Europaparlamentet betonar att alla andra unionsinstitutioner erkänner och förstår principen att parlamentet, med tanke på delegeringen av befogenheter avseende budgetgenomförandet, har både rätt och skyldighet att granska deras budgetar och genomförandet av dessa som en del av förfarandet för beviljande av ansvarsfrihet. Mot bakgrund av detta uttrycker parlamentet sitt starka missnöje med att rådet fortsätter att vägra samarbeta med parlamentet i detta avseende.</w:t>
      </w:r>
    </w:p>
    <w:p w:rsidR="00925EEF" w:rsidRPr="00837F0A" w:rsidRDefault="00925EEF" w:rsidP="00925EEF">
      <w:pPr>
        <w:pStyle w:val="NormalHanging12a"/>
      </w:pPr>
      <w:r w:rsidRPr="00837F0A">
        <w:t>11.</w:t>
      </w:r>
      <w:r w:rsidRPr="00837F0A">
        <w:tab/>
        <w:t>Europaparlamentet påminner om att EU-domstolens rättspraxis stöder skattebetalarnas och allmänhetens rätt till information om användningen av offentliga inkomster. Parlamentet kräver därför full respekt för parlamentets befogenheter och roll som garant för principen om demokratisk ansvarsskyldighet. Parlamentet uppmanar rådet att vederbörligen följa upp de rekommendationer som parlamentet antagit inom ramen för förfarandet för beviljande av ansvarsfrihet.</w:t>
      </w:r>
    </w:p>
    <w:p w:rsidR="00925EEF" w:rsidRPr="00837F0A" w:rsidRDefault="00925EEF" w:rsidP="00925EEF">
      <w:pPr>
        <w:pStyle w:val="NormalHanging12a"/>
      </w:pPr>
      <w:r w:rsidRPr="00837F0A">
        <w:t>12.</w:t>
      </w:r>
      <w:r w:rsidRPr="00837F0A">
        <w:tab/>
        <w:t>Europaparlamentet betonar att en översyn av fördragen skulle kunna göra ansvarsfrihetsförfarandet tydligare och mer transparent genom att ge parlamentet uttrycklig befogenhet att bevilja alla unionens institutioner, byråer och organ ansvarsfrihet individuellt. Parlamentet understryker dock att i väntan på en sådan översyn måste den nuvarande situationen förbättras genom bättre interinstitutionellt samarbete inom fördragens nuvarande ram, och uppmanar med kraft rådet att aktivt samarbeta med parlamentet för att ta itu med den nuvarande situationen.</w:t>
      </w:r>
    </w:p>
    <w:p w:rsidR="00925EEF" w:rsidRPr="00837F0A" w:rsidRDefault="00925EEF" w:rsidP="00925EEF">
      <w:pPr>
        <w:pStyle w:val="NormalHanging12a"/>
      </w:pPr>
      <w:r w:rsidRPr="00837F0A">
        <w:t>13.</w:t>
      </w:r>
      <w:r w:rsidRPr="00837F0A">
        <w:tab/>
        <w:t>Europaparlamentet uppmanar rådet att utan dröjsmål återuppta förhandlingarna med parlamentet på högsta nivå, med deltagande av generalsekreterarna och ordförandena för båda institutionerna, för att bryta dödläget och hitta en lösning samtidigt som man respekterar parlamentets och rådets respektive roller i ansvarsfrihetsförfarandet och säkerställer transparens och ordentlig demokratisk kontroll av budgetgenomförandet.</w:t>
      </w:r>
    </w:p>
    <w:p w:rsidR="00925EEF" w:rsidRPr="00837F0A" w:rsidRDefault="00925EEF" w:rsidP="00925EEF">
      <w:pPr>
        <w:pStyle w:val="NormalHanging12a"/>
      </w:pPr>
      <w:r w:rsidRPr="00837F0A">
        <w:t>14.</w:t>
      </w:r>
      <w:r w:rsidRPr="00837F0A">
        <w:tab/>
        <w:t>Europaparlamentet beklagar att rådet inte förberedde sig för att undvika ett ordförandeskap i rådet under ledning av en medlemsstat som omfattas av ett artikel 7-förfarande, vilket får till följd att rådets ordförandeskap missbrukas av den ungerska regeringen och att principen om lojalt samarbete kränks.</w:t>
      </w:r>
    </w:p>
    <w:p w:rsidR="00925EEF" w:rsidRPr="00837F0A" w:rsidRDefault="00925EEF" w:rsidP="00925EEF">
      <w:pPr>
        <w:pStyle w:val="NormalHanging12a"/>
      </w:pPr>
      <w:r w:rsidRPr="00837F0A">
        <w:t>15.</w:t>
      </w:r>
      <w:r w:rsidRPr="00837F0A">
        <w:tab/>
        <w:t>Europaparlamentet betonar att parlamentets iakttagelser i sin ansvarsfrihetsresolution av den 23 april 2024 när det gäller politiska prioriteringar (bland annat avsaknaden av bindande riktlinjer för företagens sponsring av de roterande rådsordförandeskapen), budgetförvaltning och ekonomisk förvaltning, intern förvaltning, resultat och intern kontroll, mänskliga resurser, jämlikhet (såsom obalans mellan könen), och personalens välbefinnande, den etiska ramen och transparens, digitalisering, cybersäkerhet och dataskydd, byggnader, miljö och hållbarhet, interinstitutionellt samarbete och kommunikation fortfarande är giltiga.</w:t>
      </w:r>
    </w:p>
    <w:p w:rsidR="00925EEF" w:rsidRPr="00837F0A" w:rsidRDefault="00925EEF" w:rsidP="00925EEF">
      <w:pPr>
        <w:pStyle w:val="NormalHanging12a"/>
      </w:pPr>
      <w:r w:rsidRPr="00837F0A">
        <w:t>16.</w:t>
      </w:r>
      <w:r w:rsidRPr="00837F0A">
        <w:tab/>
        <w:t>Europaparlamentet upprepar att användningen av enhällighet i rådet inom vissa politikområden förlamar EU:s beslutsprocess, som därmed är sårbar för utpressning från medlemsstaterna, särskilt från dem som inte respekterar rättsstatsprincipen.</w:t>
      </w:r>
    </w:p>
    <w:p w:rsidR="00E365E1" w:rsidRPr="00837F0A" w:rsidRDefault="00E365E1" w:rsidP="008479F5">
      <w:bookmarkStart w:id="11" w:name="TextBodyEnd"/>
      <w:bookmarkEnd w:id="11"/>
    </w:p>
    <w:sectPr w:rsidR="00E365E1" w:rsidRPr="00837F0A" w:rsidSect="00EE271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9F5" w:rsidRPr="00EE271B" w:rsidRDefault="008479F5">
      <w:r w:rsidRPr="00EE271B">
        <w:separator/>
      </w:r>
    </w:p>
  </w:endnote>
  <w:endnote w:type="continuationSeparator" w:id="0">
    <w:p w:rsidR="008479F5" w:rsidRPr="00EE271B" w:rsidRDefault="008479F5">
      <w:r w:rsidRPr="00EE27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EEF" w:rsidRPr="00EE271B" w:rsidRDefault="00925EEF" w:rsidP="00D35F01">
    <w:pPr>
      <w:pStyle w:val="EPFooter"/>
    </w:pPr>
    <w:r w:rsidRPr="00EE271B">
      <w:t>PE</w:t>
    </w:r>
    <w:r w:rsidRPr="00EE271B">
      <w:rPr>
        <w:rStyle w:val="HideTWBExt"/>
      </w:rPr>
      <w:t>&lt;NoPE&gt;</w:t>
    </w:r>
    <w:r w:rsidRPr="00EE271B">
      <w:t>761.252</w:t>
    </w:r>
    <w:r w:rsidRPr="00EE271B">
      <w:rPr>
        <w:rStyle w:val="HideTWBExt"/>
      </w:rPr>
      <w:t>&lt;/NoPE&gt;&lt;Version&gt;</w:t>
    </w:r>
    <w:r w:rsidRPr="00EE271B">
      <w:t>v02-00</w:t>
    </w:r>
    <w:r w:rsidRPr="00EE271B">
      <w:rPr>
        <w:rStyle w:val="HideTWBExt"/>
      </w:rPr>
      <w:t>&lt;/Version&gt;</w:t>
    </w:r>
    <w:r w:rsidRPr="00EE271B">
      <w:tab/>
    </w:r>
    <w:r w:rsidRPr="00EE271B">
      <w:fldChar w:fldCharType="begin"/>
    </w:r>
    <w:r w:rsidRPr="00EE271B">
      <w:instrText xml:space="preserve"> PAGE  \* MERGEFORMAT </w:instrText>
    </w:r>
    <w:r w:rsidRPr="00EE271B">
      <w:fldChar w:fldCharType="separate"/>
    </w:r>
    <w:r w:rsidR="00EE271B" w:rsidRPr="00EE271B">
      <w:rPr>
        <w:noProof/>
      </w:rPr>
      <w:t>2</w:t>
    </w:r>
    <w:r w:rsidRPr="00EE271B">
      <w:fldChar w:fldCharType="end"/>
    </w:r>
    <w:r w:rsidRPr="00EE271B">
      <w:t>/</w:t>
    </w:r>
    <w:r w:rsidR="00426FFC">
      <w:fldChar w:fldCharType="begin"/>
    </w:r>
    <w:r w:rsidR="00426FFC">
      <w:instrText xml:space="preserve"> NUMPAGES  \* MERGEFORMAT </w:instrText>
    </w:r>
    <w:r w:rsidR="00426FFC">
      <w:fldChar w:fldCharType="separate"/>
    </w:r>
    <w:r w:rsidR="00EE271B" w:rsidRPr="00EE271B">
      <w:rPr>
        <w:noProof/>
      </w:rPr>
      <w:t>4</w:t>
    </w:r>
    <w:r w:rsidR="00426FFC">
      <w:rPr>
        <w:noProof/>
      </w:rPr>
      <w:fldChar w:fldCharType="end"/>
    </w:r>
    <w:r w:rsidRPr="00EE271B">
      <w:tab/>
    </w:r>
    <w:r w:rsidRPr="00EE271B">
      <w:rPr>
        <w:rStyle w:val="HideTWBExt"/>
      </w:rPr>
      <w:t>&lt;PathFdR&gt;</w:t>
    </w:r>
    <w:r w:rsidRPr="00EE271B">
      <w:t>RR\1307728SV.docx</w:t>
    </w:r>
    <w:r w:rsidRPr="00EE271B">
      <w:rPr>
        <w:rStyle w:val="HideTWBExt"/>
      </w:rPr>
      <w:t>&lt;/PathFdR&gt;</w:t>
    </w:r>
  </w:p>
  <w:p w:rsidR="00925EEF" w:rsidRPr="00EE271B" w:rsidRDefault="00925EEF" w:rsidP="00D35F01">
    <w:pPr>
      <w:pStyle w:val="EPFooter2"/>
    </w:pPr>
    <w:r w:rsidRPr="00EE271B">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EEF" w:rsidRPr="00EE271B" w:rsidRDefault="00925EEF" w:rsidP="00D35F0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EEF" w:rsidRPr="00EE271B" w:rsidRDefault="00925EEF" w:rsidP="00D35F01">
    <w:pPr>
      <w:pStyle w:val="EPFooter"/>
    </w:pPr>
    <w:r w:rsidRPr="00EE271B">
      <w:rPr>
        <w:rStyle w:val="HideTWBExt"/>
      </w:rPr>
      <w:t>&lt;PathFdR&gt;</w:t>
    </w:r>
    <w:r w:rsidRPr="00EE271B">
      <w:t>RR\1307728SV.docx</w:t>
    </w:r>
    <w:r w:rsidRPr="00EE271B">
      <w:rPr>
        <w:rStyle w:val="HideTWBExt"/>
      </w:rPr>
      <w:t>&lt;/PathFdR&gt;</w:t>
    </w:r>
    <w:r w:rsidRPr="00EE271B">
      <w:tab/>
    </w:r>
    <w:r w:rsidRPr="00EE271B">
      <w:tab/>
      <w:t>PE</w:t>
    </w:r>
    <w:r w:rsidRPr="00EE271B">
      <w:rPr>
        <w:rStyle w:val="HideTWBExt"/>
      </w:rPr>
      <w:t>&lt;NoPE&gt;</w:t>
    </w:r>
    <w:r w:rsidRPr="00EE271B">
      <w:t>761.252</w:t>
    </w:r>
    <w:r w:rsidRPr="00EE271B">
      <w:rPr>
        <w:rStyle w:val="HideTWBExt"/>
      </w:rPr>
      <w:t>&lt;/NoPE&gt;&lt;Version&gt;</w:t>
    </w:r>
    <w:r w:rsidRPr="00EE271B">
      <w:t>v02-00</w:t>
    </w:r>
    <w:r w:rsidRPr="00EE271B">
      <w:rPr>
        <w:rStyle w:val="HideTWBExt"/>
      </w:rPr>
      <w:t>&lt;/Version&gt;</w:t>
    </w:r>
  </w:p>
  <w:p w:rsidR="00925EEF" w:rsidRPr="00EE271B" w:rsidRDefault="00925EEF" w:rsidP="00D35F01">
    <w:pPr>
      <w:pStyle w:val="EPFooter2"/>
    </w:pPr>
    <w:r w:rsidRPr="00EE271B">
      <w:t>SV</w:t>
    </w:r>
    <w:r w:rsidRPr="00EE271B">
      <w:tab/>
    </w:r>
    <w:r w:rsidRPr="00EE271B">
      <w:rPr>
        <w:b w:val="0"/>
        <w:i/>
        <w:color w:val="C0C0C0"/>
        <w:sz w:val="22"/>
      </w:rPr>
      <w:t>Förenade i mångfalden</w:t>
    </w:r>
    <w:r w:rsidRPr="00EE271B">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271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271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27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9F5" w:rsidRPr="00EE271B" w:rsidRDefault="008479F5">
      <w:r w:rsidRPr="00EE271B">
        <w:separator/>
      </w:r>
    </w:p>
  </w:footnote>
  <w:footnote w:type="continuationSeparator" w:id="0">
    <w:p w:rsidR="008479F5" w:rsidRPr="00EE271B" w:rsidRDefault="008479F5">
      <w:r w:rsidRPr="00EE271B">
        <w:continuationSeparator/>
      </w:r>
    </w:p>
  </w:footnote>
  <w:footnote w:id="1">
    <w:p w:rsidR="00925EEF" w:rsidRPr="00837F0A" w:rsidRDefault="00925EEF" w:rsidP="00EE271B">
      <w:pPr>
        <w:pStyle w:val="FootnoteText"/>
        <w:ind w:left="567" w:hanging="567"/>
        <w:rPr>
          <w:sz w:val="24"/>
        </w:rPr>
      </w:pPr>
      <w:r w:rsidRPr="00EE271B">
        <w:rPr>
          <w:rStyle w:val="FootnoteReference"/>
          <w:sz w:val="24"/>
          <w:lang w:val="sv-SE"/>
        </w:rPr>
        <w:footnoteRef/>
      </w:r>
      <w:r w:rsidR="00EE271B" w:rsidRPr="00837F0A">
        <w:rPr>
          <w:sz w:val="24"/>
        </w:rPr>
        <w:t xml:space="preserve"> </w:t>
      </w:r>
      <w:r w:rsidR="00EE271B" w:rsidRPr="00837F0A">
        <w:rPr>
          <w:sz w:val="24"/>
        </w:rPr>
        <w:tab/>
      </w:r>
      <w:r w:rsidRPr="00837F0A">
        <w:rPr>
          <w:sz w:val="24"/>
        </w:rPr>
        <w:t>EUT L 45, 24.2.2022.</w:t>
      </w:r>
    </w:p>
  </w:footnote>
  <w:footnote w:id="2">
    <w:p w:rsidR="00925EEF" w:rsidRPr="00837F0A" w:rsidRDefault="00925EEF" w:rsidP="00EE271B">
      <w:pPr>
        <w:pStyle w:val="FootnoteText"/>
        <w:ind w:left="567" w:hanging="567"/>
        <w:rPr>
          <w:sz w:val="24"/>
        </w:rPr>
      </w:pPr>
      <w:r w:rsidRPr="00EE271B">
        <w:rPr>
          <w:rStyle w:val="FootnoteReference"/>
          <w:sz w:val="24"/>
          <w:lang w:val="sv-SE"/>
        </w:rPr>
        <w:footnoteRef/>
      </w:r>
      <w:r w:rsidR="00EE271B" w:rsidRPr="00837F0A">
        <w:rPr>
          <w:sz w:val="24"/>
        </w:rPr>
        <w:t xml:space="preserve"> </w:t>
      </w:r>
      <w:r w:rsidR="00EE271B" w:rsidRPr="00837F0A">
        <w:rPr>
          <w:sz w:val="24"/>
        </w:rPr>
        <w:tab/>
      </w:r>
      <w:r w:rsidRPr="00837F0A">
        <w:rPr>
          <w:sz w:val="24"/>
        </w:rPr>
        <w:t>EUT C, C/2023/2, 12.10.2023.</w:t>
      </w:r>
    </w:p>
  </w:footnote>
  <w:footnote w:id="3">
    <w:p w:rsidR="00925EEF" w:rsidRPr="00837F0A" w:rsidRDefault="00925EEF" w:rsidP="00EE271B">
      <w:pPr>
        <w:pStyle w:val="FootnoteText"/>
        <w:ind w:left="567" w:hanging="567"/>
        <w:rPr>
          <w:sz w:val="24"/>
        </w:rPr>
      </w:pPr>
      <w:r w:rsidRPr="00EE271B">
        <w:rPr>
          <w:rStyle w:val="FootnoteReference"/>
          <w:sz w:val="24"/>
          <w:lang w:val="sv-SE"/>
        </w:rPr>
        <w:footnoteRef/>
      </w:r>
      <w:r w:rsidR="00EE271B" w:rsidRPr="00837F0A">
        <w:rPr>
          <w:sz w:val="24"/>
        </w:rPr>
        <w:t xml:space="preserve"> </w:t>
      </w:r>
      <w:r w:rsidR="00EE271B" w:rsidRPr="00837F0A">
        <w:rPr>
          <w:sz w:val="24"/>
        </w:rPr>
        <w:tab/>
      </w:r>
      <w:r w:rsidRPr="00837F0A">
        <w:rPr>
          <w:sz w:val="24"/>
        </w:rPr>
        <w:t>EUT C, C/2023/103, 4.10.2023.</w:t>
      </w:r>
    </w:p>
  </w:footnote>
  <w:footnote w:id="4">
    <w:p w:rsidR="00925EEF" w:rsidRPr="00EE271B" w:rsidRDefault="00925EEF" w:rsidP="00EE271B">
      <w:pPr>
        <w:pStyle w:val="FootnoteText"/>
        <w:ind w:left="567" w:hanging="567"/>
        <w:rPr>
          <w:sz w:val="24"/>
          <w:lang w:val="sv-SE"/>
        </w:rPr>
      </w:pPr>
      <w:r w:rsidRPr="00EE271B">
        <w:rPr>
          <w:rStyle w:val="FootnoteReference"/>
          <w:sz w:val="24"/>
          <w:lang w:val="sv-SE"/>
        </w:rPr>
        <w:footnoteRef/>
      </w:r>
      <w:r w:rsidR="00EE271B" w:rsidRPr="00EE271B">
        <w:rPr>
          <w:sz w:val="24"/>
          <w:lang w:val="sv-SE"/>
        </w:rPr>
        <w:t xml:space="preserve"> </w:t>
      </w:r>
      <w:r w:rsidR="00EE271B" w:rsidRPr="00EE271B">
        <w:rPr>
          <w:sz w:val="24"/>
          <w:lang w:val="sv-SE"/>
        </w:rPr>
        <w:tab/>
      </w:r>
      <w:r w:rsidRPr="00EE271B">
        <w:rPr>
          <w:sz w:val="24"/>
          <w:lang w:val="sv-SE"/>
        </w:rPr>
        <w:t>EUT C, C/2023/112, 12.10.2023.</w:t>
      </w:r>
    </w:p>
  </w:footnote>
  <w:footnote w:id="5">
    <w:p w:rsidR="00925EEF" w:rsidRPr="00EE271B" w:rsidRDefault="00925EEF" w:rsidP="00EE271B">
      <w:pPr>
        <w:pStyle w:val="FootnoteText"/>
        <w:ind w:left="567" w:hanging="567"/>
        <w:rPr>
          <w:sz w:val="24"/>
          <w:lang w:val="sv-SE"/>
        </w:rPr>
      </w:pPr>
      <w:r w:rsidRPr="00EE271B">
        <w:rPr>
          <w:rStyle w:val="FootnoteReference"/>
          <w:sz w:val="24"/>
          <w:lang w:val="sv-SE"/>
        </w:rPr>
        <w:footnoteRef/>
      </w:r>
      <w:r w:rsidR="00EE271B" w:rsidRPr="00EE271B">
        <w:rPr>
          <w:sz w:val="24"/>
          <w:lang w:val="sv-SE"/>
        </w:rPr>
        <w:t xml:space="preserve"> </w:t>
      </w:r>
      <w:r w:rsidR="00EE271B" w:rsidRPr="00EE271B">
        <w:rPr>
          <w:sz w:val="24"/>
          <w:lang w:val="sv-SE"/>
        </w:rPr>
        <w:tab/>
      </w:r>
      <w:r w:rsidRPr="00EE271B">
        <w:rPr>
          <w:sz w:val="24"/>
          <w:lang w:val="sv-SE"/>
        </w:rPr>
        <w:t>Antagna texter, P9_TA(2024)0288.</w:t>
      </w:r>
    </w:p>
  </w:footnote>
  <w:footnote w:id="6">
    <w:p w:rsidR="00925EEF" w:rsidRPr="00EE271B" w:rsidRDefault="00925EEF" w:rsidP="00EE271B">
      <w:pPr>
        <w:pStyle w:val="FootnoteText"/>
        <w:ind w:left="567" w:hanging="567"/>
        <w:rPr>
          <w:sz w:val="24"/>
          <w:lang w:val="sv-SE"/>
        </w:rPr>
      </w:pPr>
      <w:r w:rsidRPr="00EE271B">
        <w:rPr>
          <w:rStyle w:val="FootnoteReference"/>
          <w:sz w:val="24"/>
          <w:lang w:val="sv-SE"/>
        </w:rPr>
        <w:footnoteRef/>
      </w:r>
      <w:r w:rsidR="00EE271B" w:rsidRPr="00EE271B">
        <w:rPr>
          <w:sz w:val="24"/>
          <w:lang w:val="sv-SE"/>
        </w:rPr>
        <w:t xml:space="preserve"> </w:t>
      </w:r>
      <w:r w:rsidR="00EE271B" w:rsidRPr="00EE271B">
        <w:rPr>
          <w:sz w:val="24"/>
          <w:lang w:val="sv-SE"/>
        </w:rPr>
        <w:tab/>
      </w:r>
      <w:r w:rsidRPr="00EE271B">
        <w:rPr>
          <w:sz w:val="24"/>
          <w:lang w:val="sv-SE"/>
        </w:rPr>
        <w:t>EUT L 193, 30.7.2018, s. 1.</w:t>
      </w:r>
    </w:p>
  </w:footnote>
  <w:footnote w:id="7">
    <w:p w:rsidR="00847292" w:rsidRPr="0030017C" w:rsidRDefault="00847292" w:rsidP="00847292">
      <w:pPr>
        <w:pStyle w:val="FootnoteText"/>
        <w:ind w:left="567" w:hanging="567"/>
        <w:rPr>
          <w:sz w:val="24"/>
          <w:szCs w:val="24"/>
          <w:lang w:val="sl-SI"/>
        </w:rPr>
      </w:pPr>
      <w:r w:rsidRPr="0030017C">
        <w:rPr>
          <w:rStyle w:val="FootnoteReference"/>
          <w:sz w:val="24"/>
          <w:szCs w:val="24"/>
        </w:rPr>
        <w:footnoteRef/>
      </w:r>
      <w:r w:rsidRPr="00426FFC">
        <w:rPr>
          <w:sz w:val="24"/>
          <w:szCs w:val="24"/>
          <w:lang w:val="sv-SE"/>
        </w:rPr>
        <w:t xml:space="preserve"> </w:t>
      </w:r>
      <w:r w:rsidRPr="00426FFC">
        <w:rPr>
          <w:sz w:val="24"/>
          <w:szCs w:val="24"/>
          <w:lang w:val="sv-SE"/>
        </w:rPr>
        <w:tab/>
        <w:t xml:space="preserve">EUT L, 2024/2509, 26.9.2024, ELI: </w:t>
      </w:r>
      <w:hyperlink r:id="rId1" w:history="1">
        <w:r w:rsidRPr="00426FFC">
          <w:rPr>
            <w:rStyle w:val="Hyperlink"/>
            <w:sz w:val="24"/>
            <w:szCs w:val="24"/>
            <w:lang w:val="sv-SE"/>
          </w:rPr>
          <w:t>http://data.europa.eu/eli/reg/2024/2509/oj</w:t>
        </w:r>
      </w:hyperlink>
      <w:r w:rsidRPr="00426FFC">
        <w:rPr>
          <w:sz w:val="24"/>
          <w:szCs w:val="24"/>
          <w:lang w:val="sv-SE"/>
        </w:rPr>
        <w:t>.</w:t>
      </w:r>
    </w:p>
  </w:footnote>
  <w:footnote w:id="8">
    <w:p w:rsidR="00925EEF" w:rsidRPr="00EE271B" w:rsidRDefault="00925EEF" w:rsidP="00EE271B">
      <w:pPr>
        <w:pStyle w:val="FootnoteText"/>
        <w:ind w:left="567" w:hanging="567"/>
        <w:rPr>
          <w:sz w:val="24"/>
          <w:lang w:val="sv-SE"/>
        </w:rPr>
      </w:pPr>
      <w:r w:rsidRPr="00EE271B">
        <w:rPr>
          <w:rStyle w:val="FootnoteReference"/>
          <w:sz w:val="24"/>
          <w:lang w:val="sv-SE"/>
        </w:rPr>
        <w:footnoteRef/>
      </w:r>
      <w:r w:rsidR="00EE271B" w:rsidRPr="00EE271B">
        <w:rPr>
          <w:sz w:val="24"/>
          <w:lang w:val="sv-SE"/>
        </w:rPr>
        <w:t xml:space="preserve"> </w:t>
      </w:r>
      <w:r w:rsidR="00EE271B" w:rsidRPr="00EE271B">
        <w:rPr>
          <w:sz w:val="24"/>
          <w:lang w:val="sv-SE"/>
        </w:rPr>
        <w:tab/>
      </w:r>
      <w:r w:rsidRPr="00EE271B">
        <w:rPr>
          <w:sz w:val="24"/>
          <w:lang w:val="sv-SE"/>
        </w:rPr>
        <w:t>Tribunalens dom av den 25 januari 2023, De Capitani mot rådet, T-163/21, 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EEF" w:rsidRPr="00EE271B" w:rsidRDefault="00925E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EEF" w:rsidRPr="00EE271B" w:rsidRDefault="00925E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EEF" w:rsidRPr="00EE271B" w:rsidRDefault="00925E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271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271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27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SV"/>
    <w:docVar w:name="dvnumam" w:val="0"/>
    <w:docVar w:name="dvpe" w:val="761.252"/>
    <w:docVar w:name="dvrapporteur" w:val="Föredragande: "/>
    <w:docVar w:name="dvtitre" w:val="Europaparlamentets beslut av den xx xx 2024 om ansvarsfrihet för genomförandet av Europeiska unionens allmänna budget för budgetåret 2022, avsnitt II – Europeiska rådet och rådet(2023/2131(DEC))"/>
  </w:docVars>
  <w:rsids>
    <w:rsidRoot w:val="008479F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6FF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7F0A"/>
    <w:rsid w:val="00842779"/>
    <w:rsid w:val="00847292"/>
    <w:rsid w:val="008479F5"/>
    <w:rsid w:val="00865F67"/>
    <w:rsid w:val="00881A7B"/>
    <w:rsid w:val="008840E5"/>
    <w:rsid w:val="00887B3E"/>
    <w:rsid w:val="008C2AC6"/>
    <w:rsid w:val="00925EE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271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93A2E"/>
  <w15:chartTrackingRefBased/>
  <w15:docId w15:val="{4F5E3CF3-8CA6-43AC-B247-EC137EB21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5EE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5EEF"/>
    <w:pPr>
      <w:spacing w:before="480" w:after="240"/>
    </w:pPr>
  </w:style>
  <w:style w:type="paragraph" w:customStyle="1" w:styleId="PageHeading">
    <w:name w:val="PageHeading"/>
    <w:basedOn w:val="Normal"/>
    <w:rsid w:val="00925EEF"/>
    <w:pPr>
      <w:keepNext/>
      <w:spacing w:after="480"/>
      <w:jc w:val="center"/>
    </w:pPr>
    <w:rPr>
      <w:rFonts w:ascii="Arial" w:hAnsi="Arial" w:cs="Arial"/>
      <w:b/>
    </w:rPr>
  </w:style>
  <w:style w:type="paragraph" w:customStyle="1" w:styleId="NormalBold">
    <w:name w:val="NormalBold"/>
    <w:basedOn w:val="Normal"/>
    <w:rsid w:val="00925EEF"/>
    <w:rPr>
      <w:b/>
    </w:rPr>
  </w:style>
  <w:style w:type="paragraph" w:customStyle="1" w:styleId="NormalHanging12a">
    <w:name w:val="NormalHanging12a"/>
    <w:basedOn w:val="Normal"/>
    <w:link w:val="NormalHanging12aChar"/>
    <w:rsid w:val="00925EEF"/>
    <w:pPr>
      <w:spacing w:after="240"/>
      <w:ind w:left="567" w:hanging="567"/>
    </w:pPr>
  </w:style>
  <w:style w:type="paragraph" w:styleId="Header">
    <w:name w:val="header"/>
    <w:basedOn w:val="Normal"/>
    <w:link w:val="HeaderChar"/>
    <w:rsid w:val="00925EEF"/>
    <w:pPr>
      <w:tabs>
        <w:tab w:val="center" w:pos="4513"/>
        <w:tab w:val="right" w:pos="9026"/>
      </w:tabs>
    </w:pPr>
  </w:style>
  <w:style w:type="character" w:customStyle="1" w:styleId="HeaderChar">
    <w:name w:val="Header Char"/>
    <w:basedOn w:val="DefaultParagraphFont"/>
    <w:link w:val="Header"/>
    <w:rsid w:val="00925EEF"/>
    <w:rPr>
      <w:sz w:val="24"/>
      <w:lang w:val="sv-SE"/>
    </w:rPr>
  </w:style>
  <w:style w:type="paragraph" w:customStyle="1" w:styleId="EPFooter">
    <w:name w:val="EPFooter"/>
    <w:basedOn w:val="Normal"/>
    <w:rsid w:val="00925EE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25EEF"/>
    <w:rPr>
      <w:sz w:val="24"/>
      <w:lang w:val="sv-SE"/>
    </w:rPr>
  </w:style>
  <w:style w:type="paragraph" w:styleId="BalloonText">
    <w:name w:val="Balloon Text"/>
    <w:basedOn w:val="Normal"/>
    <w:link w:val="BalloonTextChar"/>
    <w:rsid w:val="00847292"/>
    <w:rPr>
      <w:rFonts w:ascii="Segoe UI" w:hAnsi="Segoe UI" w:cs="Segoe UI"/>
      <w:sz w:val="18"/>
      <w:szCs w:val="18"/>
    </w:rPr>
  </w:style>
  <w:style w:type="character" w:customStyle="1" w:styleId="BalloonTextChar">
    <w:name w:val="Balloon Text Char"/>
    <w:basedOn w:val="DefaultParagraphFont"/>
    <w:link w:val="BalloonText"/>
    <w:rsid w:val="00847292"/>
    <w:rPr>
      <w:rFonts w:ascii="Segoe UI" w:hAnsi="Segoe UI" w:cs="Segoe UI"/>
      <w:sz w:val="18"/>
      <w:szCs w:val="18"/>
      <w:lang w:val="sv-SE"/>
    </w:rPr>
  </w:style>
  <w:style w:type="character" w:styleId="Hyperlink">
    <w:name w:val="Hyperlink"/>
    <w:basedOn w:val="DefaultParagraphFont"/>
    <w:uiPriority w:val="99"/>
    <w:unhideWhenUsed/>
    <w:rsid w:val="008472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B31AB-9887-4DE8-ADE5-28365C8A2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2030</Words>
  <Characters>11574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2024-10-22T10:35:00Z</dcterms:created>
  <dcterms:modified xsi:type="dcterms:W3CDTF">2024-10-22T10:35:00Z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A10-0003/2024</vt:lpwstr>
  </property>
  <property fmtid="{D5CDD505-2E9C-101B-9397-08002B2CF9AE}" pid="4" name="&lt;Type&gt;">
    <vt:lpwstr>RR</vt:lpwstr>
  </property>
</Properties>
</file>