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4C7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4C7F" w:rsidRDefault="005B1BC0" w:rsidP="0010095E">
            <w:pPr>
              <w:pStyle w:val="EPName"/>
            </w:pPr>
            <w:r w:rsidRPr="00BA4C7F">
              <w:t>Evropský parlament</w:t>
            </w:r>
          </w:p>
          <w:p w:rsidR="00751A4A" w:rsidRPr="00BA4C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4C7F">
              <w:t>2024</w:t>
            </w:r>
            <w:r w:rsidR="00817416" w:rsidRPr="00BA4C7F">
              <w:t>-202</w:t>
            </w:r>
            <w:r w:rsidRPr="00BA4C7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A4C7F" w:rsidRDefault="00187494" w:rsidP="0010095E">
            <w:pPr>
              <w:pStyle w:val="EPLogo"/>
            </w:pPr>
            <w:r w:rsidRPr="00BA4C7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A4C7F" w:rsidRDefault="00D058B8" w:rsidP="004C5D52">
      <w:pPr>
        <w:pStyle w:val="LineTop"/>
      </w:pPr>
    </w:p>
    <w:p w:rsidR="00680577" w:rsidRPr="00BA4C7F" w:rsidRDefault="005B1BC0" w:rsidP="00680577">
      <w:pPr>
        <w:pStyle w:val="EPBodyTA1"/>
      </w:pPr>
      <w:r w:rsidRPr="00BA4C7F">
        <w:t>PŘIJATÉ TEXTY</w:t>
      </w:r>
    </w:p>
    <w:p w:rsidR="00D058B8" w:rsidRPr="00BA4C7F" w:rsidRDefault="00D058B8" w:rsidP="00D058B8">
      <w:pPr>
        <w:pStyle w:val="LineBottom"/>
      </w:pPr>
    </w:p>
    <w:p w:rsidR="005B1BC0" w:rsidRPr="00680828" w:rsidRDefault="005B1BC0" w:rsidP="005B1BC0">
      <w:pPr>
        <w:pStyle w:val="ATHeading1"/>
      </w:pPr>
      <w:bookmarkStart w:id="0" w:name="TANumber"/>
      <w:r w:rsidRPr="00680828">
        <w:t>P10_TA(2024)00</w:t>
      </w:r>
      <w:r w:rsidR="00317EC8">
        <w:t>28</w:t>
      </w:r>
      <w:bookmarkEnd w:id="0"/>
    </w:p>
    <w:p w:rsidR="005B1BC0" w:rsidRPr="00680828" w:rsidRDefault="005B1BC0" w:rsidP="005B1BC0">
      <w:pPr>
        <w:pStyle w:val="ATHeading2"/>
      </w:pPr>
      <w:bookmarkStart w:id="1" w:name="title"/>
      <w:r w:rsidRPr="00680828">
        <w:t>Naléhavá potřeba revize nařízení o zdravotnických prostředcích</w:t>
      </w:r>
      <w:bookmarkEnd w:id="1"/>
    </w:p>
    <w:p w:rsidR="005B1BC0" w:rsidRPr="00BA4C7F" w:rsidRDefault="005B1BC0" w:rsidP="005B1BC0">
      <w:pPr>
        <w:rPr>
          <w:i/>
          <w:vanish/>
        </w:rPr>
      </w:pPr>
      <w:r w:rsidRPr="00BA4C7F">
        <w:rPr>
          <w:i/>
        </w:rPr>
        <w:fldChar w:fldCharType="begin"/>
      </w:r>
      <w:r w:rsidRPr="00BA4C7F">
        <w:rPr>
          <w:i/>
        </w:rPr>
        <w:instrText xml:space="preserve"> TC"(</w:instrText>
      </w:r>
      <w:bookmarkStart w:id="2" w:name="DocNumber"/>
      <w:r w:rsidRPr="00BA4C7F">
        <w:rPr>
          <w:i/>
        </w:rPr>
        <w:instrText>B10-0123</w:instrText>
      </w:r>
      <w:r w:rsidR="001C78C6" w:rsidRPr="00BA4C7F">
        <w:rPr>
          <w:i/>
        </w:rPr>
        <w:instrText>, 0124, 0125, 0126 a 0128</w:instrText>
      </w:r>
      <w:r w:rsidRPr="00BA4C7F">
        <w:rPr>
          <w:i/>
        </w:rPr>
        <w:instrText>/2024</w:instrText>
      </w:r>
      <w:bookmarkEnd w:id="2"/>
      <w:r w:rsidRPr="00BA4C7F">
        <w:rPr>
          <w:i/>
        </w:rPr>
        <w:instrText xml:space="preserve">)"\l3 \n&gt; \* MERGEFORMAT </w:instrText>
      </w:r>
      <w:r w:rsidRPr="00BA4C7F">
        <w:rPr>
          <w:i/>
        </w:rPr>
        <w:fldChar w:fldCharType="end"/>
      </w:r>
    </w:p>
    <w:p w:rsidR="005B1BC0" w:rsidRPr="00BA4C7F" w:rsidRDefault="005B1BC0" w:rsidP="005B1BC0">
      <w:pPr>
        <w:rPr>
          <w:vanish/>
        </w:rPr>
      </w:pPr>
      <w:bookmarkStart w:id="3" w:name="PE"/>
      <w:r w:rsidRPr="00BA4C7F">
        <w:rPr>
          <w:vanish/>
        </w:rPr>
        <w:t>PE764.132</w:t>
      </w:r>
      <w:bookmarkEnd w:id="3"/>
    </w:p>
    <w:p w:rsidR="005B1BC0" w:rsidRPr="00680828" w:rsidRDefault="005B1BC0" w:rsidP="005B1BC0">
      <w:pPr>
        <w:pStyle w:val="ATHeading3"/>
      </w:pPr>
      <w:bookmarkStart w:id="4" w:name="Sujet"/>
      <w:r w:rsidRPr="00680828">
        <w:t>Usnesení Evropského parlamentu ze dne 23. října 2024 o naléhavé potřebě revize nařízení o zdravotnických prostředcích</w:t>
      </w:r>
      <w:bookmarkEnd w:id="4"/>
      <w:r w:rsidRPr="00680828">
        <w:t xml:space="preserve"> </w:t>
      </w:r>
      <w:bookmarkStart w:id="5" w:name="References"/>
      <w:r w:rsidRPr="00680828">
        <w:t>(2024/2849(RSP))</w:t>
      </w:r>
      <w:bookmarkEnd w:id="5"/>
    </w:p>
    <w:p w:rsidR="00BE183B" w:rsidRPr="00BA4C7F" w:rsidRDefault="00BE183B" w:rsidP="00BE183B">
      <w:pPr>
        <w:pStyle w:val="EPComma"/>
      </w:pPr>
      <w:bookmarkStart w:id="6" w:name="TextBodyBegin"/>
      <w:bookmarkEnd w:id="6"/>
      <w:r w:rsidRPr="00BA4C7F">
        <w:rPr>
          <w:i/>
        </w:rPr>
        <w:t>Evropský parlament</w:t>
      </w:r>
      <w:r w:rsidRPr="00BA4C7F">
        <w:t>,</w:t>
      </w:r>
    </w:p>
    <w:p w:rsidR="00BE183B" w:rsidRPr="00BA4C7F" w:rsidRDefault="00BE183B" w:rsidP="001C78C6">
      <w:pPr>
        <w:pStyle w:val="NormalHanging12a"/>
      </w:pPr>
      <w:r w:rsidRPr="00BA4C7F">
        <w:t>–</w:t>
      </w:r>
      <w:r w:rsidRPr="00BA4C7F">
        <w:tab/>
        <w:t>s ohledem na Smlouvu o fungování Evropské unie, a zejména na článek 168 této smlouvy,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–</w:t>
      </w:r>
      <w:r w:rsidRPr="00BA4C7F">
        <w:tab/>
        <w:t>s ohledem na nařízení Evropského parlamentu a Rady (EU) 2017/745 ze dne 5. dubna 2017 o zdravotnických prostředcích, změně směrnice 2001/83/ES, nařízení (ES) č. 178/2002 a nařízení (ES) č. 1223/2009 a o zrušení směrnic Rady 90/385/EHS a 93/42/EHS</w:t>
      </w:r>
      <w:r w:rsidRPr="00BA4C7F">
        <w:rPr>
          <w:rFonts w:eastAsiaTheme="minorHAnsi"/>
          <w:vertAlign w:val="superscript"/>
        </w:rPr>
        <w:footnoteReference w:id="1"/>
      </w:r>
      <w:r w:rsidRPr="00BA4C7F">
        <w:t xml:space="preserve"> (nařízení o zdravotnických prostředcích),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–</w:t>
      </w:r>
      <w:r w:rsidRPr="00BA4C7F">
        <w:tab/>
        <w:t xml:space="preserve">s ohledem na nařízení Evropského parlamentu a Rady (EU) 2017/746 ze dne 5. dubna 2017 o diagnostických zdravotnických prostředcích </w:t>
      </w:r>
      <w:r w:rsidRPr="00BA4C7F">
        <w:rPr>
          <w:i/>
        </w:rPr>
        <w:t>in vitro</w:t>
      </w:r>
      <w:r w:rsidRPr="00BA4C7F">
        <w:t xml:space="preserve"> a o zrušení směrnice 98/79/ES a rozhodnutí Komise 2010/227/EU</w:t>
      </w:r>
      <w:r w:rsidRPr="00BA4C7F">
        <w:rPr>
          <w:rFonts w:eastAsiaTheme="minorHAnsi"/>
          <w:vertAlign w:val="superscript"/>
        </w:rPr>
        <w:footnoteReference w:id="2"/>
      </w:r>
      <w:r w:rsidRPr="00BA4C7F">
        <w:t xml:space="preserve"> (nařízení o diagnostických prostředcích </w:t>
      </w:r>
      <w:r w:rsidRPr="00BA4C7F">
        <w:rPr>
          <w:i/>
          <w:iCs/>
        </w:rPr>
        <w:t>in vitro</w:t>
      </w:r>
      <w:r w:rsidRPr="00BA4C7F">
        <w:t>),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–</w:t>
      </w:r>
      <w:r w:rsidRPr="00BA4C7F">
        <w:tab/>
        <w:t xml:space="preserve">s ohledem na nařízení Evropského parlamentu a Rady (EU) 2023/607 ze dne 15. března 2023, kterým se mění nařízení (EU) 2017/745 a (EU) 2017/746, pokud jde o přechodná ustanovení pro některé zdravotnické prostředky a diagnostické zdravotnické prostředky </w:t>
      </w:r>
      <w:r w:rsidRPr="00BA4C7F">
        <w:rPr>
          <w:i/>
        </w:rPr>
        <w:t>in vitro</w:t>
      </w:r>
      <w:r w:rsidRPr="00BA4C7F">
        <w:rPr>
          <w:rFonts w:eastAsiaTheme="minorHAnsi"/>
          <w:vertAlign w:val="superscript"/>
        </w:rPr>
        <w:footnoteReference w:id="3"/>
      </w:r>
      <w:r w:rsidRPr="00BA4C7F">
        <w:t>,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lastRenderedPageBreak/>
        <w:t>–</w:t>
      </w:r>
      <w:r w:rsidRPr="00BA4C7F">
        <w:tab/>
        <w:t>s ohledem na nařízení (EU) 2020/561</w:t>
      </w:r>
      <w:r w:rsidRPr="00BA4C7F">
        <w:rPr>
          <w:rFonts w:eastAsiaTheme="minorHAnsi"/>
          <w:vertAlign w:val="superscript"/>
        </w:rPr>
        <w:footnoteReference w:id="4"/>
      </w:r>
      <w:r w:rsidRPr="00BA4C7F">
        <w:t>, nařízení (EU) 2022/112</w:t>
      </w:r>
      <w:r w:rsidRPr="00BA4C7F">
        <w:rPr>
          <w:rFonts w:eastAsiaTheme="minorHAnsi"/>
          <w:vertAlign w:val="superscript"/>
        </w:rPr>
        <w:footnoteReference w:id="5"/>
      </w:r>
      <w:r w:rsidRPr="00BA4C7F">
        <w:t>, nařízení (EU) 2023/607 a nařízení (EU) 2024/1860</w:t>
      </w:r>
      <w:r w:rsidRPr="00BA4C7F">
        <w:rPr>
          <w:rFonts w:eastAsiaTheme="minorHAnsi"/>
          <w:vertAlign w:val="superscript"/>
        </w:rPr>
        <w:footnoteReference w:id="6"/>
      </w:r>
      <w:r w:rsidRPr="00BA4C7F">
        <w:t>, kterými se prodlužují prováděcí období nařízení (EU) 2017/745 a nařízení (EU) 2017/746,</w:t>
      </w:r>
    </w:p>
    <w:p w:rsidR="00BE183B" w:rsidRPr="00BA4C7F" w:rsidRDefault="00BE183B" w:rsidP="001C78C6">
      <w:pPr>
        <w:pStyle w:val="NormalHanging12a"/>
      </w:pPr>
      <w:r w:rsidRPr="00BA4C7F">
        <w:t>–</w:t>
      </w:r>
      <w:r w:rsidRPr="00BA4C7F">
        <w:tab/>
        <w:t xml:space="preserve">s ohledem na návrh nařízení Evropského parlamentu a Rady, kterým se mění nařízení (EU) 2017/745 a (EU) 2017/746, pokud jde o přechodná ustanovení pro některé zdravotnické prostředky a diagnostické zdravotnické prostředky </w:t>
      </w:r>
      <w:r w:rsidRPr="00BA4C7F">
        <w:rPr>
          <w:i/>
        </w:rPr>
        <w:t>in vitro</w:t>
      </w:r>
      <w:r w:rsidRPr="00BA4C7F">
        <w:t>, který předložila Komise (COM(2023)0010),</w:t>
      </w:r>
    </w:p>
    <w:p w:rsidR="00BE183B" w:rsidRPr="00BA4C7F" w:rsidRDefault="00BE183B" w:rsidP="001C78C6">
      <w:pPr>
        <w:pStyle w:val="NormalHanging12a"/>
      </w:pPr>
      <w:r w:rsidRPr="00BA4C7F">
        <w:t>–</w:t>
      </w:r>
      <w:r w:rsidRPr="00BA4C7F">
        <w:tab/>
        <w:t>s ohledem na výroční zprávu Evropské agentury pro léčivé přípravky za rok 2023 a její přezkum přístupu na trh a obav týkajících se bezpečnosti zdravotnických prostředků,</w:t>
      </w:r>
    </w:p>
    <w:p w:rsidR="00BE183B" w:rsidRPr="00BA4C7F" w:rsidRDefault="00BE183B" w:rsidP="001C78C6">
      <w:pPr>
        <w:pStyle w:val="NormalHanging12a"/>
      </w:pPr>
      <w:r w:rsidRPr="00BA4C7F">
        <w:t>–</w:t>
      </w:r>
      <w:r w:rsidRPr="00BA4C7F">
        <w:tab/>
        <w:t>s ohledem na čl. 136 odst. 2 a 4 jednacího řádu,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A.</w:t>
      </w:r>
      <w:r w:rsidRPr="00BA4C7F">
        <w:tab/>
        <w:t xml:space="preserve">vzhledem k tomu, že zdravotnické prostředky a diagnostické zdravotnické prostředky </w:t>
      </w:r>
      <w:r w:rsidRPr="00BA4C7F">
        <w:rPr>
          <w:i/>
          <w:iCs/>
        </w:rPr>
        <w:t>in vitro</w:t>
      </w:r>
      <w:r w:rsidRPr="00BA4C7F">
        <w:t xml:space="preserve"> hrají v kvalitní zdravotní péči zásadní roli a přímo ovlivňují zdraví, bezpečnost a kvalitní život milionů pacientů v celé EU;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B.</w:t>
      </w:r>
      <w:r w:rsidRPr="00BA4C7F">
        <w:tab/>
        <w:t>vzhledem k tomu, že na trhu EU je k dostání přibližně 500 000 různých zdravotnických prostředků, které jsou založeny na široké škále technologií, počínaje kontaktními čočkami a kardiostimulátory konče, a které slouží k různým účelům, včetně diagnostiky, prevence, léčby, rehabilitace a zkvalitnění života pacientů a práce zdravotnických pracovníků a pečovatelů;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C.</w:t>
      </w:r>
      <w:r w:rsidRPr="00BA4C7F">
        <w:tab/>
        <w:t>vzhledem k tomu, že mezi členskými státy přetrvávají rozdíly v přístupu ke zdravotnickým prostředkům, což ovlivňuje péči o pacienty a vede k nerovnostem v oblasti zdraví; vzhledem k tomu, že tyto rozdíly zdůrazňují potřebu lepší dosažitelnosti a cenové dostupnosti klíčových prostředků;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D.</w:t>
      </w:r>
      <w:r w:rsidRPr="00BA4C7F">
        <w:tab/>
        <w:t xml:space="preserve">vzhledem k tomu, že nařízení o zdravotnických prostředcích a nařízení o diagnostických zdravotnických prostředcích </w:t>
      </w:r>
      <w:r w:rsidRPr="00BA4C7F">
        <w:rPr>
          <w:i/>
          <w:iCs/>
        </w:rPr>
        <w:t>in vitro</w:t>
      </w:r>
      <w:r w:rsidRPr="00BA4C7F">
        <w:t xml:space="preserve"> byla přijata za účelem posílení regulačního rámce pro zdravotnické prostředky a diagnostické zdravotnické prostředky </w:t>
      </w:r>
      <w:r w:rsidRPr="00BA4C7F">
        <w:rPr>
          <w:i/>
          <w:iCs/>
        </w:rPr>
        <w:t>in vitro</w:t>
      </w:r>
      <w:r w:rsidRPr="00BA4C7F">
        <w:t xml:space="preserve"> v reakci na několik závažných skandálů s nebezpečným zdravotnickým vybavením s cílem zajistit vyšší normy bezpečnosti, transparentnosti a klinického výkonu a současně podpořit inovace v tomto odvětví;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E.</w:t>
      </w:r>
      <w:r w:rsidRPr="00BA4C7F">
        <w:tab/>
        <w:t xml:space="preserve">vzhledem k tomu, že nařízení o zdravotnických prostředcích a nařízení o diagnostických </w:t>
      </w:r>
      <w:r w:rsidRPr="00BA4C7F">
        <w:lastRenderedPageBreak/>
        <w:t xml:space="preserve">zdravotnických prostředcích </w:t>
      </w:r>
      <w:r w:rsidRPr="00BA4C7F">
        <w:rPr>
          <w:i/>
          <w:iCs/>
        </w:rPr>
        <w:t>in vitro</w:t>
      </w:r>
      <w:r w:rsidRPr="00BA4C7F">
        <w:t xml:space="preserve"> zavedla přísnější požadavky na klinická hodnocení, na dozor po uvedení na trh a na </w:t>
      </w:r>
      <w:proofErr w:type="spellStart"/>
      <w:r w:rsidRPr="00BA4C7F">
        <w:t>vigilanční</w:t>
      </w:r>
      <w:proofErr w:type="spellEnd"/>
      <w:r w:rsidRPr="00BA4C7F">
        <w:t xml:space="preserve"> hlášení, čímž se podpořila transparentnost schvalovacích a monitorovacích procesů;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F.</w:t>
      </w:r>
      <w:r w:rsidRPr="00BA4C7F">
        <w:tab/>
        <w:t xml:space="preserve">vzhledem k tomu, že navzdory těmto cílům se při provádění nařízení o zdravotnických prostředcích a nařízení o diagnostických zdravotnických prostředcích </w:t>
      </w:r>
      <w:r w:rsidRPr="00BA4C7F">
        <w:rPr>
          <w:i/>
          <w:iCs/>
        </w:rPr>
        <w:t>in vitro</w:t>
      </w:r>
      <w:r w:rsidRPr="00BA4C7F">
        <w:t xml:space="preserve"> vyskytly značné problémy, které vedly nejen k prodlevám, ale také k tomu, že se nepodařilo dosáhnout certifikace a schválení zdravotnických prostředků a diagnostických zdravotnických prostředků </w:t>
      </w:r>
      <w:r w:rsidRPr="00BA4C7F">
        <w:rPr>
          <w:i/>
          <w:iCs/>
        </w:rPr>
        <w:t>in vitro</w:t>
      </w:r>
      <w:r w:rsidRPr="00BA4C7F">
        <w:t xml:space="preserve">, což mělo dopad zejména na malé a střední podniky (MSP), a které vedly rovněž k nedostatku zdravotnických prostředků a diagnostických zdravotnických prostředků </w:t>
      </w:r>
      <w:r w:rsidRPr="00BA4C7F">
        <w:rPr>
          <w:i/>
          <w:iCs/>
        </w:rPr>
        <w:t>in vitro</w:t>
      </w:r>
      <w:r w:rsidRPr="00BA4C7F">
        <w:t>, a tedy k omezení přístupu pacientů k inovativním terapeutickým a diagnostickým technologiím;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G.</w:t>
      </w:r>
      <w:r w:rsidRPr="00BA4C7F">
        <w:tab/>
        <w:t xml:space="preserve">vzhledem k tomu, že mnoho zúčastněných stran, zejména malých a středních výrobců, oznámených subjektů a poskytovatelů zdravotní péče, uvedlo, že se obtížně orientují ve složitých regulativních postupech podle současného rámce tvořeného nařízením o zdravotnických prostředcích a nařízením o diagnostických zdravotnických prostředcích </w:t>
      </w:r>
      <w:r w:rsidRPr="00BA4C7F">
        <w:rPr>
          <w:i/>
          <w:iCs/>
        </w:rPr>
        <w:t>in vitro</w:t>
      </w:r>
      <w:r w:rsidRPr="00BA4C7F">
        <w:t xml:space="preserve">, což může potenciálně ohrozit nepřetržitou dostupnost život zachraňujících zdravotnických prostředků a kriticky důležitých diagnostických testů </w:t>
      </w:r>
      <w:r w:rsidRPr="00BA4C7F">
        <w:rPr>
          <w:i/>
          <w:iCs/>
        </w:rPr>
        <w:t>in vitro</w:t>
      </w:r>
      <w:r w:rsidRPr="00BA4C7F">
        <w:t xml:space="preserve"> v EU;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H.</w:t>
      </w:r>
      <w:r w:rsidRPr="00BA4C7F">
        <w:tab/>
        <w:t xml:space="preserve">vzhledem k tomu, že přechodná období pro provádění nařízení o zdravotnických prostředcích a nařízení o diagnostických zdravotnických prostředcích </w:t>
      </w:r>
      <w:r w:rsidRPr="00BA4C7F">
        <w:rPr>
          <w:i/>
          <w:iCs/>
        </w:rPr>
        <w:t>in vitro</w:t>
      </w:r>
      <w:r w:rsidRPr="00BA4C7F">
        <w:t xml:space="preserve"> byla několikrát prodloužena s cílem řešit některé problémy včetně kapacity oznámených subjektů a poskytnout průmyslu více času na přizpůsobení se novým pravidlům s cílem zabránit tomu, aby byly zdravotnické prostředky stahovány z trhu EU;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I.</w:t>
      </w:r>
      <w:r w:rsidRPr="00BA4C7F">
        <w:tab/>
        <w:t>vzhledem k tomu, že mimo jiné kvůli nedostatečné harmonizaci postupů oznámených subjektů v EU mohou výrobci v některých případech čelit nepředvídatelným lhůtám pro certifikaci a přístup na trh, což vede k nepředvídatelnosti a také nejednotnosti v rozhodnutích a nedostatečné transparentnosti v práci oznámených subjektů;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J.</w:t>
      </w:r>
      <w:r w:rsidRPr="00BA4C7F">
        <w:tab/>
        <w:t>vzhledem k tomu, že je třeba, aby regulační rámce více odpovídaly inovativním prostředkům, které řeší neuspokojené léčebné potřeby a zajišťují lepší stanovování priorit a zrychlené postupy;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K.</w:t>
      </w:r>
      <w:r w:rsidRPr="00BA4C7F">
        <w:tab/>
        <w:t xml:space="preserve">vzhledem k tomu, že Komise iniciovala nelegislativní opatření, která mají podpořit přechod na nařízení o zdravotnických prostředcích a nařízení o diagnostických zdravotnických prostředcích </w:t>
      </w:r>
      <w:r w:rsidRPr="00BA4C7F">
        <w:rPr>
          <w:i/>
          <w:iCs/>
        </w:rPr>
        <w:t>in vitro</w:t>
      </w:r>
      <w:r w:rsidRPr="00BA4C7F">
        <w:t xml:space="preserve"> se zaměřením zejména na dostupnost zdravotnických prostředků na trhu, připravenost oznámených subjektů, vývoj zdravotnických prostředků pro vzácná onemocnění a pediatrických prostředků, podporu MSP a zproštění povinnosti poplatků za vědecké poradenství v kritických oblastech, kde navzdory těmto opatřením přetrvávají finanční a administrativní problémy, zejména v odvětvích pro vzácná onemocnění a pediatrii;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L.</w:t>
      </w:r>
      <w:r w:rsidRPr="00BA4C7F">
        <w:tab/>
        <w:t xml:space="preserve">vzhledem k tomu, že lhůty pro provádění nařízení o zdravotnických prostředcích a nařízení o diagnostických zdravotnických prostředcích </w:t>
      </w:r>
      <w:r w:rsidRPr="00BA4C7F">
        <w:rPr>
          <w:i/>
          <w:iCs/>
        </w:rPr>
        <w:t>in vitro</w:t>
      </w:r>
      <w:r w:rsidRPr="00BA4C7F">
        <w:t xml:space="preserve"> byly několikrát prodlouženy s cílem pomoci odvětví přizpůsobit se novým předpisům, zabránit stahování z trhu a zajistit nepřetržité dodávky prostředků; vzhledem k tomu, že tato prodloužení byla zásadní pro zachování ochrany veřejného zdraví během pandemie COVID-19;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lastRenderedPageBreak/>
        <w:t>M.</w:t>
      </w:r>
      <w:r w:rsidRPr="00BA4C7F">
        <w:tab/>
        <w:t xml:space="preserve">vzhledem k tomu, že od přijetí nařízení o zdravotnických prostředcích a nařízení o diagnostických zdravotnických prostředcích </w:t>
      </w:r>
      <w:r w:rsidRPr="00BA4C7F">
        <w:rPr>
          <w:i/>
          <w:iCs/>
        </w:rPr>
        <w:t>in vitro</w:t>
      </w:r>
      <w:r w:rsidRPr="00BA4C7F">
        <w:t xml:space="preserve"> zavedla Komise rovněž nová ustanovení týkající se Evropské databáze zdravotnických prostředků (</w:t>
      </w:r>
      <w:proofErr w:type="spellStart"/>
      <w:r w:rsidRPr="00BA4C7F">
        <w:t>Eudamed</w:t>
      </w:r>
      <w:proofErr w:type="spellEnd"/>
      <w:r w:rsidRPr="00BA4C7F">
        <w:t>) a systému oznamování v případě výpadků trhu nebo přerušení dodávek;</w:t>
      </w:r>
    </w:p>
    <w:p w:rsidR="00BE183B" w:rsidRDefault="00BE183B" w:rsidP="001C78C6">
      <w:pPr>
        <w:pStyle w:val="NormalHanging12a"/>
      </w:pPr>
      <w:r w:rsidRPr="00BA4C7F">
        <w:t>N.</w:t>
      </w:r>
      <w:r w:rsidRPr="00BA4C7F">
        <w:tab/>
        <w:t>vzhledem k tomu, že je důležité zajistit, aby pacienti a zdravotničtí pracovníci měli přístup ke všem příslušným dokumentům a rozhodnutím přijatým oznámenými subjekty;</w:t>
      </w:r>
    </w:p>
    <w:p w:rsidR="00DF5077" w:rsidRPr="00680828" w:rsidRDefault="00317EC8" w:rsidP="001C78C6">
      <w:pPr>
        <w:pStyle w:val="NormalHanging12a"/>
      </w:pPr>
      <w:r>
        <w:t>O</w:t>
      </w:r>
      <w:r w:rsidR="00DF5077" w:rsidRPr="00680828">
        <w:t>.</w:t>
      </w:r>
      <w:r w:rsidR="00DF5077" w:rsidRPr="00680828">
        <w:tab/>
        <w:t>vzhledem k tomu, že inovativní regulační rámec týkající se zdravotnických prostředků na bázi látek, který byl zaveden nařízením o zdravotnických prostředcích, má podpořit vývoj terapií, které působí jinými než farmakologickými, imunologickými a metabolickými účinky; vzhledem k tomu, že pokyny a rozhodnutí vydané vnitrostátními orgány stanoví limity, které zařazují výrobky spadající do oblasti působnosti nařízení o zdravotnických prostředcích do jiných regulativních kategorií, což je v rozporu s úsilím normotvůrce EU podporovat terapeutické inovace;</w:t>
      </w:r>
    </w:p>
    <w:p w:rsidR="00DF5077" w:rsidRPr="00DF5077" w:rsidRDefault="00317EC8" w:rsidP="001C78C6">
      <w:pPr>
        <w:pStyle w:val="NormalHanging12a"/>
        <w:rPr>
          <w:rFonts w:eastAsiaTheme="minorHAnsi"/>
        </w:rPr>
      </w:pPr>
      <w:r>
        <w:t>P</w:t>
      </w:r>
      <w:bookmarkStart w:id="7" w:name="_GoBack"/>
      <w:bookmarkEnd w:id="7"/>
      <w:r w:rsidR="00DF5077" w:rsidRPr="00680828">
        <w:t>.</w:t>
      </w:r>
      <w:r w:rsidR="00DF5077" w:rsidRPr="00680828">
        <w:tab/>
        <w:t>vzhledem k tomu, že aplikace elektronického zdravotnictví, jejichž účel odpovídá definici zdravotnických prostředků, nejsou v současné době certifikovány, a proto mohou ohrožovat zdravotní data uživatelů;</w:t>
      </w:r>
    </w:p>
    <w:p w:rsidR="00BE183B" w:rsidRPr="00DF5077" w:rsidRDefault="00BE183B" w:rsidP="001C78C6">
      <w:pPr>
        <w:pStyle w:val="NormalHanging12a"/>
        <w:rPr>
          <w:rFonts w:eastAsiaTheme="minorHAnsi"/>
        </w:rPr>
      </w:pPr>
      <w:r w:rsidRPr="00DF5077">
        <w:t>1.</w:t>
      </w:r>
      <w:r w:rsidRPr="00DF5077">
        <w:tab/>
        <w:t xml:space="preserve">vyzývá Komisi, aby do konce prvního čtvrtletí roku 2025 navrhla akty v přenesené pravomoci a prováděcí akty k nařízení o zdravotnických prostředcích a nařízení o diagnostických zdravotnických prostředcích </w:t>
      </w:r>
      <w:r w:rsidRPr="00680828">
        <w:rPr>
          <w:iCs/>
        </w:rPr>
        <w:t>in vitro</w:t>
      </w:r>
      <w:r w:rsidRPr="00DF5077">
        <w:t xml:space="preserve"> s cílem řešit nejnaléhavější výzvy a překážky při provádění legislativních rámců a aby navrhla systematickou revizi všech příslušných článků těchto nařízení, která bude provedena co nejdříve spolu s posouzením dopadů;</w:t>
      </w:r>
    </w:p>
    <w:p w:rsidR="00BE183B" w:rsidRPr="00DF5077" w:rsidRDefault="00BE183B" w:rsidP="001C78C6">
      <w:pPr>
        <w:pStyle w:val="NormalHanging12a"/>
        <w:rPr>
          <w:rFonts w:eastAsiaTheme="minorHAnsi"/>
        </w:rPr>
      </w:pPr>
      <w:r w:rsidRPr="00DF5077">
        <w:t>2.</w:t>
      </w:r>
      <w:r w:rsidRPr="00DF5077">
        <w:tab/>
        <w:t>vyzývá Komisi, aby plně využívala legislativní a nelegislativní nástroje k řešení otázek rozdílného výkladu a praktického uplatňování, což umožní zefektivnit regulační proces, zlepšit transparentnost a odstranit zbytečnou administrativní činnost pro oznámené subjekty a výrobce, zejména MSP, aniž by byla ohrožena bezpečnost pacientů;</w:t>
      </w:r>
    </w:p>
    <w:p w:rsidR="00BE183B" w:rsidRPr="00DF5077" w:rsidRDefault="00BE183B" w:rsidP="001C78C6">
      <w:pPr>
        <w:pStyle w:val="NormalHanging12a"/>
        <w:rPr>
          <w:rFonts w:eastAsiaTheme="minorHAnsi"/>
        </w:rPr>
      </w:pPr>
      <w:r w:rsidRPr="00DF5077">
        <w:t>3.</w:t>
      </w:r>
      <w:r w:rsidRPr="00DF5077">
        <w:tab/>
        <w:t xml:space="preserve">vyjadřuje politování nad hrozícím nedostatkem zdravotnických prostředků a nad omezeným přístupem k některým zdravotnickým prostředkům a diagnostickým prostředkům </w:t>
      </w:r>
      <w:r w:rsidRPr="00680828">
        <w:rPr>
          <w:iCs/>
        </w:rPr>
        <w:t>in vitro</w:t>
      </w:r>
      <w:r w:rsidRPr="00DF5077">
        <w:t xml:space="preserve"> v některých částech EU; zdůrazňuje, že přístup ke zdravotní péči a její kvalita, včetně zdravotnických prostředků a diagnostických prostředků </w:t>
      </w:r>
      <w:r w:rsidRPr="00680828">
        <w:rPr>
          <w:iCs/>
        </w:rPr>
        <w:t>in vitro</w:t>
      </w:r>
      <w:r w:rsidRPr="00DF5077">
        <w:t>, by neměly záviset na tom, kde v EU se pacient nachází;</w:t>
      </w:r>
    </w:p>
    <w:p w:rsidR="00BE183B" w:rsidRPr="00DF5077" w:rsidRDefault="00BE183B" w:rsidP="001C78C6">
      <w:pPr>
        <w:pStyle w:val="NormalHanging12a"/>
        <w:rPr>
          <w:rFonts w:eastAsiaTheme="minorHAnsi"/>
        </w:rPr>
      </w:pPr>
      <w:r w:rsidRPr="00DF5077">
        <w:t>4.</w:t>
      </w:r>
      <w:r w:rsidRPr="00DF5077">
        <w:tab/>
        <w:t>vybízí oznámené subjekty, aby zajistily dostatečné zdroje pro včasné uspokojení poptávky na trhu; v této souvislosti vyzývá Komisi a členské státy, aby posílily podporu a spolupráci s cílem zajistit, aby oznámené subjekty měly optimální kapacity a schopnosti k plnému provádění regulačního rámce;</w:t>
      </w:r>
    </w:p>
    <w:p w:rsidR="00BE183B" w:rsidRPr="00DF5077" w:rsidRDefault="00BE183B" w:rsidP="001C78C6">
      <w:pPr>
        <w:pStyle w:val="NormalHanging12a"/>
        <w:rPr>
          <w:rFonts w:eastAsiaTheme="minorHAnsi"/>
        </w:rPr>
      </w:pPr>
      <w:r w:rsidRPr="00DF5077">
        <w:t>5.</w:t>
      </w:r>
      <w:r w:rsidRPr="00DF5077">
        <w:tab/>
        <w:t>vyzývá ke stanovení transparentních a závazných lhůt, včetně pozastavení lhůt u procedurálních kroků při posuzování shody oznámenými subjekty, což výrobcům zajistí předvídatelnost a jistotu, pokud jde o postup pro přístup na trh a dobu jeho trvání v rámci EU;</w:t>
      </w:r>
    </w:p>
    <w:p w:rsidR="00BE183B" w:rsidRPr="00DF5077" w:rsidRDefault="00BE183B" w:rsidP="001C78C6">
      <w:pPr>
        <w:pStyle w:val="NormalHanging12a"/>
        <w:rPr>
          <w:rFonts w:eastAsiaTheme="minorHAnsi"/>
        </w:rPr>
      </w:pPr>
      <w:r w:rsidRPr="00DF5077">
        <w:t>6.</w:t>
      </w:r>
      <w:r w:rsidRPr="00DF5077">
        <w:tab/>
        <w:t xml:space="preserve">požaduje transparentnost poplatků a struktury poplatků oznámených subjektů, aby mohly hospodářské subjekty srovnávat oznámené subjekty a přijímat informovaná </w:t>
      </w:r>
      <w:r w:rsidRPr="00DF5077">
        <w:lastRenderedPageBreak/>
        <w:t>rozhodnutí, což zajistí, že poplatky budou i nadále spravedlivou náhradou za poskytovanou veřejnou službu;</w:t>
      </w:r>
    </w:p>
    <w:p w:rsidR="00BE183B" w:rsidRPr="00DF5077" w:rsidRDefault="00BE183B" w:rsidP="001C78C6">
      <w:pPr>
        <w:pStyle w:val="NormalHanging12a"/>
        <w:rPr>
          <w:rFonts w:eastAsiaTheme="minorHAnsi"/>
        </w:rPr>
      </w:pPr>
      <w:r w:rsidRPr="00DF5077">
        <w:t>7.</w:t>
      </w:r>
      <w:r w:rsidRPr="00DF5077">
        <w:tab/>
        <w:t>zdůrazňuje, že je třeba upustit od zbytečné opětovné certifikace výrobků a že některé aktualizace nebo úpravy výrobků by neměly nutně vést k úplné opětovné certifikaci; poukazuje na to, že je třeba tato ustanovení harmonizovat a zajistit jejich soudržnost v celé EU; vyzývá ke spolupráci mezi příslušnými orgány a poradními orgány odpovědnými za jiné regulační rámce a zdůrazňuje, že je třeba výrobky správně a důsledně klasifikovat;</w:t>
      </w:r>
    </w:p>
    <w:p w:rsidR="00BE183B" w:rsidRPr="00DF5077" w:rsidRDefault="00BE183B" w:rsidP="001C78C6">
      <w:pPr>
        <w:pStyle w:val="NormalHanging12a"/>
      </w:pPr>
      <w:r w:rsidRPr="00DF5077">
        <w:t>8.</w:t>
      </w:r>
      <w:r w:rsidRPr="00DF5077">
        <w:tab/>
        <w:t>důrazně vyzývá Komisi, aby při schvalování inovativních technologií v oblastech neuspokojených léčebných potřeb a u prostředků spojených s mimořádnými situacemi v oblasti veřejného zdraví uvažovala o zrychlených a </w:t>
      </w:r>
      <w:proofErr w:type="spellStart"/>
      <w:r w:rsidRPr="00DF5077">
        <w:t>prioritizačních</w:t>
      </w:r>
      <w:proofErr w:type="spellEnd"/>
      <w:r w:rsidRPr="00DF5077">
        <w:t xml:space="preserve"> postupech;</w:t>
      </w:r>
    </w:p>
    <w:p w:rsidR="00DF5077" w:rsidRPr="00DF5077" w:rsidRDefault="00317EC8" w:rsidP="001C78C6">
      <w:pPr>
        <w:pStyle w:val="NormalHanging12a"/>
        <w:rPr>
          <w:rFonts w:eastAsiaTheme="minorHAnsi"/>
        </w:rPr>
      </w:pPr>
      <w:r>
        <w:t>9</w:t>
      </w:r>
      <w:r w:rsidR="00DF5077" w:rsidRPr="00680828">
        <w:t>.</w:t>
      </w:r>
      <w:r w:rsidR="00DF5077" w:rsidRPr="00680828">
        <w:tab/>
        <w:t>zdůrazňuje, že je nutné chránit zdravotní data shromážděná prostřednictvím aplikací elektronického zdravotnictví tím, že tyto aplikace budou výslovně zahrnuty do oblasti působnosti revidovaného nařízení o zdravotnických prostředcích a budou předmětem příslušných ustanovení;</w:t>
      </w:r>
    </w:p>
    <w:p w:rsidR="00BE183B" w:rsidRPr="00BA4C7F" w:rsidRDefault="00317EC8" w:rsidP="001C78C6">
      <w:pPr>
        <w:pStyle w:val="NormalHanging12a"/>
        <w:rPr>
          <w:rFonts w:eastAsiaTheme="minorHAnsi"/>
        </w:rPr>
      </w:pPr>
      <w:r>
        <w:t>10</w:t>
      </w:r>
      <w:r w:rsidR="00BE183B" w:rsidRPr="00BA4C7F">
        <w:t>.</w:t>
      </w:r>
      <w:r w:rsidR="00BE183B" w:rsidRPr="00BA4C7F">
        <w:tab/>
        <w:t xml:space="preserve">zdůrazňuje, že je třeba vytvořit jasnou pracovní definici „prostředků pro vzácná onemocnění“, jež určila koordinační skupina pro zdravotnické prostředky v nařízení o zdravotnických prostředcích a nařízení o diagnostických zdravotnických prostředcích </w:t>
      </w:r>
      <w:r w:rsidR="00BE183B" w:rsidRPr="00BA4C7F">
        <w:rPr>
          <w:i/>
          <w:iCs/>
        </w:rPr>
        <w:t>in vitro</w:t>
      </w:r>
      <w:r w:rsidR="00BE183B" w:rsidRPr="00BA4C7F">
        <w:t>, s cílem usnadnit přijímání harmonizovaných opatření v celé EU; dále vyzývá k vytvoření spolehlivého systému, který by zabránil zneužívání prostřednictvím praktik, kdy by byly výrobky neopodstatněně vydávány za prostředky pro vzácná onemocnění;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1</w:t>
      </w:r>
      <w:r w:rsidR="00317EC8">
        <w:t>1</w:t>
      </w:r>
      <w:r w:rsidRPr="00BA4C7F">
        <w:t>.</w:t>
      </w:r>
      <w:r w:rsidRPr="00BA4C7F">
        <w:tab/>
        <w:t xml:space="preserve"> vyzývá k zavedení pravidel uzpůsobených pro zdravotnické prostředky pro vzácná onemocnění a pediatrické zdravotnické prostředky, která neohrozí bezpečnost pacientů, a upozorňuje na potřebu účinnějších postupů posuzování shody uzpůsobených pro zdravotnické prostředky a diagnostické prostředky </w:t>
      </w:r>
      <w:r w:rsidRPr="00BA4C7F">
        <w:rPr>
          <w:i/>
          <w:iCs/>
        </w:rPr>
        <w:t>in vitro</w:t>
      </w:r>
      <w:r w:rsidRPr="00BA4C7F">
        <w:t xml:space="preserve"> na relativně malých trzích, jako jsou přípravky pro léčbu dětí nebo vzácných onemocnění;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1</w:t>
      </w:r>
      <w:r w:rsidR="00317EC8">
        <w:t>2</w:t>
      </w:r>
      <w:r w:rsidRPr="00BA4C7F">
        <w:t>.</w:t>
      </w:r>
      <w:r w:rsidRPr="00BA4C7F">
        <w:tab/>
        <w:t>vyzývá Komisi, aby usnadnila sběr klinických údajů ze stávajících vnitrostátních registrů pro malé skupiny pacientů léčené nebo diagnostikované pomocí prostředků pro vzácná onemocnění a pediatrických prostředků, a to v souladu s ochranou osobních údajů; uznává výzvy, jimž čelí MSP při přizpůsobování se právním rámcům; vyzývá členské státy a Komisi, aby vypracovaly konkrétní opatření na podporu MSP, včetně poskytování vzorových dokumentů a formulářů žádostí, poradenství v oblasti předpisů a další pomoci, s cílem snížit náklady a složitost regulačních rámců;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1</w:t>
      </w:r>
      <w:r w:rsidR="00317EC8">
        <w:t>3</w:t>
      </w:r>
      <w:r w:rsidRPr="00BA4C7F">
        <w:t>.</w:t>
      </w:r>
      <w:r w:rsidRPr="00BA4C7F">
        <w:tab/>
        <w:t xml:space="preserve">vyzývá Komisi, aby průběžně monitorovala dostupnost zdravotnických prostředků, zejména posledních zbývajících prostředků určitých typů, a aby přijala vhodná opatření k zajištění jejich dostupnosti na trhu EU; v této souvislosti žádá, aby byla urychleně uvedena do plného provozu databáze </w:t>
      </w:r>
      <w:proofErr w:type="spellStart"/>
      <w:r w:rsidRPr="00BA4C7F">
        <w:t>Eudamed</w:t>
      </w:r>
      <w:proofErr w:type="spellEnd"/>
      <w:r w:rsidRPr="00BA4C7F">
        <w:t>, která umožní zpracování informací o zdravotnických prostředcích a o jejich výrobcích s cílem zvýšit transparentnost, poskytnout veřejnosti a zdravotnickým pracovníkům lepší přístup k informacím a posílit koordinaci mezi členskými státy;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t>1</w:t>
      </w:r>
      <w:r w:rsidR="00317EC8">
        <w:t>4</w:t>
      </w:r>
      <w:r w:rsidRPr="00BA4C7F">
        <w:t>.</w:t>
      </w:r>
      <w:r w:rsidRPr="00BA4C7F">
        <w:tab/>
        <w:t>zdůrazňuje, že jakákoli nová pravidla nebo změny stávajících pravidel musí být spojeny s odpovídajícím přechodným obdobím, které všem zúčastněným stranám poskytne dostatek času na to, aby se těmto změnám přizpůsobily;</w:t>
      </w:r>
    </w:p>
    <w:p w:rsidR="00BE183B" w:rsidRPr="00BA4C7F" w:rsidRDefault="00BE183B" w:rsidP="001C78C6">
      <w:pPr>
        <w:pStyle w:val="NormalHanging12a"/>
        <w:rPr>
          <w:rFonts w:eastAsiaTheme="minorHAnsi"/>
        </w:rPr>
      </w:pPr>
      <w:r w:rsidRPr="00BA4C7F">
        <w:lastRenderedPageBreak/>
        <w:t>1</w:t>
      </w:r>
      <w:r w:rsidR="00317EC8">
        <w:t>5</w:t>
      </w:r>
      <w:r w:rsidRPr="00BA4C7F">
        <w:t>.</w:t>
      </w:r>
      <w:r w:rsidRPr="00BA4C7F">
        <w:tab/>
        <w:t>pověřuje svou předsedkyni, aby předala toto usnesení Radě, Komisi a vládám a parlamentům členských států.</w:t>
      </w:r>
    </w:p>
    <w:p w:rsidR="00E365E1" w:rsidRPr="00BA4C7F" w:rsidRDefault="00E365E1" w:rsidP="005B1BC0">
      <w:bookmarkStart w:id="8" w:name="TextBodyEnd"/>
      <w:bookmarkEnd w:id="8"/>
    </w:p>
    <w:sectPr w:rsidR="00E365E1" w:rsidRPr="00BA4C7F" w:rsidSect="00151D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BC0" w:rsidRPr="00151DB6" w:rsidRDefault="005B1BC0">
      <w:r w:rsidRPr="00151DB6">
        <w:separator/>
      </w:r>
    </w:p>
  </w:endnote>
  <w:endnote w:type="continuationSeparator" w:id="0">
    <w:p w:rsidR="005B1BC0" w:rsidRPr="00151DB6" w:rsidRDefault="005B1BC0">
      <w:r w:rsidRPr="00151D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1D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1D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1D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BC0" w:rsidRPr="00151DB6" w:rsidRDefault="005B1BC0">
      <w:r w:rsidRPr="00151DB6">
        <w:separator/>
      </w:r>
    </w:p>
  </w:footnote>
  <w:footnote w:type="continuationSeparator" w:id="0">
    <w:p w:rsidR="005B1BC0" w:rsidRPr="00151DB6" w:rsidRDefault="005B1BC0">
      <w:r w:rsidRPr="00151DB6">
        <w:continuationSeparator/>
      </w:r>
    </w:p>
  </w:footnote>
  <w:footnote w:id="1">
    <w:p w:rsidR="00BE183B" w:rsidRPr="00151DB6" w:rsidRDefault="00BE183B" w:rsidP="00151DB6">
      <w:pPr>
        <w:pStyle w:val="FootnoteText"/>
        <w:ind w:left="567" w:hanging="567"/>
        <w:rPr>
          <w:sz w:val="24"/>
          <w:lang w:val="cs-CZ"/>
        </w:rPr>
      </w:pPr>
      <w:r w:rsidRPr="00151DB6">
        <w:rPr>
          <w:rStyle w:val="FootnoteReference"/>
          <w:sz w:val="24"/>
          <w:lang w:val="cs-CZ"/>
        </w:rPr>
        <w:footnoteRef/>
      </w:r>
      <w:r w:rsidR="00151DB6" w:rsidRPr="00151DB6">
        <w:rPr>
          <w:sz w:val="24"/>
          <w:lang w:val="cs-CZ"/>
        </w:rPr>
        <w:t xml:space="preserve"> </w:t>
      </w:r>
      <w:r w:rsidR="00151DB6" w:rsidRPr="00151DB6">
        <w:rPr>
          <w:sz w:val="24"/>
          <w:lang w:val="cs-CZ"/>
        </w:rPr>
        <w:tab/>
      </w:r>
      <w:proofErr w:type="spellStart"/>
      <w:r w:rsidRPr="00151DB6">
        <w:rPr>
          <w:sz w:val="24"/>
          <w:lang w:val="cs-CZ"/>
        </w:rPr>
        <w:t>Úř</w:t>
      </w:r>
      <w:proofErr w:type="spellEnd"/>
      <w:r w:rsidRPr="00151DB6">
        <w:rPr>
          <w:sz w:val="24"/>
          <w:lang w:val="cs-CZ"/>
        </w:rPr>
        <w:t xml:space="preserve">. </w:t>
      </w:r>
      <w:proofErr w:type="spellStart"/>
      <w:r w:rsidRPr="00151DB6">
        <w:rPr>
          <w:sz w:val="24"/>
          <w:lang w:val="cs-CZ"/>
        </w:rPr>
        <w:t>věst</w:t>
      </w:r>
      <w:proofErr w:type="spellEnd"/>
      <w:r w:rsidRPr="00151DB6">
        <w:rPr>
          <w:sz w:val="24"/>
          <w:lang w:val="cs-CZ"/>
        </w:rPr>
        <w:t xml:space="preserve">. L 117, 5.5.2017, s. 1, ELI: </w:t>
      </w:r>
      <w:hyperlink r:id="rId1" w:history="1">
        <w:r w:rsidRPr="00151DB6">
          <w:rPr>
            <w:rStyle w:val="Hyperlink"/>
            <w:sz w:val="24"/>
            <w:lang w:val="cs-CZ"/>
          </w:rPr>
          <w:t>http://data.europa.eu/eli/reg/2017/745/oj</w:t>
        </w:r>
      </w:hyperlink>
      <w:r w:rsidRPr="00151DB6">
        <w:rPr>
          <w:sz w:val="24"/>
          <w:lang w:val="cs-CZ"/>
        </w:rPr>
        <w:t>.</w:t>
      </w:r>
    </w:p>
  </w:footnote>
  <w:footnote w:id="2">
    <w:p w:rsidR="00BE183B" w:rsidRPr="00151DB6" w:rsidRDefault="00BE183B" w:rsidP="00151DB6">
      <w:pPr>
        <w:pStyle w:val="FootnoteText"/>
        <w:ind w:left="567" w:hanging="567"/>
        <w:rPr>
          <w:sz w:val="24"/>
          <w:lang w:val="cs-CZ"/>
        </w:rPr>
      </w:pPr>
      <w:r w:rsidRPr="00151DB6">
        <w:rPr>
          <w:rStyle w:val="FootnoteReference"/>
          <w:sz w:val="24"/>
          <w:lang w:val="cs-CZ"/>
        </w:rPr>
        <w:footnoteRef/>
      </w:r>
      <w:r w:rsidR="00151DB6" w:rsidRPr="00151DB6">
        <w:rPr>
          <w:sz w:val="24"/>
          <w:lang w:val="cs-CZ"/>
        </w:rPr>
        <w:t xml:space="preserve"> </w:t>
      </w:r>
      <w:r w:rsidR="00151DB6" w:rsidRPr="00151DB6">
        <w:rPr>
          <w:sz w:val="24"/>
          <w:lang w:val="cs-CZ"/>
        </w:rPr>
        <w:tab/>
      </w:r>
      <w:proofErr w:type="spellStart"/>
      <w:r w:rsidRPr="00151DB6">
        <w:rPr>
          <w:sz w:val="24"/>
          <w:lang w:val="cs-CZ"/>
        </w:rPr>
        <w:t>Úř</w:t>
      </w:r>
      <w:proofErr w:type="spellEnd"/>
      <w:r w:rsidRPr="00151DB6">
        <w:rPr>
          <w:sz w:val="24"/>
          <w:lang w:val="cs-CZ"/>
        </w:rPr>
        <w:t xml:space="preserve">. </w:t>
      </w:r>
      <w:proofErr w:type="spellStart"/>
      <w:r w:rsidRPr="00151DB6">
        <w:rPr>
          <w:sz w:val="24"/>
          <w:lang w:val="cs-CZ"/>
        </w:rPr>
        <w:t>věst</w:t>
      </w:r>
      <w:proofErr w:type="spellEnd"/>
      <w:r w:rsidRPr="00151DB6">
        <w:rPr>
          <w:sz w:val="24"/>
          <w:lang w:val="cs-CZ"/>
        </w:rPr>
        <w:t xml:space="preserve">. L 117, 5.5.2017, s. 176, ELI: </w:t>
      </w:r>
      <w:hyperlink r:id="rId2" w:history="1">
        <w:r w:rsidRPr="00151DB6">
          <w:rPr>
            <w:rStyle w:val="Hyperlink"/>
            <w:sz w:val="24"/>
            <w:lang w:val="cs-CZ"/>
          </w:rPr>
          <w:t>http://data.europa.eu/eli/reg/2017/746/oj</w:t>
        </w:r>
      </w:hyperlink>
      <w:r w:rsidRPr="00151DB6">
        <w:rPr>
          <w:sz w:val="24"/>
          <w:lang w:val="cs-CZ"/>
        </w:rPr>
        <w:t>.</w:t>
      </w:r>
    </w:p>
  </w:footnote>
  <w:footnote w:id="3">
    <w:p w:rsidR="00BE183B" w:rsidRPr="00151DB6" w:rsidRDefault="00BE183B" w:rsidP="00151DB6">
      <w:pPr>
        <w:pStyle w:val="FootnoteText"/>
        <w:ind w:left="567" w:hanging="567"/>
        <w:rPr>
          <w:sz w:val="24"/>
          <w:lang w:val="cs-CZ"/>
        </w:rPr>
      </w:pPr>
      <w:r w:rsidRPr="00151DB6">
        <w:rPr>
          <w:rStyle w:val="FootnoteReference"/>
          <w:sz w:val="24"/>
          <w:lang w:val="cs-CZ"/>
        </w:rPr>
        <w:footnoteRef/>
      </w:r>
      <w:r w:rsidR="00151DB6" w:rsidRPr="00151DB6">
        <w:rPr>
          <w:sz w:val="24"/>
          <w:lang w:val="cs-CZ"/>
        </w:rPr>
        <w:t xml:space="preserve"> </w:t>
      </w:r>
      <w:r w:rsidR="00151DB6" w:rsidRPr="00151DB6">
        <w:rPr>
          <w:sz w:val="24"/>
          <w:lang w:val="cs-CZ"/>
        </w:rPr>
        <w:tab/>
      </w:r>
      <w:proofErr w:type="spellStart"/>
      <w:r w:rsidRPr="00151DB6">
        <w:rPr>
          <w:sz w:val="24"/>
          <w:lang w:val="cs-CZ"/>
        </w:rPr>
        <w:t>Úř</w:t>
      </w:r>
      <w:proofErr w:type="spellEnd"/>
      <w:r w:rsidRPr="00151DB6">
        <w:rPr>
          <w:sz w:val="24"/>
          <w:lang w:val="cs-CZ"/>
        </w:rPr>
        <w:t xml:space="preserve">. </w:t>
      </w:r>
      <w:proofErr w:type="spellStart"/>
      <w:r w:rsidRPr="00151DB6">
        <w:rPr>
          <w:sz w:val="24"/>
          <w:lang w:val="cs-CZ"/>
        </w:rPr>
        <w:t>věst</w:t>
      </w:r>
      <w:proofErr w:type="spellEnd"/>
      <w:r w:rsidRPr="00151DB6">
        <w:rPr>
          <w:sz w:val="24"/>
          <w:lang w:val="cs-CZ"/>
        </w:rPr>
        <w:t xml:space="preserve">. L 80, 20.3.2023, s. 24, ELI: </w:t>
      </w:r>
      <w:hyperlink r:id="rId3" w:history="1">
        <w:r w:rsidRPr="00151DB6">
          <w:rPr>
            <w:rStyle w:val="Hyperlink"/>
            <w:sz w:val="24"/>
            <w:lang w:val="cs-CZ"/>
          </w:rPr>
          <w:t>http://data.europa.eu/eli/reg/2023/607/oj</w:t>
        </w:r>
      </w:hyperlink>
      <w:r w:rsidRPr="00151DB6">
        <w:rPr>
          <w:sz w:val="24"/>
          <w:lang w:val="cs-CZ"/>
        </w:rPr>
        <w:t>.</w:t>
      </w:r>
    </w:p>
  </w:footnote>
  <w:footnote w:id="4">
    <w:p w:rsidR="00BE183B" w:rsidRPr="00151DB6" w:rsidRDefault="00BE183B" w:rsidP="00151DB6">
      <w:pPr>
        <w:pStyle w:val="FootnoteText"/>
        <w:ind w:left="567" w:hanging="567"/>
        <w:rPr>
          <w:sz w:val="24"/>
          <w:lang w:val="cs-CZ"/>
        </w:rPr>
      </w:pPr>
      <w:r w:rsidRPr="00151DB6">
        <w:rPr>
          <w:rStyle w:val="FootnoteReference"/>
          <w:sz w:val="24"/>
          <w:lang w:val="cs-CZ"/>
        </w:rPr>
        <w:footnoteRef/>
      </w:r>
      <w:r w:rsidR="00151DB6" w:rsidRPr="00151DB6">
        <w:rPr>
          <w:sz w:val="24"/>
          <w:lang w:val="cs-CZ"/>
        </w:rPr>
        <w:t xml:space="preserve"> </w:t>
      </w:r>
      <w:r w:rsidR="00151DB6" w:rsidRPr="00151DB6">
        <w:rPr>
          <w:sz w:val="24"/>
          <w:lang w:val="cs-CZ"/>
        </w:rPr>
        <w:tab/>
      </w:r>
      <w:r w:rsidRPr="00151DB6">
        <w:rPr>
          <w:sz w:val="24"/>
          <w:lang w:val="cs-CZ"/>
        </w:rPr>
        <w:t>Nařízení Evropského parlamentu a Rady (EU) 2020/561 ze dne 23. dubna 2020, kterým se mění nařízení (EU) 2017/745 o zdravotnických prostředcích, pokud jde o použitelnost některých jeho ustanovení (</w:t>
      </w:r>
      <w:proofErr w:type="spellStart"/>
      <w:r w:rsidRPr="00151DB6">
        <w:rPr>
          <w:sz w:val="24"/>
          <w:lang w:val="cs-CZ"/>
        </w:rPr>
        <w:t>Úř</w:t>
      </w:r>
      <w:proofErr w:type="spellEnd"/>
      <w:r w:rsidRPr="00151DB6">
        <w:rPr>
          <w:sz w:val="24"/>
          <w:lang w:val="cs-CZ"/>
        </w:rPr>
        <w:t xml:space="preserve">. </w:t>
      </w:r>
      <w:proofErr w:type="spellStart"/>
      <w:r w:rsidRPr="00151DB6">
        <w:rPr>
          <w:sz w:val="24"/>
          <w:lang w:val="cs-CZ"/>
        </w:rPr>
        <w:t>věst</w:t>
      </w:r>
      <w:proofErr w:type="spellEnd"/>
      <w:r w:rsidRPr="00151DB6">
        <w:rPr>
          <w:sz w:val="24"/>
          <w:lang w:val="cs-CZ"/>
        </w:rPr>
        <w:t xml:space="preserve">. L 130, 24.4.2020, s. 18, ELI: </w:t>
      </w:r>
      <w:hyperlink r:id="rId4" w:history="1">
        <w:r w:rsidRPr="00151DB6">
          <w:rPr>
            <w:rStyle w:val="Hyperlink"/>
            <w:sz w:val="24"/>
            <w:lang w:val="cs-CZ"/>
          </w:rPr>
          <w:t>http://data.europa.eu/eli/reg/2020/561/oj</w:t>
        </w:r>
      </w:hyperlink>
      <w:r w:rsidRPr="00151DB6">
        <w:rPr>
          <w:sz w:val="24"/>
          <w:lang w:val="cs-CZ"/>
        </w:rPr>
        <w:t>).</w:t>
      </w:r>
    </w:p>
  </w:footnote>
  <w:footnote w:id="5">
    <w:p w:rsidR="00BE183B" w:rsidRPr="00151DB6" w:rsidRDefault="00BE183B" w:rsidP="00151DB6">
      <w:pPr>
        <w:pStyle w:val="FootnoteText"/>
        <w:ind w:left="567" w:hanging="567"/>
        <w:rPr>
          <w:sz w:val="24"/>
          <w:lang w:val="cs-CZ"/>
        </w:rPr>
      </w:pPr>
      <w:r w:rsidRPr="00151DB6">
        <w:rPr>
          <w:rStyle w:val="FootnoteReference"/>
          <w:sz w:val="24"/>
          <w:lang w:val="cs-CZ"/>
        </w:rPr>
        <w:footnoteRef/>
      </w:r>
      <w:r w:rsidR="00151DB6" w:rsidRPr="00151DB6">
        <w:rPr>
          <w:sz w:val="24"/>
          <w:lang w:val="cs-CZ"/>
        </w:rPr>
        <w:t xml:space="preserve"> </w:t>
      </w:r>
      <w:r w:rsidR="00151DB6" w:rsidRPr="00151DB6">
        <w:rPr>
          <w:sz w:val="24"/>
          <w:lang w:val="cs-CZ"/>
        </w:rPr>
        <w:tab/>
      </w:r>
      <w:r w:rsidRPr="00151DB6">
        <w:rPr>
          <w:sz w:val="24"/>
          <w:lang w:val="cs-CZ"/>
        </w:rPr>
        <w:t xml:space="preserve">Nařízení Evropského parlamentu a Rady (EU) 2022/112 ze dne 25. ledna 2022, kterým se mění nařízení (EU) 2017/746, pokud jde o přechodná ustanovení pro některé diagnostické zdravotnické prostředky </w:t>
      </w:r>
      <w:r w:rsidRPr="00151DB6">
        <w:rPr>
          <w:i/>
          <w:sz w:val="24"/>
          <w:lang w:val="cs-CZ"/>
        </w:rPr>
        <w:t>in vitro</w:t>
      </w:r>
      <w:r w:rsidRPr="00151DB6">
        <w:rPr>
          <w:sz w:val="24"/>
          <w:lang w:val="cs-CZ"/>
        </w:rPr>
        <w:t xml:space="preserve"> a odklad použitelnosti podmínek v případě prostředků vyráběných a používaných v rámci zdravotnických zařízení (</w:t>
      </w:r>
      <w:proofErr w:type="spellStart"/>
      <w:r w:rsidRPr="00151DB6">
        <w:rPr>
          <w:sz w:val="24"/>
          <w:lang w:val="cs-CZ"/>
        </w:rPr>
        <w:t>Úř</w:t>
      </w:r>
      <w:proofErr w:type="spellEnd"/>
      <w:r w:rsidRPr="00151DB6">
        <w:rPr>
          <w:sz w:val="24"/>
          <w:lang w:val="cs-CZ"/>
        </w:rPr>
        <w:t>. </w:t>
      </w:r>
      <w:proofErr w:type="spellStart"/>
      <w:r w:rsidRPr="00151DB6">
        <w:rPr>
          <w:sz w:val="24"/>
          <w:lang w:val="cs-CZ"/>
        </w:rPr>
        <w:t>věst</w:t>
      </w:r>
      <w:proofErr w:type="spellEnd"/>
      <w:r w:rsidRPr="00151DB6">
        <w:rPr>
          <w:sz w:val="24"/>
          <w:lang w:val="cs-CZ"/>
        </w:rPr>
        <w:t xml:space="preserve">. L 19, 28.1.2022, s. 3, ELI: </w:t>
      </w:r>
      <w:hyperlink r:id="rId5" w:history="1">
        <w:r w:rsidRPr="00151DB6">
          <w:rPr>
            <w:rStyle w:val="Hyperlink"/>
            <w:sz w:val="24"/>
            <w:lang w:val="cs-CZ"/>
          </w:rPr>
          <w:t>http://data.europa.eu/eli/reg/2022/112/oj</w:t>
        </w:r>
      </w:hyperlink>
      <w:r w:rsidRPr="00151DB6">
        <w:rPr>
          <w:sz w:val="24"/>
          <w:lang w:val="cs-CZ"/>
        </w:rPr>
        <w:t>).</w:t>
      </w:r>
    </w:p>
  </w:footnote>
  <w:footnote w:id="6">
    <w:p w:rsidR="00BE183B" w:rsidRPr="00151DB6" w:rsidRDefault="00BE183B" w:rsidP="00151DB6">
      <w:pPr>
        <w:pStyle w:val="FootnoteText"/>
        <w:ind w:left="567" w:hanging="567"/>
        <w:rPr>
          <w:sz w:val="24"/>
          <w:lang w:val="cs-CZ"/>
        </w:rPr>
      </w:pPr>
      <w:r w:rsidRPr="00151DB6">
        <w:rPr>
          <w:rStyle w:val="FootnoteReference"/>
          <w:sz w:val="24"/>
          <w:lang w:val="cs-CZ"/>
        </w:rPr>
        <w:footnoteRef/>
      </w:r>
      <w:r w:rsidR="00151DB6" w:rsidRPr="00151DB6">
        <w:rPr>
          <w:sz w:val="24"/>
          <w:lang w:val="cs-CZ"/>
        </w:rPr>
        <w:t xml:space="preserve"> </w:t>
      </w:r>
      <w:r w:rsidR="00151DB6" w:rsidRPr="00151DB6">
        <w:rPr>
          <w:sz w:val="24"/>
          <w:lang w:val="cs-CZ"/>
        </w:rPr>
        <w:tab/>
      </w:r>
      <w:r w:rsidRPr="00151DB6">
        <w:rPr>
          <w:sz w:val="24"/>
          <w:lang w:val="cs-CZ"/>
        </w:rPr>
        <w:t xml:space="preserve">Nařízení Evropského parlamentu a Rady (EU) 2024/1860 ze dne 13. června 2024, kterým se mění nařízení (EU) 2017/745 a (EU) 2017/746, pokud jde o postupné zavádění databáze </w:t>
      </w:r>
      <w:proofErr w:type="spellStart"/>
      <w:r w:rsidRPr="00151DB6">
        <w:rPr>
          <w:sz w:val="24"/>
          <w:lang w:val="cs-CZ"/>
        </w:rPr>
        <w:t>Eudamed</w:t>
      </w:r>
      <w:proofErr w:type="spellEnd"/>
      <w:r w:rsidRPr="00151DB6">
        <w:rPr>
          <w:sz w:val="24"/>
          <w:lang w:val="cs-CZ"/>
        </w:rPr>
        <w:t xml:space="preserve">, povinnost informovat v případě přerušení nebo ukončení dodávek a přechodná ustanovení pro některé diagnostické zdravotnické prostředky </w:t>
      </w:r>
      <w:r w:rsidRPr="00151DB6">
        <w:rPr>
          <w:i/>
          <w:sz w:val="24"/>
          <w:lang w:val="cs-CZ"/>
        </w:rPr>
        <w:t>in vitro</w:t>
      </w:r>
      <w:r w:rsidRPr="00151DB6">
        <w:rPr>
          <w:sz w:val="24"/>
          <w:lang w:val="cs-CZ"/>
        </w:rPr>
        <w:t xml:space="preserve"> (</w:t>
      </w:r>
      <w:proofErr w:type="spellStart"/>
      <w:r w:rsidRPr="00151DB6">
        <w:rPr>
          <w:sz w:val="24"/>
          <w:lang w:val="cs-CZ"/>
        </w:rPr>
        <w:t>Úř</w:t>
      </w:r>
      <w:proofErr w:type="spellEnd"/>
      <w:r w:rsidRPr="00151DB6">
        <w:rPr>
          <w:sz w:val="24"/>
          <w:lang w:val="cs-CZ"/>
        </w:rPr>
        <w:t>. </w:t>
      </w:r>
      <w:proofErr w:type="spellStart"/>
      <w:r w:rsidRPr="00151DB6">
        <w:rPr>
          <w:sz w:val="24"/>
          <w:lang w:val="cs-CZ"/>
        </w:rPr>
        <w:t>věst</w:t>
      </w:r>
      <w:proofErr w:type="spellEnd"/>
      <w:r w:rsidRPr="00151DB6">
        <w:rPr>
          <w:sz w:val="24"/>
          <w:lang w:val="cs-CZ"/>
        </w:rPr>
        <w:t xml:space="preserve">. L, 2024/1860, 9.7.2024, ELI: </w:t>
      </w:r>
      <w:hyperlink r:id="rId6" w:history="1">
        <w:r w:rsidRPr="00151DB6">
          <w:rPr>
            <w:rStyle w:val="Hyperlink"/>
            <w:sz w:val="24"/>
            <w:lang w:val="cs-CZ"/>
          </w:rPr>
          <w:t>http://data.europa.eu/eli/reg/2024/1860/oj</w:t>
        </w:r>
      </w:hyperlink>
      <w:r w:rsidRPr="00151DB6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1D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1D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1D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23/2024"/>
    <w:docVar w:name="dvlangue" w:val="CS"/>
    <w:docVar w:name="dvnumam" w:val="0"/>
    <w:docVar w:name="dvpe" w:val="764.132"/>
    <w:docVar w:name="dvtitre" w:val="Usnesení Evropského parlamentu ze dne 23. října 2024 o naléhavé potřebě revize nařízení o zdravotnických prostředcích(2024/2849(RSP))"/>
  </w:docVars>
  <w:rsids>
    <w:rsidRoot w:val="005B1BC0"/>
    <w:rsid w:val="00002272"/>
    <w:rsid w:val="00064002"/>
    <w:rsid w:val="000677B9"/>
    <w:rsid w:val="000831BA"/>
    <w:rsid w:val="000A42CC"/>
    <w:rsid w:val="000E7DD9"/>
    <w:rsid w:val="0010095E"/>
    <w:rsid w:val="00125B37"/>
    <w:rsid w:val="00151DB6"/>
    <w:rsid w:val="00187494"/>
    <w:rsid w:val="001C78C6"/>
    <w:rsid w:val="001F32AE"/>
    <w:rsid w:val="002767FF"/>
    <w:rsid w:val="002B18FE"/>
    <w:rsid w:val="002B5493"/>
    <w:rsid w:val="00317EC8"/>
    <w:rsid w:val="00343214"/>
    <w:rsid w:val="00361C00"/>
    <w:rsid w:val="00395FA1"/>
    <w:rsid w:val="003E15D4"/>
    <w:rsid w:val="00411CCE"/>
    <w:rsid w:val="0041666E"/>
    <w:rsid w:val="00421060"/>
    <w:rsid w:val="004631B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9B0"/>
    <w:rsid w:val="005B1BC0"/>
    <w:rsid w:val="005C2568"/>
    <w:rsid w:val="005F1B17"/>
    <w:rsid w:val="006037C0"/>
    <w:rsid w:val="006631B6"/>
    <w:rsid w:val="00680577"/>
    <w:rsid w:val="0068082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C7F"/>
    <w:rsid w:val="00BD48FE"/>
    <w:rsid w:val="00BD7BD8"/>
    <w:rsid w:val="00BE183B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5077"/>
    <w:rsid w:val="00E177B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ABBC0"/>
  <w15:chartTrackingRefBased/>
  <w15:docId w15:val="{A35F7015-ECF8-4A38-9044-0E43E0815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E183B"/>
    <w:pPr>
      <w:spacing w:after="240"/>
      <w:ind w:left="567" w:hanging="567"/>
    </w:pPr>
  </w:style>
  <w:style w:type="paragraph" w:customStyle="1" w:styleId="EPComma">
    <w:name w:val="EPComma"/>
    <w:basedOn w:val="Normal"/>
    <w:rsid w:val="00BE183B"/>
    <w:pPr>
      <w:spacing w:before="480" w:after="240"/>
    </w:pPr>
  </w:style>
  <w:style w:type="character" w:styleId="Hyperlink">
    <w:name w:val="Hyperlink"/>
    <w:basedOn w:val="DefaultParagraphFont"/>
    <w:unhideWhenUsed/>
    <w:rsid w:val="00BE183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BE183B"/>
    <w:rPr>
      <w:sz w:val="24"/>
      <w:lang w:val="cs-CZ"/>
    </w:rPr>
  </w:style>
  <w:style w:type="paragraph" w:styleId="BalloonText">
    <w:name w:val="Balloon Text"/>
    <w:basedOn w:val="Normal"/>
    <w:link w:val="BalloonTextChar"/>
    <w:rsid w:val="00BA4C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4C7F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3/607/oj" TargetMode="External"/><Relationship Id="rId2" Type="http://schemas.openxmlformats.org/officeDocument/2006/relationships/hyperlink" Target="http://data.europa.eu/eli/reg/2017/746/oj" TargetMode="External"/><Relationship Id="rId1" Type="http://schemas.openxmlformats.org/officeDocument/2006/relationships/hyperlink" Target="http://data.europa.eu/eli/reg/2017/745/oj" TargetMode="External"/><Relationship Id="rId6" Type="http://schemas.openxmlformats.org/officeDocument/2006/relationships/hyperlink" Target="http://data.europa.eu/eli/reg/2024/1860/oj" TargetMode="External"/><Relationship Id="rId5" Type="http://schemas.openxmlformats.org/officeDocument/2006/relationships/hyperlink" Target="http://data.europa.eu/eli/reg/2022/112/oj" TargetMode="External"/><Relationship Id="rId4" Type="http://schemas.openxmlformats.org/officeDocument/2006/relationships/hyperlink" Target="http://data.europa.eu/eli/reg/2020/5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16A78-D064-4D1B-85D1-70B66418F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1971</Words>
  <Characters>11236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2024-10-23T12:06:00Z</dcterms:created>
  <dcterms:modified xsi:type="dcterms:W3CDTF">2024-10-23T12:06:00Z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B10-0123/2024</vt:lpwstr>
  </property>
  <property fmtid="{D5CDD505-2E9C-101B-9397-08002B2CF9AE}" pid="4" name="&lt;Type&gt;">
    <vt:lpwstr>RR</vt:lpwstr>
  </property>
</Properties>
</file>