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15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15A8" w:rsidRDefault="00F300A7" w:rsidP="0010095E">
            <w:pPr>
              <w:pStyle w:val="EPName"/>
            </w:pPr>
            <w:r w:rsidRPr="00D615A8">
              <w:t>Parlamento europeo</w:t>
            </w:r>
          </w:p>
          <w:p w:rsidR="00751A4A" w:rsidRPr="00D615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15A8">
              <w:t>2024</w:t>
            </w:r>
            <w:r w:rsidR="00817416" w:rsidRPr="00D615A8">
              <w:t>-202</w:t>
            </w:r>
            <w:r w:rsidRPr="00D615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15A8" w:rsidRDefault="00187494" w:rsidP="0010095E">
            <w:pPr>
              <w:pStyle w:val="EPLogo"/>
            </w:pPr>
            <w:r w:rsidRPr="00D615A8">
              <w:rPr>
                <w:noProof/>
                <w:lang w:eastAsia="it-I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15A8" w:rsidRDefault="00D058B8" w:rsidP="004C5D52">
      <w:pPr>
        <w:pStyle w:val="LineTop"/>
      </w:pPr>
    </w:p>
    <w:p w:rsidR="00680577" w:rsidRPr="00D615A8" w:rsidRDefault="00F300A7" w:rsidP="00680577">
      <w:pPr>
        <w:pStyle w:val="EPBodyTA1"/>
      </w:pPr>
      <w:r w:rsidRPr="00D615A8">
        <w:t>TESTI APPROVATI</w:t>
      </w:r>
    </w:p>
    <w:p w:rsidR="00D058B8" w:rsidRPr="00D615A8" w:rsidRDefault="00D058B8" w:rsidP="00D058B8">
      <w:pPr>
        <w:pStyle w:val="LineBottom"/>
      </w:pPr>
    </w:p>
    <w:p w:rsidR="00F300A7" w:rsidRPr="00D615A8" w:rsidRDefault="00F300A7" w:rsidP="00F300A7">
      <w:pPr>
        <w:pStyle w:val="ATHeading1"/>
      </w:pPr>
      <w:bookmarkStart w:id="0" w:name="TANumber"/>
      <w:r w:rsidRPr="00D615A8">
        <w:t>P10_TA(2024)00</w:t>
      </w:r>
      <w:r w:rsidR="003E656E" w:rsidRPr="00D615A8">
        <w:t>28</w:t>
      </w:r>
      <w:bookmarkEnd w:id="0"/>
    </w:p>
    <w:p w:rsidR="00F300A7" w:rsidRPr="00D615A8" w:rsidRDefault="00F300A7" w:rsidP="00F300A7">
      <w:pPr>
        <w:pStyle w:val="ATHeading2"/>
      </w:pPr>
      <w:bookmarkStart w:id="1" w:name="title"/>
      <w:r w:rsidRPr="00D615A8">
        <w:t>Necessità urgente di rivedere il regolamento sui dispositivi medici</w:t>
      </w:r>
      <w:bookmarkEnd w:id="1"/>
    </w:p>
    <w:p w:rsidR="00F300A7" w:rsidRPr="00D615A8" w:rsidRDefault="00F300A7" w:rsidP="00F300A7">
      <w:pPr>
        <w:rPr>
          <w:i/>
          <w:vanish/>
        </w:rPr>
      </w:pPr>
      <w:r w:rsidRPr="00D615A8">
        <w:rPr>
          <w:i/>
        </w:rPr>
        <w:fldChar w:fldCharType="begin"/>
      </w:r>
      <w:r w:rsidRPr="00D615A8">
        <w:rPr>
          <w:i/>
        </w:rPr>
        <w:instrText xml:space="preserve"> TC"(</w:instrText>
      </w:r>
      <w:bookmarkStart w:id="2" w:name="DocNumber"/>
      <w:r w:rsidRPr="00D615A8">
        <w:rPr>
          <w:i/>
        </w:rPr>
        <w:instrText>B10-0123</w:instrText>
      </w:r>
      <w:r w:rsidR="00347DFE" w:rsidRPr="00D615A8">
        <w:rPr>
          <w:i/>
        </w:rPr>
        <w:instrText xml:space="preserve">, 0124, 0125, 0126 </w:instrText>
      </w:r>
      <w:r w:rsidR="00F9648C" w:rsidRPr="00D615A8">
        <w:rPr>
          <w:i/>
        </w:rPr>
        <w:instrText>e 0128/</w:instrText>
      </w:r>
      <w:r w:rsidRPr="00D615A8">
        <w:rPr>
          <w:i/>
        </w:rPr>
        <w:instrText>2024</w:instrText>
      </w:r>
      <w:bookmarkEnd w:id="2"/>
      <w:r w:rsidRPr="00D615A8">
        <w:rPr>
          <w:i/>
        </w:rPr>
        <w:instrText xml:space="preserve">)"\l3 \n&gt; \* MERGEFORMAT </w:instrText>
      </w:r>
      <w:r w:rsidRPr="00D615A8">
        <w:rPr>
          <w:i/>
        </w:rPr>
        <w:fldChar w:fldCharType="end"/>
      </w:r>
    </w:p>
    <w:p w:rsidR="00F300A7" w:rsidRPr="00D615A8" w:rsidRDefault="00F300A7" w:rsidP="00F300A7">
      <w:pPr>
        <w:rPr>
          <w:vanish/>
        </w:rPr>
      </w:pPr>
      <w:bookmarkStart w:id="3" w:name="PE"/>
      <w:r w:rsidRPr="00D615A8">
        <w:rPr>
          <w:vanish/>
        </w:rPr>
        <w:t>PE764.132</w:t>
      </w:r>
      <w:bookmarkEnd w:id="3"/>
    </w:p>
    <w:p w:rsidR="00F300A7" w:rsidRPr="00D615A8" w:rsidRDefault="00F300A7" w:rsidP="00F300A7">
      <w:pPr>
        <w:pStyle w:val="ATHeading3"/>
      </w:pPr>
      <w:bookmarkStart w:id="4" w:name="Sujet"/>
      <w:r w:rsidRPr="00D615A8">
        <w:t>Risoluzione del Parlamento europeo del 23 ottobre 2024 sulla necessità urgente di rivedere il regolamento sui dispositivi medici</w:t>
      </w:r>
      <w:bookmarkEnd w:id="4"/>
      <w:r w:rsidRPr="00D615A8">
        <w:t xml:space="preserve"> </w:t>
      </w:r>
      <w:bookmarkStart w:id="5" w:name="References"/>
      <w:r w:rsidRPr="00D615A8">
        <w:t>(2024/2849(RSP))</w:t>
      </w:r>
      <w:bookmarkEnd w:id="5"/>
    </w:p>
    <w:p w:rsidR="00A90239" w:rsidRPr="00D615A8" w:rsidRDefault="00A90239" w:rsidP="00A90239">
      <w:pPr>
        <w:pStyle w:val="EPComma"/>
      </w:pPr>
      <w:bookmarkStart w:id="6" w:name="TextBodyBegin"/>
      <w:bookmarkEnd w:id="6"/>
      <w:r w:rsidRPr="00D615A8">
        <w:rPr>
          <w:i/>
          <w:iCs/>
        </w:rPr>
        <w:t>Il Parlamento europeo,</w:t>
      </w:r>
    </w:p>
    <w:p w:rsidR="00A90239" w:rsidRPr="00D615A8" w:rsidRDefault="00A90239" w:rsidP="00A90239">
      <w:pPr>
        <w:pStyle w:val="NormalHanging12a"/>
      </w:pPr>
      <w:r w:rsidRPr="00D615A8">
        <w:t>–</w:t>
      </w:r>
      <w:r w:rsidRPr="00D615A8">
        <w:tab/>
        <w:t>visto il trattato sul funzionamento dell'Unione europea, in particolare l'articolo 168,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–</w:t>
      </w:r>
      <w:r w:rsidRPr="00D615A8">
        <w:tab/>
        <w:t>visto il regolamento (UE) 2017/745 del Parlamento europeo e del Consiglio, del 5 aprile 2017, relativo ai dispositivi medici, che modifica la direttiva 2001/83/CE, il regolamento (CE) n. 178/2002 e il regolamento (CE) n. 1223/2009 e che abroga le direttive 90/385/CEE e 93/42/CEE del Consiglio</w:t>
      </w:r>
      <w:r w:rsidRPr="00D615A8">
        <w:rPr>
          <w:rFonts w:eastAsiaTheme="minorHAnsi"/>
          <w:vertAlign w:val="superscript"/>
        </w:rPr>
        <w:footnoteReference w:id="1"/>
      </w:r>
      <w:r w:rsidRPr="00D615A8">
        <w:t xml:space="preserve"> (MDR),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–</w:t>
      </w:r>
      <w:r w:rsidRPr="00D615A8">
        <w:tab/>
        <w:t>visto il regolamento (UE) 2017/746 del Parlamento europeo e del Consiglio, del 5 aprile 2017, relativo ai dispositivi medico-diagnostici in vitro e che abroga la direttiva 98/79/CE e la decisione 2010/227/UE della Commissione</w:t>
      </w:r>
      <w:r w:rsidRPr="00D615A8">
        <w:rPr>
          <w:rFonts w:eastAsiaTheme="minorHAnsi"/>
          <w:vertAlign w:val="superscript"/>
        </w:rPr>
        <w:footnoteReference w:id="2"/>
      </w:r>
      <w:r w:rsidRPr="00D615A8">
        <w:t xml:space="preserve"> (IVDR),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–</w:t>
      </w:r>
      <w:r w:rsidRPr="00D615A8">
        <w:tab/>
        <w:t>visto il regolamento (UE) 2023/607 del Parlamento europeo e del Consiglio, del 15 marzo 2023, che modifica i regolamenti (UE) 2017/745 e (UE) 2017/746 per quanto riguarda le disposizioni transitorie per determinati dispositivi medici e dispositivi medico-diagnostici in vitro</w:t>
      </w:r>
      <w:r w:rsidRPr="00D615A8">
        <w:rPr>
          <w:rFonts w:eastAsiaTheme="minorHAnsi"/>
          <w:vertAlign w:val="superscript"/>
        </w:rPr>
        <w:footnoteReference w:id="3"/>
      </w:r>
      <w:r w:rsidRPr="00D615A8">
        <w:t>,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–</w:t>
      </w:r>
      <w:r w:rsidRPr="00D615A8">
        <w:tab/>
        <w:t>visti il regolamento (UE) 2020/561</w:t>
      </w:r>
      <w:r w:rsidRPr="00D615A8">
        <w:rPr>
          <w:rFonts w:eastAsiaTheme="minorHAnsi"/>
          <w:vertAlign w:val="superscript"/>
        </w:rPr>
        <w:footnoteReference w:id="4"/>
      </w:r>
      <w:r w:rsidRPr="00D615A8">
        <w:t>, il regolamento (UE) 2022/112</w:t>
      </w:r>
      <w:r w:rsidRPr="00D615A8">
        <w:rPr>
          <w:rFonts w:eastAsiaTheme="minorHAnsi"/>
          <w:vertAlign w:val="superscript"/>
        </w:rPr>
        <w:footnoteReference w:id="5"/>
      </w:r>
      <w:r w:rsidRPr="00D615A8">
        <w:t xml:space="preserve">, il regolamento </w:t>
      </w:r>
      <w:r w:rsidRPr="00D615A8">
        <w:lastRenderedPageBreak/>
        <w:t>(UE) 2023/607 e il regolamento (UE) 2024/1860</w:t>
      </w:r>
      <w:r w:rsidRPr="00D615A8">
        <w:rPr>
          <w:rFonts w:eastAsiaTheme="minorHAnsi"/>
          <w:vertAlign w:val="superscript"/>
        </w:rPr>
        <w:footnoteReference w:id="6"/>
      </w:r>
      <w:r w:rsidRPr="00D615A8">
        <w:t xml:space="preserve"> che prorogano i periodi di attuazione del regolamento (UE) 2017/745 e del regolamento (UE) 2017/746,</w:t>
      </w:r>
    </w:p>
    <w:p w:rsidR="00A90239" w:rsidRPr="00D615A8" w:rsidRDefault="00A90239" w:rsidP="00A90239">
      <w:pPr>
        <w:pStyle w:val="NormalHanging12a"/>
      </w:pPr>
      <w:r w:rsidRPr="00D615A8">
        <w:t>–</w:t>
      </w:r>
      <w:r w:rsidRPr="00D615A8">
        <w:tab/>
        <w:t>vista la proposta di regolamento del Parlamento europeo e del Consiglio che modifica i regolamenti (UE) 2017/745 e (UE) 2017/746 per quanto riguarda le disposizioni transitorie per determinati dispositivi medici e dispositivi medico-diagnostici in vitro presentata dalla Commissione (COM(2023)0010),</w:t>
      </w:r>
    </w:p>
    <w:p w:rsidR="00A90239" w:rsidRPr="00D615A8" w:rsidRDefault="00A90239" w:rsidP="00A90239">
      <w:pPr>
        <w:pStyle w:val="NormalHanging12a"/>
      </w:pPr>
      <w:r w:rsidRPr="00D615A8">
        <w:t>–</w:t>
      </w:r>
      <w:r w:rsidRPr="00D615A8">
        <w:tab/>
        <w:t>viste la relazione annuale 2023 dell'Agenzia europea per i medicinali e la sua analisi sull'accesso al mercato e le preoccupazioni per la sicurezza dei dispositivi medici,</w:t>
      </w:r>
    </w:p>
    <w:p w:rsidR="00A90239" w:rsidRPr="00D615A8" w:rsidRDefault="00A90239" w:rsidP="00A90239">
      <w:pPr>
        <w:pStyle w:val="NormalHanging12a"/>
      </w:pPr>
      <w:r w:rsidRPr="00D615A8">
        <w:t>–</w:t>
      </w:r>
      <w:r w:rsidRPr="00D615A8">
        <w:tab/>
        <w:t>visto l'articolo 136, paragrafi 2 e 4, del suo regolamento,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A.</w:t>
      </w:r>
      <w:r w:rsidRPr="00D615A8">
        <w:tab/>
        <w:t>considerando che i dispositivi medici e i dispositivi medico-diagnostici in vitro svolgono un ruolo cruciale nell'assistenza sanitaria di elevata qualità, incidendo direttamente sulla salute, la sicurezza e il benessere di milioni di pazienti in tutta l'UE;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B.</w:t>
      </w:r>
      <w:r w:rsidRPr="00D615A8">
        <w:tab/>
        <w:t>considerando che sul mercato dell'UE sono disponibili circa 500 000 dispositivi medici diversi che coprono un'ampia gamma di tecnologie, dalle lenti a contatto ai pacemaker, e hanno finalità diverse, tra cui la diagnosi, la prevenzione, il trattamento, la riabilitazione, nonché il miglioramento della qualità della vita dei pazienti e del lavoro degli operatori sanitari e dei prestatori di assistenza;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C.</w:t>
      </w:r>
      <w:r w:rsidRPr="00D615A8">
        <w:tab/>
        <w:t>considerando che, tra gli Stati membri, persistono disparità nell'accesso ai dispositivi medici, le quali incidono sull'assistenza ai pazienti e portano a diseguaglianze sanitarie; che tali disparità evidenziano la necessità di migliorare la disponibilità e l'accessibilità economica dei dispositivi essenziali;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D.</w:t>
      </w:r>
      <w:r w:rsidRPr="00D615A8">
        <w:tab/>
        <w:t>considerando che i regolamenti MDR e IVDR sono stati adottati per rafforzare il quadro normativo per i dispositivi medici e i dispositivi medico-diagnostici in vitro in risposta a diversi importanti scandali relativi ad attrezzature mediche non sicure, al fine di garantire standard più elevati di sicurezza, trasparenza e prestazione clinica e promuovendo al contempo l'innovazione nel settore;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E.</w:t>
      </w:r>
      <w:r w:rsidRPr="00D615A8">
        <w:tab/>
        <w:t>considerando che i regolamenti MDR e IVD hanno introdotto requisiti più rigorosi per le valutazioni cliniche, la sorveglianza post-commercializzazione e le segnalazioni in materia di vigilanza, promuovendo la trasparenza nei processi di approvazione e monitoraggio;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F.</w:t>
      </w:r>
      <w:r w:rsidRPr="00D615A8">
        <w:tab/>
        <w:t xml:space="preserve">considerando che, a dispetto di tali obiettivi, l'attuazione dell'MDR e dell'IVDR ha incontrato notevoli difficoltà, che oltre a comportare ritardi hanno impedito la certificazione e l'approvazione di dispositivi medici e dispositivi medico-diagnostici in vitro, con ripercussioni in particolare sulle piccole e medie imprese (PMI), e hanno provocato carenze di dispositivi medici e dispositivi medico-diagnostici in vitro, limitando così l'accesso dei pazienti a tecnologie terapeutiche e diagnostiche innovative </w:t>
      </w:r>
      <w:r w:rsidRPr="00D615A8">
        <w:lastRenderedPageBreak/>
        <w:t>e salvavita;</w:t>
      </w:r>
    </w:p>
    <w:p w:rsidR="00A90239" w:rsidRPr="00D615A8" w:rsidRDefault="00A90239" w:rsidP="00A90239">
      <w:pPr>
        <w:pStyle w:val="NormalHanging12a"/>
      </w:pPr>
      <w:r w:rsidRPr="00D615A8">
        <w:t>G.</w:t>
      </w:r>
      <w:r w:rsidRPr="00D615A8">
        <w:tab/>
        <w:t>considerando che molti portatori di interessi, in particolare i piccoli e medi produttori, gli organismi notificati e i prestatori di assistenza sanitaria hanno segnalato difficoltà nel seguire le complesse procedure normative stabilite dagli attuali regolamenti MDR e IVDR, con potenziali rischi per la continua disponibilità nell'UE di dispositivi medici salvavita e di test diagnostici in vitro essenziali;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H.</w:t>
      </w:r>
      <w:r w:rsidRPr="00D615A8">
        <w:tab/>
        <w:t>considerando che i periodi transitori per l'attuazione dei regolamenti MDR e IVD sono stati prorogati più volte per affrontare questioni quali la capacità degli organismi notificati e per concedere all'industria più tempo per adeguarsi alle nuove norme al fine di evitare che i dispositivi vengano ritirati dal mercato dell'UE;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I.</w:t>
      </w:r>
      <w:r w:rsidRPr="00D615A8">
        <w:tab/>
        <w:t>considerando che a causa, tra l'altro, dell'assenza di procedure armonizzate tra gli organismi notificati nell'UE, i fabbricanti possono trovarsi in alcuni casi a far fronte a tempistiche imprevedibili per la certificazione e l'accesso al mercato, il che crea una situazione di imprevedibilità, oltre che decisioni incoerenti e una mancanza di trasparenza in relazione al lavoro svolto dagli organismi notificati;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J.</w:t>
      </w:r>
      <w:r w:rsidRPr="00D615A8">
        <w:tab/>
        <w:t>considerando che è necessario che i quadri normativi tengano meglio conto dei dispositivi innovativi che rispondono alle esigenze mediche insoddisfatte e prevedano una migliore definizione delle priorità e procedure rapide;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K.</w:t>
      </w:r>
      <w:r w:rsidRPr="00D615A8">
        <w:tab/>
        <w:t>considerando che la Commissione ha avviato azioni non legislative per sostenere la transizione verso l'MDR e l'IVDR, concentrandosi in particolare sulla disponibilità di dispositivi medici sul mercato, sulla preparazione degli organismi notificati, sullo sviluppo di dispositivi orfani e a uso pediatrico, sul sostegno alle PMI e sulla soppressione dei corrispettivi per la consulenza scientifica nei settori critici in cui, nonostante dette misure, permangono problemi di natura finanziaria e amministrativa, in particolare nei settori dei dispositivi orfani e a uso pediatrico;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L.</w:t>
      </w:r>
      <w:r w:rsidRPr="00D615A8">
        <w:tab/>
        <w:t>considerando che i termini per l'attuazione dell'MDR e dell'IVDR sono stati prorogati più volte per aiutare l'industria ad adattarsi alle nuove normative, prevenire i ritiri dal mercato e garantire la fornitura continua di dispositivi; che tali proroghe sono state fondamentali per mantenere la protezione della salute pubblica durante la pandemia di COVID-19;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M.</w:t>
      </w:r>
      <w:r w:rsidRPr="00D615A8">
        <w:tab/>
        <w:t>considerando che, dall'adozione dei regolamenti MDR e IVD, la Commissione ha anche introdotto nuove disposizioni riguardanti la banca dati europea dei dispositivi medici (EUDAMED) e un sistema di notifica per le interruzioni del mercato o l'interruzione dell'approvvigionamento;</w:t>
      </w:r>
    </w:p>
    <w:p w:rsidR="00A90239" w:rsidRPr="00D615A8" w:rsidRDefault="00A90239" w:rsidP="00A90239">
      <w:pPr>
        <w:pStyle w:val="NormalHanging12a"/>
      </w:pPr>
      <w:r w:rsidRPr="00D615A8">
        <w:t>N.</w:t>
      </w:r>
      <w:r w:rsidRPr="00D615A8">
        <w:tab/>
        <w:t>considerando che è importante garantire che i pazienti e gli operatori sanitari abbiano accesso a tutti i documenti pertinenti e a tutte le decisioni adottate dagli organismi notificati;</w:t>
      </w:r>
    </w:p>
    <w:p w:rsidR="003E656E" w:rsidRPr="00D615A8" w:rsidRDefault="00D615A8" w:rsidP="00A90239">
      <w:pPr>
        <w:pStyle w:val="NormalHanging12a"/>
      </w:pPr>
      <w:r w:rsidRPr="00D615A8">
        <w:t>O</w:t>
      </w:r>
      <w:r w:rsidR="003E656E" w:rsidRPr="00D615A8">
        <w:t>.</w:t>
      </w:r>
      <w:r w:rsidR="003E656E" w:rsidRPr="00D615A8">
        <w:tab/>
        <w:t xml:space="preserve">considerando che il quadro normativo innovativo relativo ai dispositivi medici a base di sostanze, introdotto dall'MDR, mira a incoraggiare lo sviluppo di terapie che agiscono con mezzi non farmacologici, non immunologici e non metabolici; che le linee guida e le decisioni emanate dalle autorità nazionali fissano limiti che classificano i prodotti che rientrano nell'ambito di applicazione dell'MDR in altre categorie normative, il che è </w:t>
      </w:r>
      <w:r w:rsidR="003E656E" w:rsidRPr="00D615A8">
        <w:lastRenderedPageBreak/>
        <w:t>contrario all'obiettivo del legislatore dell'UE di promuovere l'innovazione terapeutica;</w:t>
      </w:r>
    </w:p>
    <w:p w:rsidR="003E656E" w:rsidRPr="00D615A8" w:rsidRDefault="00D615A8" w:rsidP="00A90239">
      <w:pPr>
        <w:pStyle w:val="NormalHanging12a"/>
        <w:rPr>
          <w:rFonts w:eastAsiaTheme="minorHAnsi"/>
        </w:rPr>
      </w:pPr>
      <w:r w:rsidRPr="00D615A8">
        <w:rPr>
          <w:rFonts w:eastAsiaTheme="minorHAnsi"/>
        </w:rPr>
        <w:t>P</w:t>
      </w:r>
      <w:r w:rsidR="003E656E" w:rsidRPr="00D615A8">
        <w:rPr>
          <w:rFonts w:eastAsiaTheme="minorHAnsi"/>
        </w:rPr>
        <w:t>.</w:t>
      </w:r>
      <w:r w:rsidR="003E656E" w:rsidRPr="00D615A8">
        <w:rPr>
          <w:rFonts w:eastAsiaTheme="minorHAnsi"/>
        </w:rPr>
        <w:tab/>
        <w:t>considerando che le applicazioni di sanità elettronica la cui finalità corrisponde alla definizione di dispositivi medici non sono attualmente certificate e possono pertanto mettere a repentaglio i dati sanitari degli utenti;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1.</w:t>
      </w:r>
      <w:r w:rsidRPr="00D615A8">
        <w:tab/>
        <w:t>invita la Commissione a proporre, entro la fine del primo trimestre del 2025, atti delegati e di esecuzione all'MDR e all'IVDR per affrontare le sfide e le strozzature più urgenti nell'attuazione dei quadri legislativi e a proporre la revisione sistematica di tutti gli articoli pertinenti di tali regolamenti, accompagnata da una valutazione d'impatto, da condurre quanto prima;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2.</w:t>
      </w:r>
      <w:r w:rsidRPr="00D615A8">
        <w:tab/>
        <w:t>invita la Commissione a sfruttare appieno gli strumenti legislativi e non legislativi per risolvere questioni di interpretazione divergente e di applicazione pratica per semplificare il processo di regolamentazione, migliorare la trasparenza ed eliminare le pratiche amministrative inutili a carico degli organismi notificati e dei fabbricanti, in particolare le PMI, senza compromettere la sicurezza dei pazienti;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3.</w:t>
      </w:r>
      <w:r w:rsidRPr="00D615A8">
        <w:tab/>
        <w:t>deplora il rischio di carenze di dispositivi medici e la mancanza di accesso a determinati dispositivi medici e dispositivi medico-diagnostici in vitro in alcune parti dell'UE; sottolinea che l'accessibilità e la qualità dell'assistenza sanitaria, compresi i dispositivi medici e i dispositivi medico-diagnostici in vitro, non dovrebbero dipendere dal luogo in cui si trova un paziente nell'UE;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4.</w:t>
      </w:r>
      <w:r w:rsidRPr="00D615A8">
        <w:tab/>
        <w:t>incoraggia gli organismi notificati a garantire che vi siano risorse sufficienti per soddisfare tempestivamente la domanda del mercato; invita, a tale proposito, la Commissione e gli Stati membri a rafforzare il sostegno e la cooperazione per garantire che gli organismi notificati dispongano delle capacità e dei mezzi ottimali per attuare pienamente il quadro normativo;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5.</w:t>
      </w:r>
      <w:r w:rsidRPr="00D615A8">
        <w:tab/>
        <w:t>sostiene l'introduzione di calendari trasparenti e vincolanti che prevedano sospensioni dei termini per le fasi procedurali della valutazione di conformità da parte degli organismi notificati, in modo da creare certezza giuridica per i fabbricanti in merito alla procedura di accesso al mercato e alla sua durata all'interno dell'UE;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6.</w:t>
      </w:r>
      <w:r w:rsidRPr="00D615A8">
        <w:tab/>
        <w:t>chiede che le tariffe e le strutture tariffarie degli organismi notificati siano trasparenti per consentire agli operatori economici di confrontare gli organismi notificati e compiere scelte informate, in modo da garantire che le tariffe continuino a essere un equo compenso per il servizio pubblico fornito;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7.</w:t>
      </w:r>
      <w:r w:rsidRPr="00D615A8">
        <w:tab/>
        <w:t>sottolinea la necessità di eliminare l'inutile ricertificazione dei prodotti e sottolinea che alcuni aggiornamenti o adeguamenti dei prodotti non dovrebbero necessariamente portare a una ricertificazione completa del prodotto; sottolinea la necessità di armonizzare tali disposizioni e garantire la coerenza in tutta l'UE; chiede la cooperazione tra le autorità competenti e gli organi consultivi responsabili di altri quadri normativi e sottolinea la necessità di una classificazione corretta e coerente dei prodotti;</w:t>
      </w:r>
    </w:p>
    <w:p w:rsidR="00A90239" w:rsidRPr="00D615A8" w:rsidRDefault="00A90239" w:rsidP="00A90239">
      <w:pPr>
        <w:pStyle w:val="NormalHanging12a"/>
      </w:pPr>
      <w:r w:rsidRPr="00D615A8">
        <w:t>8.</w:t>
      </w:r>
      <w:r w:rsidRPr="00D615A8">
        <w:tab/>
        <w:t>invita vivamente la Commissione a prendere in considerazione procedure rapide e prioritarie per l'approvazione di tecnologie innovative nei settori in cui le esigenze mediche non sono soddisfatte e per i dispositivi connessi alle emergenze sanitarie;</w:t>
      </w:r>
    </w:p>
    <w:p w:rsidR="003E656E" w:rsidRPr="00D615A8" w:rsidRDefault="00D615A8" w:rsidP="00A90239">
      <w:pPr>
        <w:pStyle w:val="NormalHanging12a"/>
        <w:rPr>
          <w:rFonts w:eastAsiaTheme="minorHAnsi"/>
        </w:rPr>
      </w:pPr>
      <w:r w:rsidRPr="00D615A8">
        <w:t>9</w:t>
      </w:r>
      <w:r w:rsidR="00E67515">
        <w:t>.</w:t>
      </w:r>
      <w:bookmarkStart w:id="7" w:name="_GoBack"/>
      <w:bookmarkEnd w:id="7"/>
      <w:r w:rsidR="003E656E" w:rsidRPr="00D615A8">
        <w:tab/>
        <w:t xml:space="preserve">sottolinea la necessità di proteggere i dati sanitari raccolti dalle applicazioni di sanità </w:t>
      </w:r>
      <w:r w:rsidR="003E656E" w:rsidRPr="00D615A8">
        <w:lastRenderedPageBreak/>
        <w:t>elettronica includendo espressamente tali applicazioni nell'ambito di applicazione dell'MDR riveduto e stabilendo disposizioni adeguate al riguardo;</w:t>
      </w:r>
    </w:p>
    <w:p w:rsidR="00A90239" w:rsidRPr="00D615A8" w:rsidRDefault="00D615A8" w:rsidP="00A90239">
      <w:pPr>
        <w:pStyle w:val="NormalHanging12a"/>
        <w:rPr>
          <w:rFonts w:eastAsiaTheme="minorHAnsi"/>
        </w:rPr>
      </w:pPr>
      <w:r w:rsidRPr="00D615A8">
        <w:t>10</w:t>
      </w:r>
      <w:r w:rsidR="00A90239" w:rsidRPr="00D615A8">
        <w:t>.</w:t>
      </w:r>
      <w:r w:rsidR="00A90239" w:rsidRPr="00D615A8">
        <w:tab/>
        <w:t>sottolinea la necessità di stabilire una chiara definizione operativa di "dispositivo orfano", come stabilito dal gruppo di coordinamento per i dispositivi medici nell'MDR e nell'IVDR, al fine di facilitare l'adozione di misure armonizzate in tutta l'UE; chiede inoltre un sistema solido per impedire l'uso indebito attraverso una "orfanizzazione" artificiale dei dispositivi;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1</w:t>
      </w:r>
      <w:r w:rsidR="00D615A8" w:rsidRPr="00D615A8">
        <w:t>1</w:t>
      </w:r>
      <w:r w:rsidRPr="00D615A8">
        <w:t>.</w:t>
      </w:r>
      <w:r w:rsidRPr="00D615A8">
        <w:tab/>
        <w:t xml:space="preserve"> chiede l'introduzione di norme adattate per i dispositivi medici orfani e a uso pediatrico senza compromettere la sicurezza dei pazienti e sottolinea la necessità di procedure di valutazione della conformità più efficienti, adattate ai dispositivi medici e ai dispositivi medico-diagnostici in vitro destinati a mercati relativamente piccoli, come i prodotti per la cura dei bambini o delle malattie rare;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1</w:t>
      </w:r>
      <w:r w:rsidR="00D615A8" w:rsidRPr="00D615A8">
        <w:t>2</w:t>
      </w:r>
      <w:r w:rsidRPr="00D615A8">
        <w:t>.</w:t>
      </w:r>
      <w:r w:rsidRPr="00D615A8">
        <w:tab/>
        <w:t>invita la Commissione ad agevolare la raccolta di dati clinici dai registri nazionali esistenti per i piccoli gruppi di pazienti trattati o diagnosticati con dispositivi orfani e a uso pediatrico, nel rispetto della protezione dei dati personali; riconosce le sfide cui devono far fronte varie PMI nell'adattarsi ai quadri giuridici; invita gli Stati membri e la Commissione a elaborare misure specifiche a sostegno delle PMI, tra cui la fornitura di modelli di documenti e moduli di domanda, orientamenti normativi e altre forme di assistenza per ridurre i costi e la complessità dei quadri normativi;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1</w:t>
      </w:r>
      <w:r w:rsidR="00D615A8" w:rsidRPr="00D615A8">
        <w:t>3</w:t>
      </w:r>
      <w:r w:rsidRPr="00D615A8">
        <w:t>.</w:t>
      </w:r>
      <w:r w:rsidRPr="00D615A8">
        <w:tab/>
        <w:t>invita la Commissione a monitorare costantemente la disponibilità di dispositivi, in particolare gli ultimi esemplari di taluni tipi di dispositivi, e ad adottare misure adeguate affinché restino disponibili sul mercato dell'UE; chiede, a tale proposito, un'attuazione piena e urgente di EUDAMED, che consentirà di trattare le informazioni sui dispositivi medici e sui fabbricanti per migliorare la trasparenza, fornire un migliore accesso alle informazioni per il pubblico e gli operatori sanitari e rafforzare il coordinamento tra gli Stati membri;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1</w:t>
      </w:r>
      <w:r w:rsidR="00D615A8" w:rsidRPr="00D615A8">
        <w:t>4</w:t>
      </w:r>
      <w:r w:rsidRPr="00D615A8">
        <w:t>.</w:t>
      </w:r>
      <w:r w:rsidRPr="00D615A8">
        <w:tab/>
        <w:t>sottolinea che qualsiasi nuova normativa o modifica delle norme esistenti deve prevedere un adeguato periodo di transizione onde assicurare che tutte le parti interessate dispongano di tempo sufficiente per adeguarsi ai cambiamenti;</w:t>
      </w:r>
    </w:p>
    <w:p w:rsidR="00A90239" w:rsidRPr="00D615A8" w:rsidRDefault="00A90239" w:rsidP="00A90239">
      <w:pPr>
        <w:pStyle w:val="NormalHanging12a"/>
        <w:rPr>
          <w:rFonts w:eastAsiaTheme="minorHAnsi"/>
        </w:rPr>
      </w:pPr>
      <w:r w:rsidRPr="00D615A8">
        <w:t>1</w:t>
      </w:r>
      <w:r w:rsidR="00D615A8" w:rsidRPr="00D615A8">
        <w:t>5</w:t>
      </w:r>
      <w:r w:rsidRPr="00D615A8">
        <w:t>.</w:t>
      </w:r>
      <w:r w:rsidRPr="00D615A8">
        <w:tab/>
        <w:t>incarica la sua Presidente di trasmettere la presente risoluzione al Consiglio e alla Commissione nonché ai governi e ai parlamenti degli Stati membri.</w:t>
      </w:r>
    </w:p>
    <w:p w:rsidR="00E365E1" w:rsidRPr="00D615A8" w:rsidRDefault="00E365E1" w:rsidP="00F300A7">
      <w:bookmarkStart w:id="8" w:name="TextBodyEnd"/>
      <w:bookmarkEnd w:id="8"/>
    </w:p>
    <w:sectPr w:rsidR="00E365E1" w:rsidRPr="00D615A8" w:rsidSect="002312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A7" w:rsidRPr="0023128D" w:rsidRDefault="00F300A7">
      <w:r w:rsidRPr="0023128D">
        <w:separator/>
      </w:r>
    </w:p>
  </w:endnote>
  <w:endnote w:type="continuationSeparator" w:id="0">
    <w:p w:rsidR="00F300A7" w:rsidRPr="0023128D" w:rsidRDefault="00F300A7">
      <w:r w:rsidRPr="002312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2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2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2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A7" w:rsidRPr="0023128D" w:rsidRDefault="00F300A7">
      <w:r w:rsidRPr="0023128D">
        <w:separator/>
      </w:r>
    </w:p>
  </w:footnote>
  <w:footnote w:type="continuationSeparator" w:id="0">
    <w:p w:rsidR="00F300A7" w:rsidRPr="0023128D" w:rsidRDefault="00F300A7">
      <w:r w:rsidRPr="0023128D">
        <w:continuationSeparator/>
      </w:r>
    </w:p>
  </w:footnote>
  <w:footnote w:id="1">
    <w:p w:rsidR="00A90239" w:rsidRPr="00D615A8" w:rsidRDefault="00A90239" w:rsidP="0023128D">
      <w:pPr>
        <w:pStyle w:val="FootnoteText"/>
        <w:ind w:left="567" w:hanging="567"/>
        <w:rPr>
          <w:sz w:val="24"/>
          <w:lang w:val="fi-FI"/>
        </w:rPr>
      </w:pPr>
      <w:r w:rsidRPr="0023128D">
        <w:rPr>
          <w:rStyle w:val="FootnoteReference"/>
          <w:sz w:val="24"/>
          <w:lang w:val="it-IT"/>
        </w:rPr>
        <w:footnoteRef/>
      </w:r>
      <w:r w:rsidR="0023128D" w:rsidRPr="00D615A8">
        <w:rPr>
          <w:sz w:val="24"/>
          <w:lang w:val="fi-FI"/>
        </w:rPr>
        <w:t xml:space="preserve"> </w:t>
      </w:r>
      <w:r w:rsidR="0023128D" w:rsidRPr="00D615A8">
        <w:rPr>
          <w:sz w:val="24"/>
          <w:lang w:val="fi-FI"/>
        </w:rPr>
        <w:tab/>
      </w:r>
      <w:r w:rsidR="00776BF7">
        <w:rPr>
          <w:sz w:val="24"/>
          <w:lang w:val="fi-FI"/>
        </w:rPr>
        <w:t>GU L 117 del</w:t>
      </w:r>
      <w:r w:rsidRPr="00D615A8">
        <w:rPr>
          <w:sz w:val="24"/>
          <w:lang w:val="fi-FI"/>
        </w:rPr>
        <w:t xml:space="preserve"> 5.5.2017, pag. 1, ELI: </w:t>
      </w:r>
      <w:hyperlink r:id="rId1" w:history="1">
        <w:r w:rsidRPr="00D615A8">
          <w:rPr>
            <w:rStyle w:val="Hyperlink"/>
            <w:sz w:val="24"/>
            <w:lang w:val="fi-FI"/>
          </w:rPr>
          <w:t>https://eur-lex.europa.eu/eli/reg/2017/745/oj</w:t>
        </w:r>
      </w:hyperlink>
      <w:r w:rsidRPr="00D615A8">
        <w:rPr>
          <w:sz w:val="24"/>
          <w:lang w:val="fi-FI"/>
        </w:rPr>
        <w:t>.</w:t>
      </w:r>
    </w:p>
  </w:footnote>
  <w:footnote w:id="2">
    <w:p w:rsidR="00A90239" w:rsidRPr="00D615A8" w:rsidRDefault="00A90239" w:rsidP="0023128D">
      <w:pPr>
        <w:pStyle w:val="FootnoteText"/>
        <w:ind w:left="567" w:hanging="567"/>
        <w:rPr>
          <w:sz w:val="24"/>
          <w:lang w:val="fi-FI"/>
        </w:rPr>
      </w:pPr>
      <w:r w:rsidRPr="0023128D">
        <w:rPr>
          <w:rStyle w:val="FootnoteReference"/>
          <w:sz w:val="24"/>
          <w:lang w:val="it-IT"/>
        </w:rPr>
        <w:footnoteRef/>
      </w:r>
      <w:r w:rsidR="0023128D" w:rsidRPr="00D615A8">
        <w:rPr>
          <w:sz w:val="24"/>
          <w:lang w:val="fi-FI"/>
        </w:rPr>
        <w:t xml:space="preserve"> </w:t>
      </w:r>
      <w:r w:rsidR="0023128D" w:rsidRPr="00D615A8">
        <w:rPr>
          <w:sz w:val="24"/>
          <w:lang w:val="fi-FI"/>
        </w:rPr>
        <w:tab/>
      </w:r>
      <w:r w:rsidR="00776BF7">
        <w:rPr>
          <w:sz w:val="24"/>
          <w:lang w:val="fi-FI"/>
        </w:rPr>
        <w:t>GU L 117 del</w:t>
      </w:r>
      <w:r w:rsidRPr="00D615A8">
        <w:rPr>
          <w:sz w:val="24"/>
          <w:lang w:val="fi-FI"/>
        </w:rPr>
        <w:t xml:space="preserve"> 5.5.2017, pag. 176, ELI: </w:t>
      </w:r>
      <w:hyperlink r:id="rId2" w:history="1">
        <w:r w:rsidRPr="00D615A8">
          <w:rPr>
            <w:rStyle w:val="Hyperlink"/>
            <w:sz w:val="24"/>
            <w:lang w:val="fi-FI"/>
          </w:rPr>
          <w:t>https://eur-lex.europa.eu/eli/reg/2017/746/oj</w:t>
        </w:r>
      </w:hyperlink>
      <w:r w:rsidRPr="00D615A8">
        <w:rPr>
          <w:sz w:val="24"/>
          <w:lang w:val="fi-FI"/>
        </w:rPr>
        <w:t>.</w:t>
      </w:r>
    </w:p>
  </w:footnote>
  <w:footnote w:id="3">
    <w:p w:rsidR="00A90239" w:rsidRPr="00D615A8" w:rsidRDefault="00A90239" w:rsidP="0023128D">
      <w:pPr>
        <w:pStyle w:val="FootnoteText"/>
        <w:ind w:left="567" w:hanging="567"/>
        <w:rPr>
          <w:sz w:val="24"/>
          <w:lang w:val="fi-FI"/>
        </w:rPr>
      </w:pPr>
      <w:r w:rsidRPr="0023128D">
        <w:rPr>
          <w:rStyle w:val="FootnoteReference"/>
          <w:sz w:val="24"/>
          <w:lang w:val="it-IT"/>
        </w:rPr>
        <w:footnoteRef/>
      </w:r>
      <w:r w:rsidR="0023128D" w:rsidRPr="00D615A8">
        <w:rPr>
          <w:sz w:val="24"/>
          <w:lang w:val="fi-FI"/>
        </w:rPr>
        <w:t xml:space="preserve"> </w:t>
      </w:r>
      <w:r w:rsidR="0023128D" w:rsidRPr="00D615A8">
        <w:rPr>
          <w:sz w:val="24"/>
          <w:lang w:val="fi-FI"/>
        </w:rPr>
        <w:tab/>
      </w:r>
      <w:r w:rsidRPr="00D615A8">
        <w:rPr>
          <w:sz w:val="24"/>
          <w:lang w:val="fi-FI"/>
        </w:rPr>
        <w:t>GU L 80</w:t>
      </w:r>
      <w:r w:rsidR="00776BF7">
        <w:rPr>
          <w:sz w:val="24"/>
          <w:lang w:val="fi-FI"/>
        </w:rPr>
        <w:t xml:space="preserve"> del</w:t>
      </w:r>
      <w:r w:rsidRPr="00D615A8">
        <w:rPr>
          <w:sz w:val="24"/>
          <w:lang w:val="fi-FI"/>
        </w:rPr>
        <w:t xml:space="preserve"> 20.3.2023, pag. 24, ELI: </w:t>
      </w:r>
      <w:hyperlink r:id="rId3" w:history="1">
        <w:r w:rsidRPr="00D615A8">
          <w:rPr>
            <w:rStyle w:val="Hyperlink"/>
            <w:sz w:val="24"/>
            <w:lang w:val="fi-FI"/>
          </w:rPr>
          <w:t>https://eur-lex.europa.eu/eli/reg/2023/607/oj</w:t>
        </w:r>
      </w:hyperlink>
      <w:r w:rsidRPr="00D615A8">
        <w:rPr>
          <w:sz w:val="24"/>
          <w:lang w:val="fi-FI"/>
        </w:rPr>
        <w:t>.</w:t>
      </w:r>
    </w:p>
  </w:footnote>
  <w:footnote w:id="4">
    <w:p w:rsidR="00A90239" w:rsidRPr="0023128D" w:rsidRDefault="00A90239" w:rsidP="0023128D">
      <w:pPr>
        <w:pStyle w:val="FootnoteText"/>
        <w:ind w:left="567" w:hanging="567"/>
        <w:rPr>
          <w:sz w:val="24"/>
          <w:lang w:val="it-IT"/>
        </w:rPr>
      </w:pPr>
      <w:r w:rsidRPr="0023128D">
        <w:rPr>
          <w:rStyle w:val="FootnoteReference"/>
          <w:sz w:val="24"/>
          <w:lang w:val="it-IT"/>
        </w:rPr>
        <w:footnoteRef/>
      </w:r>
      <w:r w:rsidR="0023128D" w:rsidRPr="0023128D">
        <w:rPr>
          <w:sz w:val="24"/>
          <w:lang w:val="it-IT"/>
        </w:rPr>
        <w:t xml:space="preserve"> </w:t>
      </w:r>
      <w:r w:rsidR="0023128D" w:rsidRPr="0023128D">
        <w:rPr>
          <w:sz w:val="24"/>
          <w:lang w:val="it-IT"/>
        </w:rPr>
        <w:tab/>
      </w:r>
      <w:r w:rsidRPr="0023128D">
        <w:rPr>
          <w:sz w:val="24"/>
          <w:lang w:val="it-IT"/>
        </w:rPr>
        <w:t>Regolamento (UE) 2020/561 del Parlamento europeo e del Consiglio, del 23 aprile 2020, che modifica il regolamento (UE) 2017/745 relativo ai dispositivi medici, per quanto riguarda le date di applicazione di alcune delle sue disposizioni (GU L 130</w:t>
      </w:r>
      <w:r w:rsidR="00E67515">
        <w:rPr>
          <w:sz w:val="24"/>
          <w:lang w:val="it-IT"/>
        </w:rPr>
        <w:t xml:space="preserve"> del </w:t>
      </w:r>
      <w:r w:rsidRPr="0023128D">
        <w:rPr>
          <w:sz w:val="24"/>
          <w:lang w:val="it-IT"/>
        </w:rPr>
        <w:t xml:space="preserve">24.4.2020, pag. 18, ELI: </w:t>
      </w:r>
      <w:hyperlink r:id="rId4" w:history="1">
        <w:r w:rsidRPr="0023128D">
          <w:rPr>
            <w:rStyle w:val="Hyperlink"/>
            <w:sz w:val="24"/>
            <w:lang w:val="it-IT"/>
          </w:rPr>
          <w:t>https://eur-lex.europa.eu/eli/reg/2020/561/oj</w:t>
        </w:r>
      </w:hyperlink>
      <w:r w:rsidRPr="0023128D">
        <w:rPr>
          <w:sz w:val="24"/>
          <w:lang w:val="it-IT"/>
        </w:rPr>
        <w:t>).</w:t>
      </w:r>
    </w:p>
  </w:footnote>
  <w:footnote w:id="5">
    <w:p w:rsidR="00A90239" w:rsidRPr="0023128D" w:rsidRDefault="00A90239" w:rsidP="0023128D">
      <w:pPr>
        <w:pStyle w:val="FootnoteText"/>
        <w:ind w:left="567" w:hanging="567"/>
        <w:rPr>
          <w:sz w:val="24"/>
          <w:lang w:val="it-IT"/>
        </w:rPr>
      </w:pPr>
      <w:r w:rsidRPr="0023128D">
        <w:rPr>
          <w:rStyle w:val="FootnoteReference"/>
          <w:sz w:val="24"/>
          <w:lang w:val="it-IT"/>
        </w:rPr>
        <w:footnoteRef/>
      </w:r>
      <w:r w:rsidR="0023128D" w:rsidRPr="0023128D">
        <w:rPr>
          <w:sz w:val="24"/>
          <w:lang w:val="it-IT"/>
        </w:rPr>
        <w:t xml:space="preserve"> </w:t>
      </w:r>
      <w:r w:rsidR="0023128D" w:rsidRPr="0023128D">
        <w:rPr>
          <w:sz w:val="24"/>
          <w:lang w:val="it-IT"/>
        </w:rPr>
        <w:tab/>
      </w:r>
      <w:r w:rsidRPr="0023128D">
        <w:rPr>
          <w:sz w:val="24"/>
          <w:lang w:val="it-IT"/>
        </w:rPr>
        <w:t>Regolamento (UE) 2022/112 del Parlamento europeo e del Consiglio, del 25 gennaio 2022, che modifica il regolamento (UE) 2017/746 per quanto riguarda le disposizioni transitorie per determinati dispositivi medico-diagnostici in vitro e l'applicazione differita delle condizioni concernenti i dispositivi fabbricati internamente (GU L 19</w:t>
      </w:r>
      <w:r w:rsidR="00E67515">
        <w:rPr>
          <w:sz w:val="24"/>
          <w:lang w:val="it-IT"/>
        </w:rPr>
        <w:t xml:space="preserve"> del</w:t>
      </w:r>
      <w:r w:rsidRPr="0023128D">
        <w:rPr>
          <w:sz w:val="24"/>
          <w:lang w:val="it-IT"/>
        </w:rPr>
        <w:t xml:space="preserve"> 28.1.2022, pag. 3, ELI: </w:t>
      </w:r>
      <w:hyperlink r:id="rId5" w:history="1">
        <w:r w:rsidRPr="0023128D">
          <w:rPr>
            <w:rStyle w:val="Hyperlink"/>
            <w:sz w:val="24"/>
            <w:lang w:val="it-IT"/>
          </w:rPr>
          <w:t>https://eur-lex.europa.eu/eli/reg/2022/112/oj</w:t>
        </w:r>
      </w:hyperlink>
      <w:r w:rsidRPr="0023128D">
        <w:rPr>
          <w:sz w:val="24"/>
          <w:lang w:val="it-IT"/>
        </w:rPr>
        <w:t>).</w:t>
      </w:r>
    </w:p>
  </w:footnote>
  <w:footnote w:id="6">
    <w:p w:rsidR="00A90239" w:rsidRPr="0023128D" w:rsidRDefault="00A90239" w:rsidP="0023128D">
      <w:pPr>
        <w:pStyle w:val="FootnoteText"/>
        <w:ind w:left="567" w:hanging="567"/>
        <w:rPr>
          <w:sz w:val="24"/>
          <w:lang w:val="it-IT"/>
        </w:rPr>
      </w:pPr>
      <w:r w:rsidRPr="0023128D">
        <w:rPr>
          <w:rStyle w:val="FootnoteReference"/>
          <w:sz w:val="24"/>
          <w:lang w:val="it-IT"/>
        </w:rPr>
        <w:footnoteRef/>
      </w:r>
      <w:r w:rsidR="0023128D" w:rsidRPr="0023128D">
        <w:rPr>
          <w:sz w:val="24"/>
          <w:lang w:val="it-IT"/>
        </w:rPr>
        <w:t xml:space="preserve"> </w:t>
      </w:r>
      <w:r w:rsidR="0023128D" w:rsidRPr="0023128D">
        <w:rPr>
          <w:sz w:val="24"/>
          <w:lang w:val="it-IT"/>
        </w:rPr>
        <w:tab/>
      </w:r>
      <w:r w:rsidRPr="0023128D">
        <w:rPr>
          <w:sz w:val="24"/>
          <w:lang w:val="it-IT"/>
        </w:rPr>
        <w:t>Regolamento (UE) 2024/1860 del Parlamento europeo e del Consiglio, del 13 giugno 2024, che modifica i regolamenti (UE) 2017/745 e (UE) 2017/746 per quanto riguarda l'introduzione graduale di Eudamed, l'obbligo di informazione in caso di interruzione o di cessazione della fornitura e le disposizioni transitorie per determinati dispositivi medico-diagnostici in vitro (GU L</w:t>
      </w:r>
      <w:r w:rsidR="00E67515">
        <w:rPr>
          <w:sz w:val="24"/>
          <w:lang w:val="it-IT"/>
        </w:rPr>
        <w:t xml:space="preserve"> 2024/1860 del</w:t>
      </w:r>
      <w:r w:rsidRPr="0023128D">
        <w:rPr>
          <w:sz w:val="24"/>
          <w:lang w:val="it-IT"/>
        </w:rPr>
        <w:t xml:space="preserve"> 9.7.2024, ELI: </w:t>
      </w:r>
      <w:hyperlink r:id="rId6" w:history="1">
        <w:r w:rsidRPr="0023128D">
          <w:rPr>
            <w:rStyle w:val="Hyperlink"/>
            <w:sz w:val="24"/>
            <w:lang w:val="it-IT"/>
          </w:rPr>
          <w:t>https://eur-lex.europa.eu/eli/reg/2024/1860/oj</w:t>
        </w:r>
      </w:hyperlink>
      <w:r w:rsidRPr="0023128D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2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2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2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/2024"/>
    <w:docVar w:name="dvlangue" w:val="IT"/>
    <w:docVar w:name="dvnumam" w:val="0"/>
    <w:docVar w:name="dvpe" w:val="764.132"/>
    <w:docVar w:name="dvtitre" w:val="Risoluzione del Parlamento europeo del 23 ottobre 2024 sulla necessità urgente di rivedere il regolamento sui dispositivi medici(2024/2849(RSP))"/>
  </w:docVars>
  <w:rsids>
    <w:rsidRoot w:val="00F300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28D"/>
    <w:rsid w:val="002767FF"/>
    <w:rsid w:val="002B18FE"/>
    <w:rsid w:val="002B5493"/>
    <w:rsid w:val="00343214"/>
    <w:rsid w:val="00347DFE"/>
    <w:rsid w:val="00361C00"/>
    <w:rsid w:val="00395FA1"/>
    <w:rsid w:val="003E15D4"/>
    <w:rsid w:val="003E656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BF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23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5A8"/>
    <w:rsid w:val="00D834A0"/>
    <w:rsid w:val="00D872DF"/>
    <w:rsid w:val="00D91E21"/>
    <w:rsid w:val="00DA7FCD"/>
    <w:rsid w:val="00E365E1"/>
    <w:rsid w:val="00E67515"/>
    <w:rsid w:val="00E820A4"/>
    <w:rsid w:val="00EB006A"/>
    <w:rsid w:val="00EB4772"/>
    <w:rsid w:val="00ED169E"/>
    <w:rsid w:val="00ED4235"/>
    <w:rsid w:val="00F04346"/>
    <w:rsid w:val="00F075DC"/>
    <w:rsid w:val="00F149E9"/>
    <w:rsid w:val="00F300A7"/>
    <w:rsid w:val="00F5134D"/>
    <w:rsid w:val="00F74202"/>
    <w:rsid w:val="00F87713"/>
    <w:rsid w:val="00F9648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50E8A"/>
  <w15:chartTrackingRefBased/>
  <w15:docId w15:val="{E1738224-E8F5-4113-8DFB-037CCAB6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9023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9023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90239"/>
    <w:rPr>
      <w:sz w:val="24"/>
      <w:lang w:val="it-IT"/>
    </w:rPr>
  </w:style>
  <w:style w:type="character" w:styleId="Hyperlink">
    <w:name w:val="Hyperlink"/>
    <w:basedOn w:val="DefaultParagraphFont"/>
    <w:unhideWhenUsed/>
    <w:rsid w:val="00A902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648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3/607/oj" TargetMode="External"/><Relationship Id="rId2" Type="http://schemas.openxmlformats.org/officeDocument/2006/relationships/hyperlink" Target="https://eur-lex.europa.eu/eli/reg/2017/746/oj" TargetMode="External"/><Relationship Id="rId1" Type="http://schemas.openxmlformats.org/officeDocument/2006/relationships/hyperlink" Target="https://eur-lex.europa.eu/eli/reg/2017/745/oj" TargetMode="External"/><Relationship Id="rId6" Type="http://schemas.openxmlformats.org/officeDocument/2006/relationships/hyperlink" Target="https://eur-lex.europa.eu/eli/reg/2024/1860/oj" TargetMode="External"/><Relationship Id="rId5" Type="http://schemas.openxmlformats.org/officeDocument/2006/relationships/hyperlink" Target="https://eur-lex.europa.eu/eli/reg/2022/112/oj" TargetMode="External"/><Relationship Id="rId4" Type="http://schemas.openxmlformats.org/officeDocument/2006/relationships/hyperlink" Target="https://eur-lex.europa.eu/eli/reg/2020/5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2CDEA-F1BD-4362-8BCC-C8023BFB1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1886</Words>
  <Characters>11522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anonimo</cp:lastModifiedBy>
  <cp:revision>2</cp:revision>
  <cp:lastPrinted>2004-11-19T15:42:00Z</cp:lastPrinted>
  <dcterms:created xsi:type="dcterms:W3CDTF">2024-11-13T09:03:00Z</dcterms:created>
  <dcterms:modified xsi:type="dcterms:W3CDTF">2024-11-13T09:03:00Z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B10-0123/2024</vt:lpwstr>
  </property>
  <property fmtid="{D5CDD505-2E9C-101B-9397-08002B2CF9AE}" pid="4" name="&lt;Type&gt;">
    <vt:lpwstr>RR</vt:lpwstr>
  </property>
</Properties>
</file>