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52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5242" w:rsidRDefault="009271EC" w:rsidP="0010095E">
            <w:pPr>
              <w:pStyle w:val="EPName"/>
            </w:pPr>
            <w:r w:rsidRPr="006E5242">
              <w:t>Parlament Europejski</w:t>
            </w:r>
          </w:p>
          <w:p w:rsidR="00751A4A" w:rsidRPr="006E52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5242">
              <w:t>2024</w:t>
            </w:r>
            <w:r w:rsidR="00817416" w:rsidRPr="006E5242">
              <w:t>-202</w:t>
            </w:r>
            <w:r w:rsidRPr="006E52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E5242" w:rsidRDefault="00187494" w:rsidP="0010095E">
            <w:pPr>
              <w:pStyle w:val="EPLogo"/>
            </w:pPr>
            <w:r w:rsidRPr="006E5242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5242" w:rsidRDefault="00D058B8" w:rsidP="004C5D52">
      <w:pPr>
        <w:pStyle w:val="LineTop"/>
      </w:pPr>
    </w:p>
    <w:p w:rsidR="00680577" w:rsidRPr="006E5242" w:rsidRDefault="009271EC" w:rsidP="00680577">
      <w:pPr>
        <w:pStyle w:val="EPBodyTA1"/>
      </w:pPr>
      <w:r w:rsidRPr="006E5242">
        <w:t>TEKSTY PRZYJĘTE</w:t>
      </w:r>
    </w:p>
    <w:p w:rsidR="00D058B8" w:rsidRPr="006E5242" w:rsidRDefault="00D058B8" w:rsidP="00D058B8">
      <w:pPr>
        <w:pStyle w:val="LineBottom"/>
      </w:pPr>
    </w:p>
    <w:p w:rsidR="009271EC" w:rsidRPr="006E5242" w:rsidRDefault="009271EC" w:rsidP="009271EC">
      <w:pPr>
        <w:pStyle w:val="ATHeading1"/>
      </w:pPr>
      <w:bookmarkStart w:id="0" w:name="TANumber"/>
      <w:r w:rsidRPr="006E5242">
        <w:t>P10_TA(2024)00</w:t>
      </w:r>
      <w:bookmarkEnd w:id="0"/>
      <w:r w:rsidR="00B77DB5">
        <w:t>28</w:t>
      </w:r>
    </w:p>
    <w:p w:rsidR="009271EC" w:rsidRPr="006E5242" w:rsidRDefault="009271EC" w:rsidP="009271EC">
      <w:pPr>
        <w:pStyle w:val="ATHeading2"/>
      </w:pPr>
      <w:bookmarkStart w:id="1" w:name="title"/>
      <w:r w:rsidRPr="006E5242">
        <w:t>Pilna potrzeba przeglądu rozporządzenia w sprawie wyrobów medycznych</w:t>
      </w:r>
      <w:bookmarkEnd w:id="1"/>
    </w:p>
    <w:p w:rsidR="009271EC" w:rsidRPr="006E5242" w:rsidRDefault="009271EC" w:rsidP="009271EC">
      <w:pPr>
        <w:rPr>
          <w:i/>
          <w:vanish/>
        </w:rPr>
      </w:pPr>
      <w:r w:rsidRPr="006E5242">
        <w:rPr>
          <w:i/>
        </w:rPr>
        <w:fldChar w:fldCharType="begin"/>
      </w:r>
      <w:r w:rsidRPr="006E5242">
        <w:rPr>
          <w:i/>
        </w:rPr>
        <w:instrText xml:space="preserve"> TC"(</w:instrText>
      </w:r>
      <w:bookmarkStart w:id="2" w:name="DocNumber"/>
      <w:r w:rsidR="001807F7" w:rsidRPr="00B92B68">
        <w:rPr>
          <w:i/>
        </w:rPr>
        <w:instrText>B10-0123</w:instrText>
      </w:r>
      <w:r w:rsidR="001807F7">
        <w:rPr>
          <w:i/>
        </w:rPr>
        <w:instrText>, 0124, 0125, 0126, 0127 oraz</w:instrText>
      </w:r>
      <w:proofErr w:type="gramStart"/>
      <w:r w:rsidR="001807F7">
        <w:rPr>
          <w:i/>
        </w:rPr>
        <w:instrText xml:space="preserve"> 0128</w:instrText>
      </w:r>
      <w:r w:rsidR="001807F7" w:rsidRPr="00B92B68">
        <w:rPr>
          <w:i/>
        </w:rPr>
        <w:instrText>/2024</w:instrText>
      </w:r>
      <w:bookmarkEnd w:id="2"/>
      <w:r w:rsidRPr="006E5242">
        <w:rPr>
          <w:i/>
        </w:rPr>
        <w:instrText>)"\l</w:instrText>
      </w:r>
      <w:proofErr w:type="gramEnd"/>
      <w:r w:rsidRPr="006E5242">
        <w:rPr>
          <w:i/>
        </w:rPr>
        <w:instrText xml:space="preserve">3 \n&gt; \* MERGEFORMAT </w:instrText>
      </w:r>
      <w:r w:rsidRPr="006E5242">
        <w:rPr>
          <w:i/>
        </w:rPr>
        <w:fldChar w:fldCharType="end"/>
      </w:r>
    </w:p>
    <w:p w:rsidR="009271EC" w:rsidRPr="006E5242" w:rsidRDefault="009271EC" w:rsidP="009271EC">
      <w:pPr>
        <w:rPr>
          <w:vanish/>
        </w:rPr>
      </w:pPr>
      <w:bookmarkStart w:id="3" w:name="PE"/>
      <w:r w:rsidRPr="006E5242">
        <w:rPr>
          <w:vanish/>
        </w:rPr>
        <w:t>PE764.132</w:t>
      </w:r>
      <w:bookmarkEnd w:id="3"/>
    </w:p>
    <w:p w:rsidR="009271EC" w:rsidRPr="006E5242" w:rsidRDefault="009271EC" w:rsidP="009271EC">
      <w:pPr>
        <w:pStyle w:val="ATHeading3"/>
      </w:pPr>
      <w:bookmarkStart w:id="4" w:name="Sujet"/>
      <w:r w:rsidRPr="006E5242">
        <w:t>Rezolucja Parlamentu Europejskiego z dnia</w:t>
      </w:r>
      <w:r w:rsidR="001807F7">
        <w:t>23</w:t>
      </w:r>
      <w:r w:rsidRPr="006E5242">
        <w:t xml:space="preserve"> </w:t>
      </w:r>
      <w:r w:rsidR="001807F7">
        <w:t>października</w:t>
      </w:r>
      <w:r w:rsidRPr="006E5242">
        <w:t xml:space="preserve"> 2024 r. w sprawie pilnej potrzeby przeglądu rozporządzenia w sprawie wyrobów medycznych</w:t>
      </w:r>
      <w:bookmarkEnd w:id="4"/>
      <w:r w:rsidRPr="006E5242">
        <w:t xml:space="preserve"> </w:t>
      </w:r>
      <w:bookmarkStart w:id="5" w:name="References"/>
      <w:r w:rsidRPr="006E5242">
        <w:t>(2024/2849(RSP))</w:t>
      </w:r>
      <w:bookmarkEnd w:id="5"/>
    </w:p>
    <w:p w:rsidR="005536A4" w:rsidRPr="006E5242" w:rsidRDefault="005536A4" w:rsidP="005536A4">
      <w:pPr>
        <w:pStyle w:val="EPComma"/>
      </w:pPr>
      <w:bookmarkStart w:id="6" w:name="TextBodyBegin"/>
      <w:bookmarkEnd w:id="6"/>
      <w:r w:rsidRPr="006E5242">
        <w:rPr>
          <w:i/>
        </w:rPr>
        <w:t>Parlament Europejski</w:t>
      </w:r>
      <w:r w:rsidRPr="006E5242">
        <w:t>,</w:t>
      </w:r>
    </w:p>
    <w:p w:rsidR="005536A4" w:rsidRPr="006E5242" w:rsidRDefault="005536A4" w:rsidP="005536A4">
      <w:pPr>
        <w:pStyle w:val="NormalHanging12a"/>
      </w:pPr>
      <w:r w:rsidRPr="006E5242">
        <w:t>–</w:t>
      </w:r>
      <w:r w:rsidRPr="006E5242">
        <w:tab/>
        <w:t>uwzględniając Traktat o funkcjonowaniu Unii Europejskiej, w szczególności jego art. 168,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–</w:t>
      </w:r>
      <w:r w:rsidRPr="006E5242">
        <w:tab/>
        <w:t>uwzględniając rozporządzenie Parlamentu Europejskiego i Rady (UE) 2017/745 z dnia 5 kwietnia 2017 r. w sprawie wyrobów medycznych, zmiany dyrektywy 2001/83/WE, rozporządzenia (WE) nr 178/2002 i rozporządzenia (WE) nr 1223/2009 oraz uchylenia dyrektyw Rady 90/385/EWG i 93/42/EWG</w:t>
      </w:r>
      <w:r w:rsidRPr="006E5242">
        <w:rPr>
          <w:rFonts w:eastAsiaTheme="minorHAnsi"/>
          <w:vertAlign w:val="superscript"/>
        </w:rPr>
        <w:footnoteReference w:id="1"/>
      </w:r>
      <w:r w:rsidRPr="006E5242">
        <w:t>,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–</w:t>
      </w:r>
      <w:r w:rsidRPr="006E5242">
        <w:tab/>
        <w:t xml:space="preserve">uwzględniając rozporządzenie Parlamentu Europejskiego i Rady (UE) 2017/746 z dnia 5 kwietnia 2017 r. w sprawie wyrobów medycznych do diagnostyki </w:t>
      </w:r>
      <w:r w:rsidRPr="006E5242">
        <w:rPr>
          <w:i/>
        </w:rPr>
        <w:t>in vitro</w:t>
      </w:r>
      <w:r w:rsidRPr="006E5242">
        <w:t xml:space="preserve"> oraz uchylenia dyrektywy 98/79/WE i decyzji Komisji 2010/227/UE</w:t>
      </w:r>
      <w:r w:rsidRPr="006E5242">
        <w:rPr>
          <w:rFonts w:eastAsiaTheme="minorHAnsi"/>
          <w:vertAlign w:val="superscript"/>
        </w:rPr>
        <w:footnoteReference w:id="2"/>
      </w:r>
      <w:r w:rsidRPr="006E5242">
        <w:t>,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–</w:t>
      </w:r>
      <w:r w:rsidRPr="006E5242">
        <w:tab/>
        <w:t xml:space="preserve">uwzględniając rozporządzenie Parlamentu Europejskiego i Rady (UE) 2023/607 z dnia 15 marca 2023 r. w sprawie zmiany rozporządzeń (UE) 2017/745 i (UE) 2017/746 w odniesieniu do przepisów przejściowych dotyczących niektórych wyrobów medycznych i wyrobów medycznych do diagnostyki </w:t>
      </w:r>
      <w:r w:rsidRPr="006E5242">
        <w:rPr>
          <w:i/>
        </w:rPr>
        <w:t>in vitro</w:t>
      </w:r>
      <w:r w:rsidRPr="006E5242">
        <w:rPr>
          <w:rFonts w:eastAsiaTheme="minorHAnsi"/>
          <w:vertAlign w:val="superscript"/>
        </w:rPr>
        <w:footnoteReference w:id="3"/>
      </w:r>
      <w:r w:rsidRPr="006E5242">
        <w:t>,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lastRenderedPageBreak/>
        <w:t>–</w:t>
      </w:r>
      <w:r w:rsidRPr="006E5242">
        <w:tab/>
        <w:t>uwzględniając rozporządzenie (UE) 2020/561</w:t>
      </w:r>
      <w:r w:rsidRPr="006E5242">
        <w:rPr>
          <w:rFonts w:eastAsiaTheme="minorHAnsi"/>
          <w:vertAlign w:val="superscript"/>
        </w:rPr>
        <w:footnoteReference w:id="4"/>
      </w:r>
      <w:r w:rsidRPr="006E5242">
        <w:t>, rozporządzenie (UE) 2022/112</w:t>
      </w:r>
      <w:r w:rsidRPr="006E5242">
        <w:rPr>
          <w:rFonts w:eastAsiaTheme="minorHAnsi"/>
          <w:vertAlign w:val="superscript"/>
        </w:rPr>
        <w:footnoteReference w:id="5"/>
      </w:r>
      <w:r w:rsidRPr="006E5242">
        <w:t>, rozporządzenie (UE) 2023/607 i rozporządzenie (UE) 2024/1860</w:t>
      </w:r>
      <w:r w:rsidRPr="006E5242">
        <w:rPr>
          <w:rFonts w:eastAsiaTheme="minorHAnsi"/>
          <w:vertAlign w:val="superscript"/>
        </w:rPr>
        <w:footnoteReference w:id="6"/>
      </w:r>
      <w:r w:rsidRPr="006E5242">
        <w:t xml:space="preserve"> przedłużające okresy wdrażania rozporządzenia (UE) 2017/745 i rozporządzenia (UE) 2017/746,</w:t>
      </w:r>
    </w:p>
    <w:p w:rsidR="005536A4" w:rsidRPr="006E5242" w:rsidRDefault="005536A4" w:rsidP="005536A4">
      <w:pPr>
        <w:pStyle w:val="NormalHanging12a"/>
      </w:pPr>
      <w:r w:rsidRPr="006E5242">
        <w:t>–</w:t>
      </w:r>
      <w:r w:rsidRPr="006E5242">
        <w:tab/>
        <w:t xml:space="preserve">uwzględniając wniosek Komisji dotyczący rozporządzenia Parlamentu Europejskiego i Rady zmieniającego rozporządzenia (UE) 2017/745 i (UE) 2017/746 w odniesieniu do przepisów przejściowych dotyczących niektórych wyrobów medycznych i wyrobów medycznych do diagnostyki </w:t>
      </w:r>
      <w:r w:rsidRPr="006E5242">
        <w:rPr>
          <w:i/>
        </w:rPr>
        <w:t>in vitro</w:t>
      </w:r>
      <w:r w:rsidRPr="006E5242">
        <w:t xml:space="preserve"> (COM(2023)0010),</w:t>
      </w:r>
    </w:p>
    <w:p w:rsidR="005536A4" w:rsidRPr="006E5242" w:rsidRDefault="005536A4" w:rsidP="005536A4">
      <w:pPr>
        <w:pStyle w:val="NormalHanging12a"/>
      </w:pPr>
      <w:r w:rsidRPr="006E5242">
        <w:t>–</w:t>
      </w:r>
      <w:r w:rsidRPr="006E5242">
        <w:tab/>
        <w:t>uwzględniając sprawozdanie roczne Europejskiej Agencji Leków za 2023 r. oraz jej przegląd dotyczący dostępu do rynku i obaw dotyczących bezpieczeństwa wyrobów medycznych,</w:t>
      </w:r>
    </w:p>
    <w:p w:rsidR="005536A4" w:rsidRPr="006E5242" w:rsidRDefault="005536A4" w:rsidP="005536A4">
      <w:pPr>
        <w:pStyle w:val="NormalHanging12a"/>
      </w:pPr>
      <w:r w:rsidRPr="006E5242">
        <w:t>–</w:t>
      </w:r>
      <w:r w:rsidRPr="006E5242">
        <w:tab/>
        <w:t>uwzględniając art. 136 ust. 2 i 4 Regulaminu,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A.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wyroby medyczne i wyroby medyczne do diagnostyki </w:t>
      </w:r>
      <w:r w:rsidRPr="006E5242">
        <w:rPr>
          <w:i/>
        </w:rPr>
        <w:t>in vitro</w:t>
      </w:r>
      <w:r w:rsidRPr="006E5242">
        <w:t xml:space="preserve"> odgrywają kluczową rolę w opiece zdrowotnej wysokiej jakości, gdyż wpływają bezpośrednio na zdrowie, bezpieczeństwo i dobrostan milionów pacjentów w całej UE;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B.</w:t>
      </w:r>
      <w:r w:rsidRPr="006E5242">
        <w:tab/>
        <w:t>mając na uwadze, że na rynku UE dostępnych jest około 500 000 różnych wyrobów medycznych, które obejmują szeroki zakres technologii – od soczewek kontaktowych po rozruszniki serca – i służą różnym celom, w tym diagnostyce, profilaktyce, leczeniu, rehabilitacji i poprawie jakości życia pacjentów oraz pracy pracowników służby zdrowia i opiekunów;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C.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w państwach członkowskich utrzymują się różnice w dostępie do wyrobów medycznych, co wpływa na opiekę nad pacjentami i prowadzi do nierówności w zakresie zdrowia; mając na uwadze, że takie różnice uwidaczniają potrzebę poprawy dostępności i przystępności cenowej kluczowych wyrobów;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D.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rozporządzenia w sprawie wyrobów medycznych i w sprawie wyrobów medycznych do diagnostyki </w:t>
      </w:r>
      <w:r w:rsidRPr="006E5242">
        <w:rPr>
          <w:i/>
        </w:rPr>
        <w:t>in vitro</w:t>
      </w:r>
      <w:r w:rsidRPr="006E5242">
        <w:t xml:space="preserve"> wprowadzono w odpowiedzi na szereg głośnych skandali związanych z niebezpiecznym sprzętem medycznym, aby wzmocnić ramy regulacyjne dotyczące tych wyrobów, zapewnić wyższe standardy bezpieczeństwa, przejrzystości i skuteczności klinicznej i jednocześnie wspierać </w:t>
      </w:r>
      <w:r w:rsidRPr="006E5242">
        <w:lastRenderedPageBreak/>
        <w:t>innowacje w tym sektorze;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E.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w obu rozporządzeniach wprowadzono bardziej rygorystyczne wymogi dotyczące ocen klinicznych, nadzoru po wprowadzeniu do obrotu i sprawozdawczości w ramach obserwacji, co sprzyja przejrzystości procesów zatwierdzania i monitorowania;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F.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mimo tych celów przy wdrażaniu obu rozporządzeń napotkano poważne wyzwania, nie tylko prowadzące do opóźnień, ale także skutkujące niepowodzeniami w certyfikacji i zatwierdzaniu wyrobów medycznych i wyrobów medycznych do diagnostyki </w:t>
      </w:r>
      <w:r w:rsidRPr="006E5242">
        <w:rPr>
          <w:i/>
        </w:rPr>
        <w:t>in vitro</w:t>
      </w:r>
      <w:r w:rsidRPr="006E5242">
        <w:t xml:space="preserve">, co ma szczególny wpływ na małe i średnie przedsiębiorstwa (MŚP), a także prowadzi do niedoborów wyrobów medycznych i wyrobów medycznych do diagnostyki </w:t>
      </w:r>
      <w:r w:rsidRPr="006E5242">
        <w:rPr>
          <w:i/>
        </w:rPr>
        <w:t>in vitro</w:t>
      </w:r>
      <w:r w:rsidRPr="006E5242">
        <w:t xml:space="preserve"> i ogranicza dostęp pacjentów do innowacyjnych i ratujących życie technologii terapeutycznych i diagnostycznych;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G.</w:t>
      </w:r>
      <w:r w:rsidRPr="006E5242">
        <w:tab/>
        <w:t xml:space="preserve">mając na uwadze, że wiele zainteresowanych stron, w szczególności mali i średni producenci, jednostki notyfikowane i świadczeniodawcy, zgłasza trudności ze stosowaniem złożonych procedur regulacyjnych w obecnych ramach rozporządzenia w sprawie wyrobów medycznych i rozporządzenia w sprawie wyrobów medycznych do diagnostyki </w:t>
      </w:r>
      <w:r w:rsidRPr="006E5242">
        <w:rPr>
          <w:i/>
        </w:rPr>
        <w:t>in vitro</w:t>
      </w:r>
      <w:r w:rsidRPr="006E5242">
        <w:t xml:space="preserve">, co może zagrażać stałej dostępności ratujących życie wyrobów medycznych i krytycznych testów diagnostycznych </w:t>
      </w:r>
      <w:r w:rsidRPr="006E5242">
        <w:rPr>
          <w:i/>
        </w:rPr>
        <w:t>in vitro</w:t>
      </w:r>
      <w:r w:rsidRPr="006E5242">
        <w:t xml:space="preserve"> w UE;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H.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okresy przejściowe na wdrożenie rozporządzeń w sprawie wyrobów medycznych i w sprawie wyrobów medycznych do diagnostyki </w:t>
      </w:r>
      <w:r w:rsidRPr="006E5242">
        <w:rPr>
          <w:i/>
        </w:rPr>
        <w:t>in vitro</w:t>
      </w:r>
      <w:r w:rsidRPr="006E5242">
        <w:t xml:space="preserve"> były wielokrotnie przedłużane, aby rozwiązać problemy związane np. ze zdolnością jednostek notyfikowanych i dać przemysłowi więcej czasu na dostosowanie się do nowych przepisów i zapobiec w ten sposób wycofywaniu wyrobów z rynku UE;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I.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ze względu na brak zharmonizowanych procedur między jednostkami notyfikowanymi w UE producenci mierzą się w niektórych przypadkach między innymi z niepewnymi terminami certyfikacji i dostępu do rynku, a to prowadzi do nieprzewidywalności oraz do niespójnych decyzji i braku przejrzystości w zakresie prac jednostek notyfikowanych;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J.</w:t>
      </w:r>
      <w:r w:rsidRPr="006E5242">
        <w:tab/>
        <w:t>mając na uwadze, że ramy regulacyjne muszą w większym stopniu uwzględniać innowacyjne wyroby, które pozwalają odpowiedzieć na niezaspokojone potrzeby medyczne, usprawnić ustalanie priorytetów i skrócić procedury;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K.</w:t>
      </w:r>
      <w:r w:rsidRPr="006E5242">
        <w:tab/>
        <w:t xml:space="preserve">mając na uwadze, że Komisja rozpoczęła działania o charakterze nieustawodawczym, aby wesprzeć przejście na stosowanie rozporządzeń w sprawie wyrobów medycznych i w sprawie wyrobów medycznych do diagnostyki </w:t>
      </w:r>
      <w:r w:rsidRPr="006E5242">
        <w:rPr>
          <w:i/>
        </w:rPr>
        <w:t>in vitro</w:t>
      </w:r>
      <w:r w:rsidRPr="006E5242">
        <w:t>, przy czym skoncentrowała się szczególnie na dostępności wyrobów medycznych na rynku, gotowości jednostek notyfikowanych, rozwoju wyrobów sierocych i pediatrycznych, wsparciu MŚP i zniesieniu opłat za doradztwo naukowe w krytycznych obszarach, w których pomimo tych środków utrzymują się wyzwania finansowe i administracyjne, zwłaszcza w zakresie chorób rzadkich i pediatrii;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L.</w:t>
      </w:r>
      <w:r w:rsidRPr="006E5242">
        <w:tab/>
      </w:r>
      <w:proofErr w:type="gramStart"/>
      <w:r w:rsidRPr="006E5242">
        <w:t>mając</w:t>
      </w:r>
      <w:proofErr w:type="gramEnd"/>
      <w:r w:rsidRPr="006E5242">
        <w:t xml:space="preserve"> na uwadze, że terminy wdrożenia rozporządzeń w sprawie wyrobów medycznych i w sprawie wyrobów medycznych do diagnostyki </w:t>
      </w:r>
      <w:r w:rsidRPr="006E5242">
        <w:rPr>
          <w:i/>
        </w:rPr>
        <w:t>in vitro</w:t>
      </w:r>
      <w:r w:rsidRPr="006E5242">
        <w:t xml:space="preserve"> były niejednokrotnie przedłużane, aby pomóc przemysłowi dostosować się do nowych przepisów, zapobiegać wycofywaniu wyrobów z rynku i zapewnić ciągłość ich dostaw; mając na </w:t>
      </w:r>
      <w:r w:rsidRPr="006E5242">
        <w:lastRenderedPageBreak/>
        <w:t>uwadze, że przedłużanie tych terminów miało kluczowe znaczenie dla utrzymania ochrony zdrowia publicznego podczas pandemii COVID-19;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M.</w:t>
      </w:r>
      <w:r w:rsidRPr="006E5242">
        <w:tab/>
        <w:t xml:space="preserve">mając na uwadze, że od czasu przyjęcia rozporządzeń w sprawie wyrobów medycznych i w sprawie wyrobów medycznych do diagnostyki </w:t>
      </w:r>
      <w:r w:rsidRPr="006E5242">
        <w:rPr>
          <w:i/>
        </w:rPr>
        <w:t>in vitro</w:t>
      </w:r>
      <w:r w:rsidRPr="006E5242">
        <w:t xml:space="preserve"> Komisja wprowadziła również nowe przepisy dotyczące europejskiej bazy danych o wyrobach medycznych (EUDAMED) oraz system powiadamiania o zakłóceniach rynku lub zaprzestaniu dostaw;</w:t>
      </w:r>
    </w:p>
    <w:p w:rsidR="005536A4" w:rsidRDefault="005536A4" w:rsidP="005536A4">
      <w:pPr>
        <w:pStyle w:val="NormalHanging12a"/>
      </w:pPr>
      <w:r w:rsidRPr="006E5242">
        <w:t>N.</w:t>
      </w:r>
      <w:r w:rsidRPr="006E5242">
        <w:tab/>
        <w:t>mając na uwadze, że trzeba zapewnić pacjentom i pracownikom służby zdrowia dostęp do wszystkich istotnych dokumentów i decyzji podejmowanych przez jednostki notyfikowane;</w:t>
      </w:r>
    </w:p>
    <w:p w:rsidR="00B77DB5" w:rsidRDefault="00B77DB5" w:rsidP="005536A4">
      <w:pPr>
        <w:pStyle w:val="NormalHanging12a"/>
        <w:rPr>
          <w:rFonts w:eastAsiaTheme="minorHAnsi"/>
        </w:rPr>
      </w:pPr>
      <w:r>
        <w:rPr>
          <w:rFonts w:eastAsiaTheme="minorHAnsi"/>
        </w:rPr>
        <w:t>O</w:t>
      </w:r>
      <w:r w:rsidRPr="00B77DB5">
        <w:rPr>
          <w:rFonts w:eastAsiaTheme="minorHAnsi"/>
        </w:rPr>
        <w:t>.</w:t>
      </w:r>
      <w:r w:rsidRPr="00B77DB5">
        <w:rPr>
          <w:rFonts w:eastAsiaTheme="minorHAnsi"/>
        </w:rPr>
        <w:tab/>
      </w:r>
      <w:proofErr w:type="gramStart"/>
      <w:r w:rsidRPr="00B77DB5">
        <w:rPr>
          <w:rFonts w:eastAsiaTheme="minorHAnsi"/>
        </w:rPr>
        <w:t>mając</w:t>
      </w:r>
      <w:proofErr w:type="gramEnd"/>
      <w:r w:rsidRPr="00B77DB5">
        <w:rPr>
          <w:rFonts w:eastAsiaTheme="minorHAnsi"/>
        </w:rPr>
        <w:t xml:space="preserve"> na uwadze, że wprowadzone w rozporządzeniu w sprawie wyrobów medycznych innowacyjne ramy regulacyjne odnoszące się do wyrobów medycznych zawierających substancje służą wspieraniu rozwoju terapii prowadzonych metodami niefarmaceutycznymi, nieimmunologicznymi i niemetabolicznymi; mając na uwadze, że w wytycznych i decyzjach wydanych przez organy krajowe określono limity w ten sposób, że produkty objęte zakresem tego rozporządzenia klasyfikuje się do innych kategorii regulacyjnych, co jest sprzeczne z celem prawodawcy unijnego zakładającym wspieranie innowacji terapeutycznych;</w:t>
      </w:r>
    </w:p>
    <w:p w:rsidR="00B77DB5" w:rsidRPr="006E5242" w:rsidRDefault="005B47E5" w:rsidP="005536A4">
      <w:pPr>
        <w:pStyle w:val="NormalHanging12a"/>
        <w:rPr>
          <w:rFonts w:eastAsiaTheme="minorHAnsi"/>
        </w:rPr>
      </w:pPr>
      <w:r>
        <w:rPr>
          <w:rFonts w:eastAsiaTheme="minorHAnsi"/>
        </w:rPr>
        <w:t>P</w:t>
      </w:r>
      <w:r w:rsidR="00B77DB5" w:rsidRPr="00B77DB5">
        <w:rPr>
          <w:rFonts w:eastAsiaTheme="minorHAnsi"/>
        </w:rPr>
        <w:t>.</w:t>
      </w:r>
      <w:r w:rsidR="00B77DB5" w:rsidRPr="00B77DB5">
        <w:rPr>
          <w:rFonts w:eastAsiaTheme="minorHAnsi"/>
        </w:rPr>
        <w:tab/>
        <w:t>mając na uwadze, że aplikacje e-zdrowia, które ze względu na swój cel spełniają definicję wyrobu medycznego, nie są obecnie certyfikowane, a zatem potencjalnie zagrażają bezpieczeństwu danych dotyczących zdrowia użytkowników;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1.</w:t>
      </w:r>
      <w:r w:rsidRPr="006E5242">
        <w:tab/>
      </w:r>
      <w:proofErr w:type="gramStart"/>
      <w:r w:rsidRPr="006E5242">
        <w:t>wzywa</w:t>
      </w:r>
      <w:proofErr w:type="gramEnd"/>
      <w:r w:rsidRPr="006E5242">
        <w:t xml:space="preserve"> Komisję, by do końca pierwszego kwartału 2025 r. zaproponowała akty delegowane i wykonawcze do rozporządzeń w sprawie wyrobów medycznych i w sprawie wyrobów medycznych do diagnostyki </w:t>
      </w:r>
      <w:r w:rsidRPr="006E5242">
        <w:rPr>
          <w:i/>
        </w:rPr>
        <w:t>in vitro</w:t>
      </w:r>
      <w:r w:rsidRPr="006E5242">
        <w:t xml:space="preserve"> w celu stawienia czoła najpilniejszym wyzwaniom i usunięcia wąskich gardeł we wdrażaniu ram prawnych oraz by zaproponowała jak najszybsze przeprowadzenie systematycznego przeglądu wszystkich odpowiednich artykułów tych rozporządzeń, wraz z oceną skutków;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2.</w:t>
      </w:r>
      <w:r w:rsidRPr="006E5242">
        <w:tab/>
      </w:r>
      <w:proofErr w:type="gramStart"/>
      <w:r w:rsidRPr="006E5242">
        <w:t>apeluje</w:t>
      </w:r>
      <w:proofErr w:type="gramEnd"/>
      <w:r w:rsidRPr="006E5242">
        <w:t xml:space="preserve"> do Komisji, aby w pełni wykorzystała narzędzia ustawodawcze i nieustawodawcze do rozwiązania problemu rozbieżnych interpretacji i praktycznego zastosowania, aby usprawnić proces regulacyjny, zwiększyć przejrzystość i wyeliminować zbędne zadania administracyjne jednostek notyfikowanych i producentów, zwłaszcza MŚP, bez szkody dla bezpieczeństwa pacjentów;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3.</w:t>
      </w:r>
      <w:r w:rsidRPr="006E5242">
        <w:tab/>
      </w:r>
      <w:proofErr w:type="gramStart"/>
      <w:r w:rsidRPr="006E5242">
        <w:t>ubolewa</w:t>
      </w:r>
      <w:proofErr w:type="gramEnd"/>
      <w:r w:rsidRPr="006E5242">
        <w:t xml:space="preserve"> nad ryzykiem wystąpienia niedoborów wyrobów medycznych i brakiem dostępu do pewnych wyrobów medycznych i wyrobów medycznych do diagnostyki </w:t>
      </w:r>
      <w:r w:rsidRPr="006E5242">
        <w:rPr>
          <w:i/>
        </w:rPr>
        <w:t>in vitro</w:t>
      </w:r>
      <w:r w:rsidRPr="006E5242">
        <w:t xml:space="preserve"> w niektórych częściach UE; podkreśla, że dostęp do opieki zdrowotnej, w tym wyrobów medycznych i wyrobów medycznych do diagnostyki </w:t>
      </w:r>
      <w:r w:rsidRPr="006E5242">
        <w:rPr>
          <w:i/>
        </w:rPr>
        <w:t>in vitro</w:t>
      </w:r>
      <w:r w:rsidRPr="006E5242">
        <w:t>, oraz ich jakość nie powinny zależeć od tego, w jakim miejscu UE znajduje się pacjent;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4.</w:t>
      </w:r>
      <w:r w:rsidRPr="006E5242">
        <w:tab/>
      </w:r>
      <w:proofErr w:type="gramStart"/>
      <w:r w:rsidRPr="006E5242">
        <w:t>zachęca</w:t>
      </w:r>
      <w:proofErr w:type="gramEnd"/>
      <w:r w:rsidRPr="006E5242">
        <w:t xml:space="preserve"> jednostki notyfikowane, aby zapewniały zasoby wystarczające do zaspokojenia na czas zapotrzebowania rynku; w związku z tym wzywa Komisję i państwa członkowskie, aby zwiększyły wsparcie i zacieśniły współpracę w celu zapewnienia, aby jednostki notyfikowane dysponowały optymalnymi zdolnościami i potencjałem do pełnego wdrożenia ram regulacyjnych;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lastRenderedPageBreak/>
        <w:t>5.</w:t>
      </w:r>
      <w:r w:rsidRPr="006E5242">
        <w:tab/>
      </w:r>
      <w:proofErr w:type="gramStart"/>
      <w:r w:rsidRPr="006E5242">
        <w:t>opowiada</w:t>
      </w:r>
      <w:proofErr w:type="gramEnd"/>
      <w:r w:rsidRPr="006E5242">
        <w:t xml:space="preserve"> się za określeniem przejrzystych i wiążących terminów, łącznie z zawieszeniem poszczególnych etapów procedury oceny zgodności przeprowadzanej przez jednostki notyfikowane, co zapewniłoby producentom przewidywalność i pewność prawa w odniesieniu do procedury dostępu do rynku i czasu jej trwania w UE;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6.</w:t>
      </w:r>
      <w:r w:rsidRPr="006E5242">
        <w:tab/>
      </w:r>
      <w:proofErr w:type="gramStart"/>
      <w:r w:rsidRPr="006E5242">
        <w:t>apeluje</w:t>
      </w:r>
      <w:proofErr w:type="gramEnd"/>
      <w:r w:rsidRPr="006E5242">
        <w:t xml:space="preserve"> o przejrzystość opłat i struktur opłat jednostek notyfikowanych, aby podmioty gospodarcze mogły porównywać jednostki notyfikowane i dokonywać świadomych wyborów, co zapewni, że opłaty będą nadal stanowiły sprawiedliwą rekompensatę za świadczoną usługę publiczną;</w:t>
      </w:r>
    </w:p>
    <w:p w:rsidR="005536A4" w:rsidRPr="006E5242" w:rsidRDefault="005536A4" w:rsidP="005536A4">
      <w:pPr>
        <w:pStyle w:val="NormalHanging12a"/>
        <w:rPr>
          <w:rFonts w:eastAsiaTheme="minorHAnsi"/>
        </w:rPr>
      </w:pPr>
      <w:r w:rsidRPr="006E5242">
        <w:t>7.</w:t>
      </w:r>
      <w:r w:rsidRPr="006E5242">
        <w:tab/>
      </w:r>
      <w:proofErr w:type="gramStart"/>
      <w:r w:rsidRPr="006E5242">
        <w:t>podkreśla</w:t>
      </w:r>
      <w:proofErr w:type="gramEnd"/>
      <w:r w:rsidRPr="006E5242">
        <w:t>, że trzeba wyeliminować niepotrzebną ponowną certyfikację produktów i że niektóre aktualizacje lub dostosowania produktów niekoniecznie powinny prowadzić do pełnej ponownej certyfikacji; zwraca uwagę na potrzebę harmonizacji takich przepisów i zapewnienia spójności w całej UE; wzywa do współpracy między właściwymi organami i organami doradczymi odpowiedzialnymi za inne ramy regulacyjne oraz podkreśla potrzebę prawidłowej i spójnej klasyfikacji produktów;</w:t>
      </w:r>
    </w:p>
    <w:p w:rsidR="005536A4" w:rsidRDefault="005536A4" w:rsidP="005536A4">
      <w:pPr>
        <w:pStyle w:val="NormalHanging12a"/>
      </w:pPr>
      <w:r w:rsidRPr="006E5242">
        <w:t>8.</w:t>
      </w:r>
      <w:r w:rsidRPr="006E5242">
        <w:tab/>
      </w:r>
      <w:proofErr w:type="gramStart"/>
      <w:r w:rsidRPr="006E5242">
        <w:t>stanowczo</w:t>
      </w:r>
      <w:proofErr w:type="gramEnd"/>
      <w:r w:rsidRPr="006E5242">
        <w:t xml:space="preserve"> apeluje do Komisji, aby rozważyła przyspieszone i priorytetowe ścieżki zatwierdzania innowacyjnych technologii w obszarach niezaspokojonych potrzeb medycznych oraz wyrobów związanych ze stanami zagrożenia zdrowia;</w:t>
      </w:r>
    </w:p>
    <w:p w:rsidR="00B77DB5" w:rsidRPr="006E5242" w:rsidRDefault="005B47E5" w:rsidP="005536A4">
      <w:pPr>
        <w:pStyle w:val="NormalHanging12a"/>
        <w:rPr>
          <w:rFonts w:eastAsiaTheme="minorHAnsi"/>
        </w:rPr>
      </w:pPr>
      <w:r>
        <w:rPr>
          <w:rFonts w:eastAsiaTheme="minorHAnsi"/>
        </w:rPr>
        <w:t>9</w:t>
      </w:r>
      <w:r w:rsidR="00B77DB5" w:rsidRPr="00B77DB5">
        <w:rPr>
          <w:rFonts w:eastAsiaTheme="minorHAnsi"/>
        </w:rPr>
        <w:t>.</w:t>
      </w:r>
      <w:r w:rsidR="00B77DB5" w:rsidRPr="00B77DB5">
        <w:rPr>
          <w:rFonts w:eastAsiaTheme="minorHAnsi"/>
        </w:rPr>
        <w:tab/>
      </w:r>
      <w:proofErr w:type="gramStart"/>
      <w:r w:rsidR="00B77DB5" w:rsidRPr="00B77DB5">
        <w:rPr>
          <w:rFonts w:eastAsiaTheme="minorHAnsi"/>
        </w:rPr>
        <w:t>zaznacza</w:t>
      </w:r>
      <w:proofErr w:type="gramEnd"/>
      <w:r w:rsidR="00B77DB5" w:rsidRPr="00B77DB5">
        <w:rPr>
          <w:rFonts w:eastAsiaTheme="minorHAnsi"/>
        </w:rPr>
        <w:t>, że trzeba chronić dane dotyczące zdrowia gromadzone przez aplikacje e-zdrowia przez wyraźne włączenie tych aplikacji w zakres zmienionego rozporządzenia w sprawie wyrobów medycznych i objęcie ich odpowiednimi przepisami;</w:t>
      </w:r>
    </w:p>
    <w:p w:rsidR="005536A4" w:rsidRPr="006E5242" w:rsidRDefault="005B47E5" w:rsidP="005536A4">
      <w:pPr>
        <w:pStyle w:val="NormalHanging12a"/>
        <w:rPr>
          <w:rFonts w:eastAsiaTheme="minorHAnsi"/>
        </w:rPr>
      </w:pPr>
      <w:r>
        <w:t>10</w:t>
      </w:r>
      <w:r w:rsidR="005536A4" w:rsidRPr="006E5242">
        <w:t>.</w:t>
      </w:r>
      <w:r w:rsidR="005536A4" w:rsidRPr="006E5242">
        <w:tab/>
      </w:r>
      <w:proofErr w:type="gramStart"/>
      <w:r w:rsidR="005536A4" w:rsidRPr="006E5242">
        <w:t>podkreśla</w:t>
      </w:r>
      <w:proofErr w:type="gramEnd"/>
      <w:r w:rsidR="005536A4" w:rsidRPr="006E5242">
        <w:t xml:space="preserve"> potrzebę ustanowienia jasnej roboczej definicji „wyrobu sierocego”, na co wskazała Grupa Koordynacyjna ds. Wyrobów Medycznych w rozporządzeniach w sprawie wyrobów medycznych i w sprawie wyrobów medycznych do diagnostyki </w:t>
      </w:r>
      <w:r w:rsidR="005536A4" w:rsidRPr="006E5242">
        <w:rPr>
          <w:i/>
          <w:iCs/>
        </w:rPr>
        <w:t>in vitro</w:t>
      </w:r>
      <w:r w:rsidR="005536A4" w:rsidRPr="006E5242">
        <w:t>, aby ułatwić przyjęcie jednolitych środków w całej UE; apeluje też o solidny system zapobiegający niewłaściwemu wykorzystywaniu polegającemu na sztucznym klasyfikowaniu wyrobów jako sieroce;</w:t>
      </w:r>
    </w:p>
    <w:p w:rsidR="005536A4" w:rsidRPr="006E5242" w:rsidRDefault="005B47E5" w:rsidP="005536A4">
      <w:pPr>
        <w:pStyle w:val="NormalHanging12a"/>
        <w:rPr>
          <w:rFonts w:eastAsiaTheme="minorHAnsi"/>
        </w:rPr>
      </w:pPr>
      <w:r>
        <w:t>11</w:t>
      </w:r>
      <w:r w:rsidR="005536A4" w:rsidRPr="006E5242">
        <w:t>.</w:t>
      </w:r>
      <w:r w:rsidR="005536A4" w:rsidRPr="006E5242">
        <w:tab/>
        <w:t xml:space="preserve"> </w:t>
      </w:r>
      <w:proofErr w:type="gramStart"/>
      <w:r w:rsidR="005536A4" w:rsidRPr="006E5242">
        <w:t>wzywa</w:t>
      </w:r>
      <w:proofErr w:type="gramEnd"/>
      <w:r w:rsidR="005536A4" w:rsidRPr="006E5242">
        <w:t xml:space="preserve"> do wprowadzenia dostosowanych przepisów dotyczących sierocych i pediatrycznych wyrobów medycznych bez szkody dla bezpieczeństwa pacjentów oraz podkreśla, że potrzebne są wydajniejsze procedury oceny zgodności dostosowane do wyrobów medycznych i wyrobów medycznych do diagnostyki </w:t>
      </w:r>
      <w:r w:rsidR="005536A4" w:rsidRPr="006E5242">
        <w:rPr>
          <w:i/>
          <w:iCs/>
        </w:rPr>
        <w:t>in vitro</w:t>
      </w:r>
      <w:r w:rsidR="005536A4" w:rsidRPr="006E5242">
        <w:t xml:space="preserve"> służących stosunkowo małym rynkom, takich jak produkty stosowane w leczeniu dzieci lub chorób rzadkich;</w:t>
      </w:r>
    </w:p>
    <w:p w:rsidR="005536A4" w:rsidRPr="006E5242" w:rsidRDefault="005B47E5" w:rsidP="005536A4">
      <w:pPr>
        <w:pStyle w:val="NormalHanging12a"/>
        <w:rPr>
          <w:rFonts w:eastAsiaTheme="minorHAnsi"/>
        </w:rPr>
      </w:pPr>
      <w:r>
        <w:t>12</w:t>
      </w:r>
      <w:r w:rsidR="005536A4" w:rsidRPr="006E5242">
        <w:t>.</w:t>
      </w:r>
      <w:r w:rsidR="005536A4" w:rsidRPr="006E5242">
        <w:tab/>
      </w:r>
      <w:proofErr w:type="gramStart"/>
      <w:r w:rsidR="005536A4" w:rsidRPr="006E5242">
        <w:t>apeluje</w:t>
      </w:r>
      <w:proofErr w:type="gramEnd"/>
      <w:r w:rsidR="005536A4" w:rsidRPr="006E5242">
        <w:t xml:space="preserve"> do Komisji, aby ułatwiła gromadzenie danych klinicznych z istniejących rejestrów krajowych dla małych grup pacjentów leczonych lub zdiagnozowanych przy pomocy wyrobów sierocych i pediatrycznych, zgodnie z zasadami ochrony danych osobowych; dostrzega wyzwania stojące przed różnymi MŚP, które muszą dostosować się do ram prawnych; zachęca państwa członkowskie i Komisję do opracowania konkretnych środków wspierających MŚP, np. wzorów dokumentów i formularzy wniosków, wytycznych regulacyjnych i udzielania innej pomocy w celu zmniejszenia kosztów i złożoności ram regulacyjnych;</w:t>
      </w:r>
    </w:p>
    <w:p w:rsidR="005536A4" w:rsidRPr="006E5242" w:rsidRDefault="005B47E5" w:rsidP="005536A4">
      <w:pPr>
        <w:pStyle w:val="NormalHanging12a"/>
        <w:rPr>
          <w:rFonts w:eastAsiaTheme="minorHAnsi"/>
        </w:rPr>
      </w:pPr>
      <w:r>
        <w:t>13</w:t>
      </w:r>
      <w:r w:rsidR="005536A4" w:rsidRPr="006E5242">
        <w:t>.</w:t>
      </w:r>
      <w:r w:rsidR="005536A4" w:rsidRPr="006E5242">
        <w:tab/>
      </w:r>
      <w:proofErr w:type="gramStart"/>
      <w:r w:rsidR="005536A4" w:rsidRPr="006E5242">
        <w:t>wzywa</w:t>
      </w:r>
      <w:proofErr w:type="gramEnd"/>
      <w:r w:rsidR="005536A4" w:rsidRPr="006E5242">
        <w:t xml:space="preserve"> Komisję, aby stale monitorowała dostępność wyrobów, w szczególności ostatnich wyrobów danego rodzaju, i podejmowała odpowiednie działania w celu zapewnienia ich dostępności na rynku UE; w związku z tym wzywa do pilnego pełnego </w:t>
      </w:r>
      <w:r w:rsidR="005536A4" w:rsidRPr="006E5242">
        <w:lastRenderedPageBreak/>
        <w:t>wdrożenia bazy EUDAMED, która umożliwi przetwarzanie informacji o wyrobach medycznych i ich producentach w celu zwiększenia przejrzystości, ułatwienia społeczeństwu i pracownikom służby zdrowia dostępu do informacji oraz poprawy koordynacji między państwami członkowskimi;</w:t>
      </w:r>
    </w:p>
    <w:p w:rsidR="005536A4" w:rsidRPr="006E5242" w:rsidRDefault="005B47E5" w:rsidP="005536A4">
      <w:pPr>
        <w:pStyle w:val="NormalHanging12a"/>
        <w:rPr>
          <w:rFonts w:eastAsiaTheme="minorHAnsi"/>
        </w:rPr>
      </w:pPr>
      <w:r>
        <w:t>14</w:t>
      </w:r>
      <w:r w:rsidR="005536A4" w:rsidRPr="006E5242">
        <w:t>.</w:t>
      </w:r>
      <w:r w:rsidR="005536A4" w:rsidRPr="006E5242">
        <w:tab/>
      </w:r>
      <w:proofErr w:type="gramStart"/>
      <w:r w:rsidR="005536A4" w:rsidRPr="006E5242">
        <w:t>podkreśla</w:t>
      </w:r>
      <w:proofErr w:type="gramEnd"/>
      <w:r w:rsidR="005536A4" w:rsidRPr="006E5242">
        <w:t>, że na wejście w życie nowych przepisów lub zmian w obowiązujących przepisach należy przewidzieć odpowiedni okres przejściowy, aby dać wszystkim zainteresowanym stronom wystarczająco dużo czasu na dostosowanie się do zmian;</w:t>
      </w:r>
    </w:p>
    <w:p w:rsidR="005536A4" w:rsidRPr="006E5242" w:rsidRDefault="005B47E5" w:rsidP="005536A4">
      <w:pPr>
        <w:pStyle w:val="NormalHanging12a"/>
        <w:rPr>
          <w:rFonts w:eastAsiaTheme="minorHAnsi"/>
        </w:rPr>
      </w:pPr>
      <w:r>
        <w:t>15</w:t>
      </w:r>
      <w:r w:rsidR="005536A4" w:rsidRPr="006E5242">
        <w:t>.</w:t>
      </w:r>
      <w:r w:rsidR="005536A4" w:rsidRPr="006E5242">
        <w:tab/>
      </w:r>
      <w:proofErr w:type="gramStart"/>
      <w:r w:rsidR="005536A4" w:rsidRPr="006E5242">
        <w:t>zobowiązuje</w:t>
      </w:r>
      <w:proofErr w:type="gramEnd"/>
      <w:r w:rsidR="005536A4" w:rsidRPr="006E5242">
        <w:t xml:space="preserve"> swoją przewodniczącą do przekazania niniejszej rezolucji Radzie i Komisji oraz rządom i parlamentom państw członkowskich.</w:t>
      </w:r>
    </w:p>
    <w:sectPr w:rsidR="005536A4" w:rsidRPr="006E5242" w:rsidSect="006E52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1EC" w:rsidRPr="006E5242" w:rsidRDefault="009271EC">
      <w:r w:rsidRPr="006E5242">
        <w:separator/>
      </w:r>
    </w:p>
  </w:endnote>
  <w:endnote w:type="continuationSeparator" w:id="0">
    <w:p w:rsidR="009271EC" w:rsidRPr="006E5242" w:rsidRDefault="009271EC">
      <w:r w:rsidRPr="006E52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2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2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2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1EC" w:rsidRPr="006E5242" w:rsidRDefault="009271EC">
      <w:r w:rsidRPr="006E5242">
        <w:separator/>
      </w:r>
    </w:p>
  </w:footnote>
  <w:footnote w:type="continuationSeparator" w:id="0">
    <w:p w:rsidR="009271EC" w:rsidRPr="006E5242" w:rsidRDefault="009271EC">
      <w:r w:rsidRPr="006E5242">
        <w:continuationSeparator/>
      </w:r>
    </w:p>
  </w:footnote>
  <w:footnote w:id="1">
    <w:p w:rsidR="005536A4" w:rsidRPr="006E5242" w:rsidRDefault="005536A4" w:rsidP="006E5242">
      <w:pPr>
        <w:pStyle w:val="FootnoteText"/>
        <w:ind w:left="567" w:hanging="567"/>
        <w:rPr>
          <w:sz w:val="24"/>
          <w:lang w:val="pl-PL"/>
        </w:rPr>
      </w:pPr>
      <w:r w:rsidRPr="006E5242">
        <w:rPr>
          <w:rStyle w:val="FootnoteReference"/>
          <w:sz w:val="24"/>
          <w:lang w:val="pl-PL"/>
        </w:rPr>
        <w:footnoteRef/>
      </w:r>
      <w:r w:rsidR="006E5242" w:rsidRPr="006E5242">
        <w:rPr>
          <w:sz w:val="24"/>
          <w:lang w:val="pl-PL"/>
        </w:rPr>
        <w:t xml:space="preserve"> </w:t>
      </w:r>
      <w:r w:rsidR="006E5242" w:rsidRPr="006E5242">
        <w:rPr>
          <w:sz w:val="24"/>
          <w:lang w:val="pl-PL"/>
        </w:rPr>
        <w:tab/>
      </w:r>
      <w:r w:rsidRPr="006E5242">
        <w:rPr>
          <w:sz w:val="24"/>
          <w:lang w:val="pl-PL"/>
        </w:rPr>
        <w:t xml:space="preserve">Dz.U. L 117 z 5.5.2017, </w:t>
      </w:r>
      <w:proofErr w:type="gramStart"/>
      <w:r w:rsidRPr="006E5242">
        <w:rPr>
          <w:sz w:val="24"/>
          <w:lang w:val="pl-PL"/>
        </w:rPr>
        <w:t>s</w:t>
      </w:r>
      <w:proofErr w:type="gramEnd"/>
      <w:r w:rsidRPr="006E5242">
        <w:rPr>
          <w:sz w:val="24"/>
          <w:lang w:val="pl-PL"/>
        </w:rPr>
        <w:t xml:space="preserve">. 1, ELI: </w:t>
      </w:r>
      <w:hyperlink r:id="rId1" w:history="1">
        <w:r w:rsidRPr="006E5242">
          <w:rPr>
            <w:rStyle w:val="Hyperlink"/>
            <w:sz w:val="24"/>
            <w:lang w:val="pl-PL"/>
          </w:rPr>
          <w:t>http://data.europa.eu/eli/reg/2017/745/oj</w:t>
        </w:r>
      </w:hyperlink>
      <w:r w:rsidRPr="006E5242">
        <w:rPr>
          <w:sz w:val="24"/>
          <w:lang w:val="pl-PL"/>
        </w:rPr>
        <w:t>.</w:t>
      </w:r>
    </w:p>
  </w:footnote>
  <w:footnote w:id="2">
    <w:p w:rsidR="005536A4" w:rsidRPr="006E5242" w:rsidRDefault="005536A4" w:rsidP="006E5242">
      <w:pPr>
        <w:pStyle w:val="FootnoteText"/>
        <w:ind w:left="567" w:hanging="567"/>
        <w:rPr>
          <w:sz w:val="24"/>
          <w:lang w:val="pl-PL"/>
        </w:rPr>
      </w:pPr>
      <w:r w:rsidRPr="006E5242">
        <w:rPr>
          <w:rStyle w:val="FootnoteReference"/>
          <w:sz w:val="24"/>
          <w:lang w:val="pl-PL"/>
        </w:rPr>
        <w:footnoteRef/>
      </w:r>
      <w:r w:rsidR="006E5242" w:rsidRPr="006E5242">
        <w:rPr>
          <w:sz w:val="24"/>
          <w:lang w:val="pl-PL"/>
        </w:rPr>
        <w:t xml:space="preserve"> </w:t>
      </w:r>
      <w:r w:rsidR="006E5242" w:rsidRPr="006E5242">
        <w:rPr>
          <w:sz w:val="24"/>
          <w:lang w:val="pl-PL"/>
        </w:rPr>
        <w:tab/>
      </w:r>
      <w:r w:rsidRPr="006E5242">
        <w:rPr>
          <w:sz w:val="24"/>
          <w:lang w:val="pl-PL"/>
        </w:rPr>
        <w:t xml:space="preserve">Dz.U. L 117 z 5.5.2017, </w:t>
      </w:r>
      <w:proofErr w:type="gramStart"/>
      <w:r w:rsidRPr="006E5242">
        <w:rPr>
          <w:sz w:val="24"/>
          <w:lang w:val="pl-PL"/>
        </w:rPr>
        <w:t>s</w:t>
      </w:r>
      <w:proofErr w:type="gramEnd"/>
      <w:r w:rsidRPr="006E5242">
        <w:rPr>
          <w:sz w:val="24"/>
          <w:lang w:val="pl-PL"/>
        </w:rPr>
        <w:t xml:space="preserve">. 176, ELI: </w:t>
      </w:r>
      <w:hyperlink r:id="rId2" w:history="1">
        <w:r w:rsidRPr="006E5242">
          <w:rPr>
            <w:rStyle w:val="Hyperlink"/>
            <w:sz w:val="24"/>
            <w:lang w:val="pl-PL"/>
          </w:rPr>
          <w:t>http://data.europa.eu/eli/reg/2017/746/oj</w:t>
        </w:r>
      </w:hyperlink>
      <w:r w:rsidRPr="006E5242">
        <w:rPr>
          <w:sz w:val="24"/>
          <w:lang w:val="pl-PL"/>
        </w:rPr>
        <w:t>.</w:t>
      </w:r>
    </w:p>
  </w:footnote>
  <w:footnote w:id="3">
    <w:p w:rsidR="005536A4" w:rsidRPr="006E5242" w:rsidRDefault="005536A4" w:rsidP="006E5242">
      <w:pPr>
        <w:pStyle w:val="FootnoteText"/>
        <w:ind w:left="567" w:hanging="567"/>
        <w:rPr>
          <w:sz w:val="24"/>
          <w:lang w:val="pl-PL"/>
        </w:rPr>
      </w:pPr>
      <w:r w:rsidRPr="006E5242">
        <w:rPr>
          <w:rStyle w:val="FootnoteReference"/>
          <w:sz w:val="24"/>
          <w:lang w:val="pl-PL"/>
        </w:rPr>
        <w:footnoteRef/>
      </w:r>
      <w:r w:rsidR="006E5242" w:rsidRPr="006E5242">
        <w:rPr>
          <w:sz w:val="24"/>
          <w:lang w:val="pl-PL"/>
        </w:rPr>
        <w:t xml:space="preserve"> </w:t>
      </w:r>
      <w:r w:rsidR="006E5242" w:rsidRPr="006E5242">
        <w:rPr>
          <w:sz w:val="24"/>
          <w:lang w:val="pl-PL"/>
        </w:rPr>
        <w:tab/>
      </w:r>
      <w:r w:rsidRPr="006E5242">
        <w:rPr>
          <w:sz w:val="24"/>
          <w:lang w:val="pl-PL"/>
        </w:rPr>
        <w:t xml:space="preserve">Dz.U. L 80 z 20.3.2023, </w:t>
      </w:r>
      <w:proofErr w:type="gramStart"/>
      <w:r w:rsidRPr="006E5242">
        <w:rPr>
          <w:sz w:val="24"/>
          <w:lang w:val="pl-PL"/>
        </w:rPr>
        <w:t>s</w:t>
      </w:r>
      <w:proofErr w:type="gramEnd"/>
      <w:r w:rsidRPr="006E5242">
        <w:rPr>
          <w:sz w:val="24"/>
          <w:lang w:val="pl-PL"/>
        </w:rPr>
        <w:t xml:space="preserve">. 24, ELI: </w:t>
      </w:r>
      <w:hyperlink r:id="rId3" w:history="1">
        <w:r w:rsidRPr="006E5242">
          <w:rPr>
            <w:rStyle w:val="Hyperlink"/>
            <w:sz w:val="24"/>
            <w:lang w:val="pl-PL"/>
          </w:rPr>
          <w:t>http://data.europa.eu/eli/reg/2023/607/oj</w:t>
        </w:r>
      </w:hyperlink>
      <w:r w:rsidRPr="006E5242">
        <w:rPr>
          <w:sz w:val="24"/>
          <w:lang w:val="pl-PL"/>
        </w:rPr>
        <w:t>.</w:t>
      </w:r>
    </w:p>
  </w:footnote>
  <w:footnote w:id="4">
    <w:p w:rsidR="005536A4" w:rsidRPr="006E5242" w:rsidRDefault="005536A4" w:rsidP="006E5242">
      <w:pPr>
        <w:pStyle w:val="FootnoteText"/>
        <w:ind w:left="567" w:hanging="567"/>
        <w:rPr>
          <w:sz w:val="24"/>
          <w:lang w:val="pl-PL"/>
        </w:rPr>
      </w:pPr>
      <w:r w:rsidRPr="006E5242">
        <w:rPr>
          <w:rStyle w:val="FootnoteReference"/>
          <w:sz w:val="24"/>
          <w:lang w:val="pl-PL"/>
        </w:rPr>
        <w:footnoteRef/>
      </w:r>
      <w:r w:rsidR="006E5242" w:rsidRPr="006E5242">
        <w:rPr>
          <w:sz w:val="24"/>
          <w:lang w:val="pl-PL"/>
        </w:rPr>
        <w:t xml:space="preserve"> </w:t>
      </w:r>
      <w:r w:rsidR="006E5242" w:rsidRPr="006E5242">
        <w:rPr>
          <w:sz w:val="24"/>
          <w:lang w:val="pl-PL"/>
        </w:rPr>
        <w:tab/>
      </w:r>
      <w:r w:rsidRPr="006E5242">
        <w:rPr>
          <w:sz w:val="24"/>
          <w:lang w:val="pl-PL"/>
        </w:rPr>
        <w:t xml:space="preserve">Rozporządzenie Parlamentu Europejskiego i Rady (UE) 2020/561 z dnia 23 kwietnia 2020 r. zmieniające rozporządzenie (UE) 2017/745 w sprawie wyrobów medycznych w odniesieniu do dat rozpoczęcia stosowania niektórych jego przepisów (Dz.U. L 130 z 24.4.2020, </w:t>
      </w:r>
      <w:proofErr w:type="gramStart"/>
      <w:r w:rsidRPr="006E5242">
        <w:rPr>
          <w:sz w:val="24"/>
          <w:lang w:val="pl-PL"/>
        </w:rPr>
        <w:t>s</w:t>
      </w:r>
      <w:proofErr w:type="gramEnd"/>
      <w:r w:rsidRPr="006E5242">
        <w:rPr>
          <w:sz w:val="24"/>
          <w:lang w:val="pl-PL"/>
        </w:rPr>
        <w:t>. 18</w:t>
      </w:r>
      <w:bookmarkStart w:id="7" w:name="_GoBack"/>
      <w:bookmarkEnd w:id="7"/>
      <w:r w:rsidRPr="006E5242">
        <w:rPr>
          <w:sz w:val="24"/>
          <w:lang w:val="pl-PL"/>
        </w:rPr>
        <w:t xml:space="preserve">, ELI: </w:t>
      </w:r>
      <w:hyperlink r:id="rId4" w:history="1">
        <w:r w:rsidRPr="006E5242">
          <w:rPr>
            <w:rStyle w:val="Hyperlink"/>
            <w:sz w:val="24"/>
            <w:lang w:val="pl-PL"/>
          </w:rPr>
          <w:t>http://data.europa.eu/eli/reg/2020/561/oj</w:t>
        </w:r>
      </w:hyperlink>
      <w:r w:rsidRPr="006E5242">
        <w:rPr>
          <w:sz w:val="24"/>
          <w:lang w:val="pl-PL"/>
        </w:rPr>
        <w:t>).</w:t>
      </w:r>
    </w:p>
  </w:footnote>
  <w:footnote w:id="5">
    <w:p w:rsidR="005536A4" w:rsidRPr="006E5242" w:rsidRDefault="005536A4" w:rsidP="006E5242">
      <w:pPr>
        <w:pStyle w:val="FootnoteText"/>
        <w:ind w:left="567" w:hanging="567"/>
        <w:rPr>
          <w:sz w:val="24"/>
          <w:lang w:val="pl-PL"/>
        </w:rPr>
      </w:pPr>
      <w:r w:rsidRPr="006E5242">
        <w:rPr>
          <w:rStyle w:val="FootnoteReference"/>
          <w:sz w:val="24"/>
          <w:lang w:val="pl-PL"/>
        </w:rPr>
        <w:footnoteRef/>
      </w:r>
      <w:r w:rsidR="006E5242" w:rsidRPr="006E5242">
        <w:rPr>
          <w:sz w:val="24"/>
          <w:lang w:val="pl-PL"/>
        </w:rPr>
        <w:t xml:space="preserve"> </w:t>
      </w:r>
      <w:r w:rsidR="006E5242" w:rsidRPr="006E5242">
        <w:rPr>
          <w:sz w:val="24"/>
          <w:lang w:val="pl-PL"/>
        </w:rPr>
        <w:tab/>
      </w:r>
      <w:r w:rsidRPr="006E5242">
        <w:rPr>
          <w:sz w:val="24"/>
          <w:lang w:val="pl-PL"/>
        </w:rPr>
        <w:t xml:space="preserve">Rozporządzenie Parlamentu Europejskiego i Rady (UE) 2022/112 z dnia 25 stycznia 2022 r. zmieniające rozporządzenie (UE) 2017/746 w odniesieniu do przepisów przejściowych dotyczących niektórych wyrobów medycznych do diagnostyki </w:t>
      </w:r>
      <w:r w:rsidRPr="006E5242">
        <w:rPr>
          <w:i/>
          <w:sz w:val="24"/>
          <w:lang w:val="pl-PL"/>
        </w:rPr>
        <w:t>in vitro</w:t>
      </w:r>
      <w:r w:rsidRPr="006E5242">
        <w:rPr>
          <w:sz w:val="24"/>
          <w:lang w:val="pl-PL"/>
        </w:rPr>
        <w:t xml:space="preserve"> oraz odroczonego stosowania warunków dotyczących wyrobów produkowanych w ramach instytucji zdrowia publicznego (Dz.U. L 19 z 28.1.2022, </w:t>
      </w:r>
      <w:proofErr w:type="gramStart"/>
      <w:r w:rsidRPr="006E5242">
        <w:rPr>
          <w:sz w:val="24"/>
          <w:lang w:val="pl-PL"/>
        </w:rPr>
        <w:t>s</w:t>
      </w:r>
      <w:proofErr w:type="gramEnd"/>
      <w:r w:rsidRPr="006E5242">
        <w:rPr>
          <w:sz w:val="24"/>
          <w:lang w:val="pl-PL"/>
        </w:rPr>
        <w:t xml:space="preserve">. 3, ELI: </w:t>
      </w:r>
      <w:hyperlink r:id="rId5" w:history="1">
        <w:r w:rsidRPr="006E5242">
          <w:rPr>
            <w:rStyle w:val="Hyperlink"/>
            <w:sz w:val="24"/>
            <w:lang w:val="pl-PL"/>
          </w:rPr>
          <w:t>http://data.europa.eu/eli/reg/2022/112/oj</w:t>
        </w:r>
      </w:hyperlink>
      <w:r w:rsidRPr="006E5242">
        <w:rPr>
          <w:sz w:val="24"/>
          <w:lang w:val="pl-PL"/>
        </w:rPr>
        <w:t>).</w:t>
      </w:r>
    </w:p>
  </w:footnote>
  <w:footnote w:id="6">
    <w:p w:rsidR="005536A4" w:rsidRPr="006E5242" w:rsidRDefault="005536A4" w:rsidP="006E5242">
      <w:pPr>
        <w:pStyle w:val="FootnoteText"/>
        <w:ind w:left="567" w:hanging="567"/>
        <w:rPr>
          <w:sz w:val="24"/>
          <w:lang w:val="pl-PL"/>
        </w:rPr>
      </w:pPr>
      <w:r w:rsidRPr="006E5242">
        <w:rPr>
          <w:rStyle w:val="FootnoteReference"/>
          <w:sz w:val="24"/>
          <w:lang w:val="pl-PL"/>
        </w:rPr>
        <w:footnoteRef/>
      </w:r>
      <w:r w:rsidR="006E5242" w:rsidRPr="006E5242">
        <w:rPr>
          <w:sz w:val="24"/>
          <w:lang w:val="pl-PL"/>
        </w:rPr>
        <w:t xml:space="preserve"> </w:t>
      </w:r>
      <w:r w:rsidR="006E5242" w:rsidRPr="006E5242">
        <w:rPr>
          <w:sz w:val="24"/>
          <w:lang w:val="pl-PL"/>
        </w:rPr>
        <w:tab/>
      </w:r>
      <w:r w:rsidRPr="006E5242">
        <w:rPr>
          <w:sz w:val="24"/>
          <w:lang w:val="pl-PL"/>
        </w:rPr>
        <w:t xml:space="preserve">Rozporządzenie Parlamentu Europejskiego i Rady (UE) 2024/1860 z dnia 13 czerwca 2024 r. w sprawie zmiany rozporządzenia (UE) 2017/745 i (UE) 2017/746 w odniesieniu do stopniowego wdrażania bazy danych Eudamed, obowiązku w zakresie informowania w przypadku przerwy w dostawach lub ich zawieszenia oraz przepisów przejściowych dotyczących określonych wyrobów medycznych do diagnostyki in vitro (Dz.U. L, 2024/1860, z 9.7.2024, ELI: </w:t>
      </w:r>
      <w:hyperlink r:id="rId6" w:history="1">
        <w:r w:rsidRPr="006E5242">
          <w:rPr>
            <w:rStyle w:val="Hyperlink"/>
            <w:sz w:val="24"/>
            <w:lang w:val="pl-PL"/>
          </w:rPr>
          <w:t>http://data.europa.eu/eli/reg/2024/1860/oj</w:t>
        </w:r>
      </w:hyperlink>
      <w:r w:rsidRPr="006E5242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2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2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2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23/2024"/>
    <w:docVar w:name="dvlangue" w:val="PL"/>
    <w:docVar w:name="dvnumam" w:val="0"/>
    <w:docVar w:name="dvpe" w:val="764.132"/>
    <w:docVar w:name="dvtitre" w:val="Rezolucja Parlamentu Europejskiego z dnia  2024 r. w sprawie pilnej potrzeby przeglądu rozporządzenia w sprawie wyrobów medycznych(2024/2849(RSP))"/>
  </w:docVars>
  <w:rsids>
    <w:rsidRoot w:val="009271EC"/>
    <w:rsid w:val="00002272"/>
    <w:rsid w:val="00064002"/>
    <w:rsid w:val="000677B9"/>
    <w:rsid w:val="000831BA"/>
    <w:rsid w:val="000A42CC"/>
    <w:rsid w:val="000E7DD9"/>
    <w:rsid w:val="0010095E"/>
    <w:rsid w:val="00125B37"/>
    <w:rsid w:val="001807F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6A4"/>
    <w:rsid w:val="00560270"/>
    <w:rsid w:val="005B47E5"/>
    <w:rsid w:val="005C2568"/>
    <w:rsid w:val="005F1B17"/>
    <w:rsid w:val="006037C0"/>
    <w:rsid w:val="006631B6"/>
    <w:rsid w:val="00680577"/>
    <w:rsid w:val="006E524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1E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DB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E8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C6759D-CB53-4C1B-8B57-65639FE1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536A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536A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536A4"/>
    <w:rPr>
      <w:sz w:val="24"/>
      <w:lang w:val="pl-PL"/>
    </w:rPr>
  </w:style>
  <w:style w:type="character" w:styleId="Hyperlink">
    <w:name w:val="Hyperlink"/>
    <w:basedOn w:val="DefaultParagraphFont"/>
    <w:unhideWhenUsed/>
    <w:rsid w:val="005536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607/oj" TargetMode="External"/><Relationship Id="rId2" Type="http://schemas.openxmlformats.org/officeDocument/2006/relationships/hyperlink" Target="http://data.europa.eu/eli/reg/2017/746/oj" TargetMode="External"/><Relationship Id="rId1" Type="http://schemas.openxmlformats.org/officeDocument/2006/relationships/hyperlink" Target="http://data.europa.eu/eli/reg/2017/745/oj" TargetMode="External"/><Relationship Id="rId6" Type="http://schemas.openxmlformats.org/officeDocument/2006/relationships/hyperlink" Target="http://data.europa.eu/eli/reg/2024/1860/oj" TargetMode="External"/><Relationship Id="rId5" Type="http://schemas.openxmlformats.org/officeDocument/2006/relationships/hyperlink" Target="http://data.europa.eu/eli/reg/2022/112/oj" TargetMode="External"/><Relationship Id="rId4" Type="http://schemas.openxmlformats.org/officeDocument/2006/relationships/hyperlink" Target="http://data.europa.eu/eli/reg/2020/5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7EC07-4CDD-469F-96C5-4B1AAD470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1722</Words>
  <Characters>11591</Characters>
  <Application>Microsoft Office Word</Application>
  <DocSecurity>0</DocSecurity>
  <Lines>231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2024-11-13T08:25:00Z</dcterms:created>
  <dcterms:modified xsi:type="dcterms:W3CDTF">2024-11-13T08:25:00Z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B10-0123/2024</vt:lpwstr>
  </property>
  <property fmtid="{D5CDD505-2E9C-101B-9397-08002B2CF9AE}" pid="4" name="&lt;Type&gt;">
    <vt:lpwstr>RR</vt:lpwstr>
  </property>
</Properties>
</file>