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P10_TA(2024)002</w:t>
      </w:r>
      <w:bookmarkEnd w:id="1"/>
      <w:r>
        <w:t>8</w:t>
      </w:r>
    </w:p>
    <w:p>
      <w:pPr>
        <w:pStyle w:val="ATHeading2"/>
      </w:pPr>
      <w:bookmarkStart w:id="2" w:name="title"/>
      <w:r>
        <w:t>Naliehavá potreba revízie nariadenia o zdravotníckych pomôckach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B10-0123, 0124, 0125, 0126 a 0128/2024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PE764.132</w:t>
      </w:r>
      <w:bookmarkEnd w:id="4"/>
    </w:p>
    <w:p>
      <w:pPr>
        <w:pStyle w:val="ATHeading3"/>
      </w:pPr>
      <w:bookmarkStart w:id="5" w:name="Sujet"/>
      <w:r>
        <w:t>Uznesenie Európskeho parlamentu z 23. októbra 2024 o naliehavej potrebe revízie nariadenia o zdravotníckych pomôckach</w:t>
      </w:r>
      <w:bookmarkEnd w:id="5"/>
      <w:r>
        <w:t xml:space="preserve"> </w:t>
      </w:r>
      <w:bookmarkStart w:id="6" w:name="References"/>
      <w:r>
        <w:t>(2024/2849(RSP))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Zmluvu o fungovaní Európskej únie, a najmä na jej článok 168,</w:t>
      </w:r>
    </w:p>
    <w:p>
      <w:pPr>
        <w:pStyle w:val="NormalHanging12a"/>
        <w:rPr>
          <w:rFonts w:eastAsiaTheme="minorHAnsi"/>
        </w:rPr>
      </w:pPr>
      <w:r>
        <w:t>–</w:t>
      </w:r>
      <w:r>
        <w:tab/>
        <w:t>so zreteľom na nariadenie Európskeho parlamentu a Rady (EÚ) 2017/745 z 5. apríla 2017 o zdravotníckych pomôckach, zmene smernice 2001/83/ES, nariadenia (ES) č. 178/2002 a nariadenia (ES) č. 1223/2009 a o zrušení smerníc Rady 90/385/EHS a 93/42/EHS</w:t>
      </w:r>
      <w:r>
        <w:rPr>
          <w:rFonts w:eastAsiaTheme="minorHAnsi"/>
          <w:vertAlign w:val="superscript"/>
        </w:rPr>
        <w:footnoteReference w:id="1"/>
      </w:r>
      <w:r>
        <w:t xml:space="preserve"> (nariadenie o zdravotníckych pomôckach),</w:t>
      </w:r>
    </w:p>
    <w:p>
      <w:pPr>
        <w:pStyle w:val="NormalHanging12a"/>
        <w:rPr>
          <w:rFonts w:eastAsiaTheme="minorHAnsi"/>
        </w:rPr>
      </w:pPr>
      <w:r>
        <w:t>–</w:t>
      </w:r>
      <w:r>
        <w:tab/>
        <w:t xml:space="preserve">so zreteľom na nariadenie Európskeho parlamentu a Rady (EÚ) 2017/746 z 5. apríla 2017 o diagnostických zdravotníckych pomôckach </w:t>
      </w:r>
      <w:r>
        <w:rPr>
          <w:i/>
          <w:iCs/>
        </w:rPr>
        <w:t>in vitro</w:t>
      </w:r>
      <w:r>
        <w:t xml:space="preserve"> a o zrušení smernice 98/79/ES a rozhodnutia Komisie 2010/227/EÚ</w:t>
      </w:r>
      <w:r>
        <w:rPr>
          <w:rFonts w:eastAsiaTheme="minorHAnsi"/>
          <w:vertAlign w:val="superscript"/>
        </w:rPr>
        <w:footnoteReference w:id="2"/>
      </w:r>
      <w:r>
        <w:t xml:space="preserve"> (nariadenie o diagnostických zdravotníckych pomôckach </w:t>
      </w:r>
      <w:r>
        <w:rPr>
          <w:i/>
          <w:iCs/>
        </w:rPr>
        <w:t>in vitro</w:t>
      </w:r>
      <w:r>
        <w:t>),</w:t>
      </w:r>
    </w:p>
    <w:p>
      <w:pPr>
        <w:pStyle w:val="NormalHanging12a"/>
        <w:rPr>
          <w:rFonts w:eastAsiaTheme="minorHAnsi"/>
        </w:rPr>
      </w:pPr>
      <w:r>
        <w:t>–</w:t>
      </w:r>
      <w:r>
        <w:tab/>
        <w:t xml:space="preserve">so zreteľom na nariadenie Európskeho parlamentu a Rady (EÚ) 2023/607 z 15. marca 2023, ktorým sa menia nariadenia (EÚ) 2017/745 a (EÚ) 2017/746, pokiaľ ide o prechodné ustanovenia pre určité zdravotnícke pomôcky a diagnostické zdravotnícke pomôcky </w:t>
      </w:r>
      <w:r>
        <w:rPr>
          <w:i/>
          <w:iCs/>
        </w:rPr>
        <w:t>in vitro</w:t>
      </w:r>
      <w:r>
        <w:rPr>
          <w:rFonts w:eastAsiaTheme="minorHAnsi"/>
          <w:vertAlign w:val="superscript"/>
        </w:rPr>
        <w:footnoteReference w:id="3"/>
      </w:r>
      <w:r>
        <w:t>,</w:t>
      </w:r>
    </w:p>
    <w:p>
      <w:pPr>
        <w:pStyle w:val="NormalHanging12a"/>
        <w:rPr>
          <w:rFonts w:eastAsiaTheme="minorHAnsi"/>
        </w:rPr>
      </w:pPr>
      <w:r>
        <w:t>–</w:t>
      </w:r>
      <w:r>
        <w:tab/>
        <w:t>so zreteľom na nariadenie (EÚ) 2020/561</w:t>
      </w:r>
      <w:r>
        <w:rPr>
          <w:rFonts w:eastAsiaTheme="minorHAnsi"/>
          <w:vertAlign w:val="superscript"/>
        </w:rPr>
        <w:footnoteReference w:id="4"/>
      </w:r>
      <w:r>
        <w:t>, nariadenie (EÚ) 2022/112</w:t>
      </w:r>
      <w:r>
        <w:rPr>
          <w:rFonts w:eastAsiaTheme="minorHAnsi"/>
          <w:vertAlign w:val="superscript"/>
        </w:rPr>
        <w:footnoteReference w:id="5"/>
      </w:r>
      <w:r>
        <w:t xml:space="preserve">, nariadenie (EÚ) </w:t>
      </w:r>
      <w:r>
        <w:lastRenderedPageBreak/>
        <w:t>2023/607 a nariadenie (EÚ) 2024/1860</w:t>
      </w:r>
      <w:r>
        <w:rPr>
          <w:rFonts w:eastAsiaTheme="minorHAnsi"/>
          <w:vertAlign w:val="superscript"/>
        </w:rPr>
        <w:footnoteReference w:id="6"/>
      </w:r>
      <w:r>
        <w:t>, ktorými sa predlžuje obdobie vykonávania nariadenia (EÚ) 2017/745 a nariadenia (EÚ) 2017/746,</w:t>
      </w:r>
    </w:p>
    <w:p>
      <w:pPr>
        <w:pStyle w:val="NormalHanging12a"/>
      </w:pPr>
      <w:r>
        <w:t>–</w:t>
      </w:r>
      <w:r>
        <w:tab/>
        <w:t xml:space="preserve">so zreteľom na návrh Komisie na nariadenie Európskeho parlamentu a Rady, ktorým sa menia nariadenia (EÚ) 2017/745 a (EÚ) 2017/746, pokiaľ ide o prechodné ustanovenia pre určité zdravotnícke pomôcky a diagnostické zdravotnícke pomôcky </w:t>
      </w:r>
      <w:r>
        <w:rPr>
          <w:i/>
          <w:iCs/>
        </w:rPr>
        <w:t>in vitro</w:t>
      </w:r>
      <w:r>
        <w:t xml:space="preserve"> (COM(2023)0010),</w:t>
      </w:r>
    </w:p>
    <w:p>
      <w:pPr>
        <w:pStyle w:val="NormalHanging12a"/>
      </w:pPr>
      <w:r>
        <w:t>–</w:t>
      </w:r>
      <w:r>
        <w:tab/>
        <w:t>so zreteľom na výročnú správu Európskej agentúry pre lieky za rok 2023 a jej preskúmanie týkajúce sa prístupu na trh a obáv o bezpečnosť zdravotníckych pomôcok,</w:t>
      </w:r>
    </w:p>
    <w:p>
      <w:pPr>
        <w:pStyle w:val="NormalHanging12a"/>
      </w:pPr>
      <w:r>
        <w:t>–</w:t>
      </w:r>
      <w:r>
        <w:tab/>
        <w:t>so zreteľom na článok 136 ods. 2 a 4 rokovacieho poriadku,</w:t>
      </w:r>
    </w:p>
    <w:p>
      <w:pPr>
        <w:pStyle w:val="NormalHanging12a"/>
        <w:rPr>
          <w:rFonts w:eastAsiaTheme="minorHAnsi"/>
        </w:rPr>
      </w:pPr>
      <w:r>
        <w:t>A.</w:t>
      </w:r>
      <w:r>
        <w:tab/>
        <w:t xml:space="preserve">keďže zdravotnícke pomôcky a diagnostické zdravotnícke pomôcky </w:t>
      </w:r>
      <w:r>
        <w:rPr>
          <w:i/>
          <w:iCs/>
        </w:rPr>
        <w:t>in vitro</w:t>
      </w:r>
      <w:r>
        <w:t xml:space="preserve"> zohrávajú kľúčovú úlohu v kvalitnej zdravotnej starostlivosti, pričom priamo ovplyvňujú zdravie, bezpečnosť a dobré životné podmienky miliónov pacientov v celej EÚ;</w:t>
      </w:r>
    </w:p>
    <w:p>
      <w:pPr>
        <w:pStyle w:val="NormalHanging12a"/>
        <w:rPr>
          <w:rFonts w:eastAsiaTheme="minorHAnsi"/>
        </w:rPr>
      </w:pPr>
      <w:r>
        <w:t>B.</w:t>
      </w:r>
      <w:r>
        <w:tab/>
        <w:t>keďže na trhu EÚ je k dispozícii približne 500 000 rôznych zdravotníckych pomôcok, ktoré pokrývajú širokú škálu technológií od kontaktných šošoviek až po kardiostimulátory a slúžia na rôzne účely vrátane diagnostiky, prevencie, liečby, rehabilitácie a zlepšovania kvality života pacientov a práce zdravotníckych pracovníkov a opatrovateľov;</w:t>
      </w:r>
    </w:p>
    <w:p>
      <w:pPr>
        <w:pStyle w:val="NormalHanging12a"/>
        <w:rPr>
          <w:rFonts w:eastAsiaTheme="minorHAnsi"/>
        </w:rPr>
      </w:pPr>
      <w:r>
        <w:t>C.</w:t>
      </w:r>
      <w:r>
        <w:tab/>
        <w:t>keďže v jednotlivých členských štátoch pretrvávajú rozdiely v prístupe k zdravotníckym pomôckam, ktoré ovplyvňujú starostlivosť o pacientov a vedú k nerovnostiam v oblasti zdravia; keďže tieto rozdiely zdôrazňujú potrebu lepšej prístupnosti a cenovej dostupnosti kľúčových pomôcok;</w:t>
      </w:r>
    </w:p>
    <w:p>
      <w:pPr>
        <w:pStyle w:val="NormalHanging12a"/>
        <w:rPr>
          <w:rFonts w:eastAsiaTheme="minorHAnsi"/>
        </w:rPr>
      </w:pPr>
      <w:r>
        <w:t>D.</w:t>
      </w:r>
      <w:r>
        <w:tab/>
        <w:t xml:space="preserve">keďže nariadenie o zdravotníckych pomôckach a nariadenie o diagnostických zdravotníckych pomôckach </w:t>
      </w:r>
      <w:r>
        <w:rPr>
          <w:i/>
          <w:iCs/>
        </w:rPr>
        <w:t>in vitro</w:t>
      </w:r>
      <w:r>
        <w:t xml:space="preserve"> boli prijaté s cieľom posilniť regulačný rámec pre zdravotnícke pomôcky a diagnostické zdravotnícke pomôcky </w:t>
      </w:r>
      <w:r>
        <w:rPr>
          <w:i/>
          <w:iCs/>
        </w:rPr>
        <w:t>in vitro</w:t>
      </w:r>
      <w:r>
        <w:t xml:space="preserve"> v reakcii na viacero ostro sledovaných škandálov s nebezpečným zdravotníckym vybavením, aby sa zabezpečili prísnejšie normy bezpečnosti, transparentnosti a klinického výkonu a zároveň podporili inovácie v tomto odvetví;</w:t>
      </w:r>
    </w:p>
    <w:p>
      <w:pPr>
        <w:pStyle w:val="NormalHanging12a"/>
        <w:rPr>
          <w:rFonts w:eastAsiaTheme="minorHAnsi"/>
        </w:rPr>
      </w:pPr>
      <w:r>
        <w:t>E.</w:t>
      </w:r>
      <w:r>
        <w:tab/>
        <w:t xml:space="preserve">keďže v nariadení o zdravotníckych pomôckach a nariadení o diagnostických zdravotníckych pomôckach </w:t>
      </w:r>
      <w:r>
        <w:rPr>
          <w:i/>
          <w:iCs/>
        </w:rPr>
        <w:t>in vitro</w:t>
      </w:r>
      <w:r>
        <w:t xml:space="preserve"> sa zaviedli prísnejšie požiadavky na klinické hodnotenia, dohľad po uvedení na trh a podávanie správ o </w:t>
      </w:r>
      <w:proofErr w:type="spellStart"/>
      <w:r>
        <w:t>vigilancii</w:t>
      </w:r>
      <w:proofErr w:type="spellEnd"/>
      <w:r>
        <w:t>, čím sa podporila transparentnosť postupov schvaľovania a monitorovania;</w:t>
      </w:r>
    </w:p>
    <w:p>
      <w:pPr>
        <w:pStyle w:val="NormalHanging12a"/>
        <w:rPr>
          <w:rFonts w:eastAsiaTheme="minorHAnsi"/>
        </w:rPr>
      </w:pPr>
      <w:r>
        <w:t>F.</w:t>
      </w:r>
      <w:r>
        <w:tab/>
        <w:t xml:space="preserve">keďže napriek týmto cieľom sa pri vykonávaní nariadenia o zdravotníckych pomôckach a nariadenia o diagnostických zdravotníckych pomôckach </w:t>
      </w:r>
      <w:r>
        <w:rPr>
          <w:i/>
          <w:iCs/>
        </w:rPr>
        <w:t>in vitro</w:t>
      </w:r>
      <w:r>
        <w:t xml:space="preserve"> vyskytli zásadné problémy, ktoré viedli nielen k oneskoreniam, ale mali za následok aj neukončenie certifikácie a schvaľovania zdravotníckych pomôcok a diagnostických zdravotníckych pomôcok </w:t>
      </w:r>
      <w:r>
        <w:rPr>
          <w:i/>
          <w:iCs/>
        </w:rPr>
        <w:t>in vitro</w:t>
      </w:r>
      <w:r>
        <w:t xml:space="preserve">, čo malo vplyv najmä na malé a stredné podniky (ďalej len „MSP“) a </w:t>
      </w:r>
      <w:r>
        <w:lastRenderedPageBreak/>
        <w:t xml:space="preserve">spôsobilo nedostatok zdravotníckych pomôcok a diagnostických zdravotníckych pomôcok </w:t>
      </w:r>
      <w:r>
        <w:rPr>
          <w:i/>
          <w:iCs/>
        </w:rPr>
        <w:t>in vitro</w:t>
      </w:r>
      <w:r>
        <w:t>, čím sa obmedzil prístup pacientov k inovatívnym a život zachraňujúcim terapeutickým a diagnostickým technológiám;</w:t>
      </w:r>
    </w:p>
    <w:p>
      <w:pPr>
        <w:pStyle w:val="NormalHanging12a"/>
        <w:rPr>
          <w:rFonts w:eastAsiaTheme="minorHAnsi"/>
        </w:rPr>
      </w:pPr>
      <w:r>
        <w:t>G.</w:t>
      </w:r>
      <w:r>
        <w:tab/>
        <w:t xml:space="preserve">keďže mnohé zainteresované strany, najmä malí a strední výrobcovia, notifikované osoby a poskytovatelia zdravotnej starostlivosti, oznámili ťažkosti s orientáciou v zložitých regulačných postupoch v rámci súčasného rámca nariadenia o zdravotníckych pomôckach a nariadeniach o diagnostických zdravotníckych pomôckach </w:t>
      </w:r>
      <w:r>
        <w:rPr>
          <w:i/>
          <w:iCs/>
        </w:rPr>
        <w:t>in vitro</w:t>
      </w:r>
      <w:r>
        <w:t xml:space="preserve">, čo predstavuje potenciálne riziká pre nepretržitú dostupnosť život zachraňujúcich zdravotníckych pomôcok a kritických diagnostických testov </w:t>
      </w:r>
      <w:r>
        <w:rPr>
          <w:i/>
          <w:iCs/>
        </w:rPr>
        <w:t>in vitro</w:t>
      </w:r>
      <w:r>
        <w:t xml:space="preserve"> v EÚ;</w:t>
      </w:r>
    </w:p>
    <w:p>
      <w:pPr>
        <w:pStyle w:val="NormalHanging12a"/>
        <w:rPr>
          <w:rFonts w:eastAsiaTheme="minorHAnsi"/>
        </w:rPr>
      </w:pPr>
      <w:r>
        <w:t>H.</w:t>
      </w:r>
      <w:r>
        <w:tab/>
        <w:t xml:space="preserve">keďže prechodné obdobia na vykonávanie nariadenia o zdravotníckych pomôckach a nariadenia o diagnostických zdravotníckych pomôckach </w:t>
      </w:r>
      <w:r>
        <w:rPr>
          <w:i/>
          <w:iCs/>
        </w:rPr>
        <w:t>in vitro</w:t>
      </w:r>
      <w:r>
        <w:t xml:space="preserve"> boli pri mnohých príležitostiach predĺžené s cieľom riešiť problémy vrátane kapacity notifikovaných osôb a poskytnúť priemyslu viac času na prispôsobenie sa novým pravidlám s cieľom zabrániť stiahnutiu pomôcok z trhu EÚ;</w:t>
      </w:r>
    </w:p>
    <w:p>
      <w:pPr>
        <w:pStyle w:val="NormalHanging12a"/>
        <w:rPr>
          <w:rFonts w:eastAsiaTheme="minorHAnsi"/>
        </w:rPr>
      </w:pPr>
      <w:r>
        <w:t>I.</w:t>
      </w:r>
      <w:r>
        <w:tab/>
        <w:t xml:space="preserve">keďže vzhľadom na nedostatok harmonizovaných postupov v rámci notifikovaných osôb v EÚ môžu výrobcovia okrem iného v niektorých prípadoch čeliť nepredvídateľným harmonogramom certifikácie a prístupu na trh, čo spôsobuje nepredvídateľnosť spolu s </w:t>
      </w:r>
      <w:proofErr w:type="spellStart"/>
      <w:r>
        <w:t>nekonzistentnosťou</w:t>
      </w:r>
      <w:proofErr w:type="spellEnd"/>
      <w:r>
        <w:t xml:space="preserve"> rozhodnutí a nedostatočnou transparentnosťou vo vzťahu k práci notifikovaných osôb;</w:t>
      </w:r>
    </w:p>
    <w:p>
      <w:pPr>
        <w:pStyle w:val="NormalHanging12a"/>
        <w:rPr>
          <w:rFonts w:eastAsiaTheme="minorHAnsi"/>
        </w:rPr>
      </w:pPr>
      <w:r>
        <w:t>J.</w:t>
      </w:r>
      <w:r>
        <w:tab/>
        <w:t>keďže je potrebné, aby regulačné rámce lepšie zohľadňovali inovačné pomôcky na riešenie neuspokojených liečebných potrieb a zabezpečovali lepšie stanovovanie priorít a zrýchlené postupy;</w:t>
      </w:r>
    </w:p>
    <w:p>
      <w:pPr>
        <w:pStyle w:val="NormalHanging12a"/>
        <w:rPr>
          <w:rFonts w:eastAsiaTheme="minorHAnsi"/>
        </w:rPr>
      </w:pPr>
      <w:r>
        <w:t>K.</w:t>
      </w:r>
      <w:r>
        <w:tab/>
        <w:t xml:space="preserve">keďže Komisia iniciovala nelegislatívne opatrenia na podporu prechodu na nariadenie o zdravotníckych pomôckach a nariadenie o diagnostických zdravotníckych pomôckach </w:t>
      </w:r>
      <w:r>
        <w:rPr>
          <w:i/>
          <w:iCs/>
        </w:rPr>
        <w:t>in vitro</w:t>
      </w:r>
      <w:r>
        <w:t>, pričom sa zamerala najmä na dostupnosť zdravotníckych pomôcok na trhu, pripravenosť notifikovaných osôb, vývoj pomôcok na zriedkavé a pediatrické ochorenia, podporu MSP a zrušenie poplatkov za vedecké poradenstvo v kritických oblastiach, v ktorých napriek týmto opatreniam pretrvávajú finančné a administratívne problémy, predovšetkým v sektore pomôcok na zriedkavé a pediatrické ochorenia;</w:t>
      </w:r>
    </w:p>
    <w:p>
      <w:pPr>
        <w:pStyle w:val="NormalHanging12a"/>
        <w:rPr>
          <w:rFonts w:eastAsiaTheme="minorHAnsi"/>
        </w:rPr>
      </w:pPr>
      <w:r>
        <w:t>L.</w:t>
      </w:r>
      <w:r>
        <w:tab/>
        <w:t xml:space="preserve">keďže lehoty na vykonávanie nariadenia o zdravotníckych pomôckach a nariadenia o diagnostických zdravotníckych pomôckach </w:t>
      </w:r>
      <w:r>
        <w:rPr>
          <w:i/>
          <w:iCs/>
        </w:rPr>
        <w:t>in vitro</w:t>
      </w:r>
      <w:r>
        <w:t xml:space="preserve"> boli niekoľkokrát predĺžené s cieľom pomôcť priemyslu prispôsobiť sa novým predpisom, zabrániť stiahnutiam z trhu a zabezpečiť nepretržitú dodávku pomôcok; keďže tieto predĺženia boli rozhodujúce pre zachovanie ochrany verejného zdravia počas pandémie ochorenia COVID-19;</w:t>
      </w:r>
    </w:p>
    <w:p>
      <w:pPr>
        <w:pStyle w:val="NormalHanging12a"/>
        <w:rPr>
          <w:rFonts w:eastAsiaTheme="minorHAnsi"/>
        </w:rPr>
      </w:pPr>
      <w:r>
        <w:t>M.</w:t>
      </w:r>
      <w:r>
        <w:tab/>
        <w:t xml:space="preserve">keďže od prijatia nariadenia o zdravotníckych pomôckach a nariadenia o diagnostických zdravotníckych pomôckach </w:t>
      </w:r>
      <w:r>
        <w:rPr>
          <w:i/>
          <w:iCs/>
        </w:rPr>
        <w:t>in vitro</w:t>
      </w:r>
      <w:r>
        <w:t xml:space="preserve"> Komisia zaviedla aj nové ustanovenia týkajúce sa Európskej databázy zdravotníckych pomôcok (ďalej len „EUDAMED“) a systému oznamovania v prípade narušení trhu alebo prerušenia dodávok;</w:t>
      </w:r>
    </w:p>
    <w:p>
      <w:pPr>
        <w:pStyle w:val="NormalHanging12a"/>
      </w:pPr>
      <w:r>
        <w:t>N.</w:t>
      </w:r>
      <w:r>
        <w:tab/>
        <w:t>keďže je dôležité zabezpečiť, aby pacienti a zdravotnícki pracovníci mali prístup ku všetkým relevantným dokumentom a rozhodnutiam notifikovaných osôb;</w:t>
      </w:r>
    </w:p>
    <w:p>
      <w:pPr>
        <w:pStyle w:val="NormalHanging12a"/>
      </w:pPr>
      <w:r>
        <w:t>O.</w:t>
      </w:r>
      <w:r>
        <w:tab/>
        <w:t xml:space="preserve">keďže cieľom inovatívneho regulačného rámca týkajúceho sa zdravotníckych pomôcok na báze látok, ktorý bol zavedený nariadením o zdravotníckych pomôckach, je podporiť </w:t>
      </w:r>
      <w:r>
        <w:lastRenderedPageBreak/>
        <w:t>vývoj liečebných postupov, ktoré pôsobia nefarmakologicky, neimunologicky a nemetabolicky; keďže v usmerneniach a rozhodnutiach vydaných vnútroštátnymi orgánmi sa stanovujú obmedzenia, ktorými sa výrobky patriace do rozsahu pôsobnosti nariadenia o zdravotníckych pomôckach zatrieďujú do iných regulačných kategórií, čo je v rozpore s cieľom zákonodarcu EÚ podporovať terapeutické inovácie;</w:t>
      </w:r>
    </w:p>
    <w:p>
      <w:pPr>
        <w:pStyle w:val="NormalHanging12a"/>
        <w:rPr>
          <w:rFonts w:eastAsiaTheme="minorHAnsi"/>
        </w:rPr>
      </w:pPr>
      <w:r>
        <w:t>P.</w:t>
      </w:r>
      <w:r>
        <w:tab/>
        <w:t>keďže aplikácie elektronického zdravotníctva, ktorých účel zodpovedá definícii zdravotníckych pomôcok, v súčasnosti nie sú certifikované, a preto potenciálne ohrozujú zdravotné údaje používateľov;</w:t>
      </w:r>
    </w:p>
    <w:p>
      <w:pPr>
        <w:pStyle w:val="NormalHanging12a"/>
        <w:rPr>
          <w:rFonts w:eastAsiaTheme="minorHAnsi"/>
        </w:rPr>
      </w:pPr>
      <w:r>
        <w:t>1.</w:t>
      </w:r>
      <w:r>
        <w:tab/>
        <w:t xml:space="preserve">vyzýva Komisiu, aby do konca prvého štvrťroka 2025 navrhla delegované a vykonávacie akty k nariadeniu o zdravotníckych pomôckach a nariadeniu o diagnostických zdravotníckych pomôckach </w:t>
      </w:r>
      <w:r>
        <w:rPr>
          <w:i/>
          <w:iCs/>
        </w:rPr>
        <w:t>in vitro</w:t>
      </w:r>
      <w:r>
        <w:t xml:space="preserve"> s cieľom riešiť najnaliehavejšie problémy a prekážky pri vykonávaní legislatívnych rámcov a aby navrhla systematickú revíziu všetkých príslušných článkov týchto nariadení spolu s posúdením vplyvu, pričom táto revízia by sa mala vykonať čo najskôr;</w:t>
      </w:r>
    </w:p>
    <w:p>
      <w:pPr>
        <w:pStyle w:val="NormalHanging12a"/>
        <w:rPr>
          <w:rFonts w:eastAsiaTheme="minorHAnsi"/>
        </w:rPr>
      </w:pPr>
      <w:r>
        <w:t>2.</w:t>
      </w:r>
      <w:r>
        <w:tab/>
        <w:t>vyzýva Komisiu, aby v plnej miere využívala legislatívne a nelegislatívne nástroje na riešenie otázok rozdielneho výkladu a praktického uplatňovania s cieľom zefektívniť regulačný proces, zlepšiť transparentnosť a odstrániť zbytočnú administratívnu prácu pre notifikované osoby a výrobcov, najmä MSP, bez ohrozenia bezpečnosti pacientov;</w:t>
      </w:r>
    </w:p>
    <w:p>
      <w:pPr>
        <w:pStyle w:val="NormalHanging12a"/>
        <w:rPr>
          <w:rFonts w:eastAsiaTheme="minorHAnsi"/>
        </w:rPr>
      </w:pPr>
      <w:r>
        <w:t>3.</w:t>
      </w:r>
      <w:r>
        <w:tab/>
        <w:t xml:space="preserve">vyjadruje poľutovanie nad rizikom nedostatku zdravotníckych pomôcok a obmedzeným prístupom k určitým zdravotníckym pomôckam a diagnostikám </w:t>
      </w:r>
      <w:r>
        <w:rPr>
          <w:i/>
          <w:iCs/>
        </w:rPr>
        <w:t>in vitro</w:t>
      </w:r>
      <w:r>
        <w:t xml:space="preserve"> v niektorých častiach EÚ; zdôrazňuje, že prístup k zdravotnej starostlivosti a jej kvalita vrátane zdravotníckych pomôcok a diagnostík </w:t>
      </w:r>
      <w:r>
        <w:rPr>
          <w:i/>
          <w:iCs/>
        </w:rPr>
        <w:t>in vitro</w:t>
      </w:r>
      <w:r>
        <w:t xml:space="preserve"> by nemali závisieť od toho, kde v EÚ sa pacient nachádza;</w:t>
      </w:r>
    </w:p>
    <w:p>
      <w:pPr>
        <w:pStyle w:val="NormalHanging12a"/>
        <w:rPr>
          <w:rFonts w:eastAsiaTheme="minorHAnsi"/>
        </w:rPr>
      </w:pPr>
      <w:r>
        <w:t>4.</w:t>
      </w:r>
      <w:r>
        <w:tab/>
        <w:t>nabáda notifikované osoby, aby zabezpečili dostatočné zdroje na včasné uspokojenie dopytu na trhu; v tejto súvislosti vyzýva Komisiu a členské štáty, aby posilnili podporu a spoluprácu s cieľom zabezpečiť, že notifikované osoby budú mať optimálne kapacity a schopnosti na úplné vykonávanie regulačného rámca;</w:t>
      </w:r>
    </w:p>
    <w:p>
      <w:pPr>
        <w:pStyle w:val="NormalHanging12a"/>
        <w:rPr>
          <w:rFonts w:eastAsiaTheme="minorHAnsi"/>
        </w:rPr>
      </w:pPr>
      <w:r>
        <w:t>5.</w:t>
      </w:r>
      <w:r>
        <w:tab/>
        <w:t>zasadzuje sa za zavedenie transparentných a záväzných lehôt vrátane pozastavení v prípade procesných krokov pri posudzovaní zhody notifikovanými osobami, čo by výrobcom zaistilo predvídateľnosť a istotu, pokiaľ ide o postup prístupu na trh a jeho trvanie v rámci EÚ;</w:t>
      </w:r>
    </w:p>
    <w:p>
      <w:pPr>
        <w:pStyle w:val="NormalHanging12a"/>
        <w:rPr>
          <w:rFonts w:eastAsiaTheme="minorHAnsi"/>
        </w:rPr>
      </w:pPr>
      <w:r>
        <w:t>6.</w:t>
      </w:r>
      <w:r>
        <w:tab/>
        <w:t>požaduje transparentnosť poplatkov notifikovaných osôb a štruktúr poplatkov s cieľom umožniť hospodárskym subjektom porovnávať notifikované osoby a prijímať informované rozhodnutia, čím sa zabezpečí, aby poplatky zostali spravodlivou náhradou za poskytovanú službu vo verejnom záujme;</w:t>
      </w:r>
    </w:p>
    <w:p>
      <w:pPr>
        <w:pStyle w:val="NormalHanging12a"/>
        <w:rPr>
          <w:rFonts w:eastAsiaTheme="minorHAnsi"/>
        </w:rPr>
      </w:pPr>
      <w:r>
        <w:t>7.</w:t>
      </w:r>
      <w:r>
        <w:tab/>
        <w:t>zdôrazňuje, že treba odstrániť zbytočnú opätovnú certifikáciu výrobkov, a podčiarkuje, že určité aktualizácie alebo úpravy výrobkov by nemali nevyhnutne viesť k úplnej opätovnej certifikácii; zdôrazňuje potrebu harmonizovať takéto ustanovenia a zabezpečiť konzistentnosť v celej EÚ; vyzýva na spoluprácu medzi príslušnými orgánmi a poradnými orgánmi zodpovednými za iné regulačné rámce a kladie dôraz na potrebu správnej a konzistentnej klasifikácie výrobkov;</w:t>
      </w:r>
    </w:p>
    <w:p>
      <w:pPr>
        <w:pStyle w:val="NormalHanging12a"/>
      </w:pPr>
      <w:r>
        <w:t>8.</w:t>
      </w:r>
      <w:r>
        <w:tab/>
        <w:t xml:space="preserve">dôrazne vyzýva Komisiu, aby zvážila zrýchlené a </w:t>
      </w:r>
      <w:proofErr w:type="spellStart"/>
      <w:r>
        <w:t>priorizačné</w:t>
      </w:r>
      <w:proofErr w:type="spellEnd"/>
      <w:r>
        <w:t xml:space="preserve"> postupy pri schvaľovaní </w:t>
      </w:r>
      <w:r>
        <w:lastRenderedPageBreak/>
        <w:t>inovačných technológií v oblastiach neuspokojených liečebných potrieb a pomôcok spojených s núdzovými zdravotnými situáciami;</w:t>
      </w:r>
    </w:p>
    <w:p>
      <w:pPr>
        <w:pStyle w:val="NormalHanging12a"/>
        <w:rPr>
          <w:rFonts w:eastAsiaTheme="minorHAnsi"/>
        </w:rPr>
      </w:pPr>
      <w:r>
        <w:t>9.</w:t>
      </w:r>
      <w:r>
        <w:tab/>
        <w:t xml:space="preserve">zdôrazňuje potrebu chrániť zdravotné údaje zozbierané prostredníctvom aplikácií elektronického zdravotníctva tým, že sa tieto aplikácie výslovne zahrnú do rozsahu pôsobnosti revidovaného nariadenia o zdravotníckych pomôckach a stanovia sa pre </w:t>
      </w:r>
      <w:proofErr w:type="spellStart"/>
      <w:r>
        <w:t>ne</w:t>
      </w:r>
      <w:proofErr w:type="spellEnd"/>
      <w:r>
        <w:t xml:space="preserve"> vhodné ustanovenia;</w:t>
      </w:r>
    </w:p>
    <w:p>
      <w:pPr>
        <w:pStyle w:val="NormalHanging12a"/>
        <w:rPr>
          <w:rFonts w:eastAsiaTheme="minorHAnsi"/>
        </w:rPr>
      </w:pPr>
      <w:r>
        <w:t>10.</w:t>
      </w:r>
      <w:r>
        <w:tab/>
        <w:t xml:space="preserve">zdôrazňuje, že je potrebné stanoviť jasné pracovné vymedzenie pojmu „pomôcka na zriedkavé ochorenia“, ako ho určila Koordinačná skupina pre zdravotnícke pomôcky v rámci nariadenia o zdravotníckych pomôckach a nariadenia o diagnostických zdravotníckych pomôckach </w:t>
      </w:r>
      <w:r>
        <w:rPr>
          <w:i/>
          <w:iCs/>
        </w:rPr>
        <w:t>in vitro</w:t>
      </w:r>
      <w:r>
        <w:t>, s cieľom uľahčiť prijímanie harmonizovaných opatrení v celej EÚ; okrem toho požaduje spoľahlivý systém na predchádzanie zneužívaniu prostredníctvom umelého zaradenia ako pomôcky na zriedkavé ochorenia;</w:t>
      </w:r>
    </w:p>
    <w:p>
      <w:pPr>
        <w:pStyle w:val="NormalHanging12a"/>
        <w:rPr>
          <w:rFonts w:eastAsiaTheme="minorHAnsi"/>
        </w:rPr>
      </w:pPr>
      <w:r>
        <w:t>11.</w:t>
      </w:r>
      <w:r>
        <w:tab/>
        <w:t xml:space="preserve">požaduje zavedenie prispôsobených pravidiel pre zdravotnícke pomôcky na zriedkavé a pediatrické ochorenia bez toho, aby bola ohrozená bezpečnosť pacientov, a zdôrazňuje potrebu účinnejších postupov posudzovania zhody prispôsobených zdravotníckym pomôckam a diagnostickým zdravotníckym pomôckam </w:t>
      </w:r>
      <w:r>
        <w:rPr>
          <w:i/>
          <w:iCs/>
        </w:rPr>
        <w:t>in vitro</w:t>
      </w:r>
      <w:r>
        <w:t xml:space="preserve"> na relatívne malých trhoch, ako sú výrobky na liečbu detí alebo zriedkavých ochorení;</w:t>
      </w:r>
    </w:p>
    <w:p>
      <w:pPr>
        <w:pStyle w:val="NormalHanging12a"/>
        <w:rPr>
          <w:rFonts w:eastAsiaTheme="minorHAnsi"/>
        </w:rPr>
      </w:pPr>
      <w:r>
        <w:t>12.</w:t>
      </w:r>
      <w:r>
        <w:tab/>
        <w:t>vyzýva Komisiu, aby uľahčila zber klinických údajov z existujúcich vnútroštátnych registrov pre malé skupiny pacientov liečených alebo diagnostikovaných prostredníctvom pomôcok na zriedkavé a pediatrické ochorenia, a to v súlade s ochranou osobných údajov; uznáva výzvy, ktorým čelia rôzne MSP pri prispôsobovaní sa právnym rámcom; vyzýva členské štáty a Komisiu, aby vypracovali osobitné opatrenia na podporu MSP vrátane poskytovania vzorových dokumentov a formulárov žiadostí, regulačných usmernení a inej pomoci s cieľom znížiť náklady a zložitosť regulačných rámcov;</w:t>
      </w:r>
    </w:p>
    <w:p>
      <w:pPr>
        <w:pStyle w:val="NormalHanging12a"/>
        <w:rPr>
          <w:rFonts w:eastAsiaTheme="minorHAnsi"/>
        </w:rPr>
      </w:pPr>
      <w:r>
        <w:t>13.</w:t>
      </w:r>
      <w:r>
        <w:tab/>
        <w:t>vyzýva Komisiu, aby nepretržite monitorovala dostupnosť pomôcok, najmä posledných zostávajúcich pomôcok konkrétnych typov, a aby prijala vhodné opatrenia na zaistenie ich dostupnosti na trhu EÚ; v tejto súvislosti vyzýva na urýchlené úplné vykonávanie databázy EUDAMED, ktorá umožní spracúvanie informácií o zdravotníckych pomôckach a výrobcoch s cieľom zvýšiť transparentnosť, poskytnúť verejnosti a zdravotníckym pracovníkom lepší prístup k informáciám a posilniť koordináciu medzi členskými štátmi;</w:t>
      </w:r>
    </w:p>
    <w:p>
      <w:pPr>
        <w:pStyle w:val="NormalHanging12a"/>
        <w:rPr>
          <w:rFonts w:eastAsiaTheme="minorHAnsi"/>
        </w:rPr>
      </w:pPr>
      <w:r>
        <w:t>14.</w:t>
      </w:r>
      <w:r>
        <w:tab/>
        <w:t>zdôrazňuje, že všetky nové pravidlá alebo zmeny existujúcich pravidiel musia zahŕňať primerané prechodné obdobie, aby sa všetkým zainteresovaným stranám poskytol dostatočný čas na prispôsobenie sa zmenám;</w:t>
      </w:r>
    </w:p>
    <w:p>
      <w:pPr>
        <w:pStyle w:val="NormalHanging12a"/>
      </w:pPr>
      <w:r>
        <w:t>15.</w:t>
      </w:r>
      <w:r>
        <w:tab/>
        <w:t>poveruje svoju predsedníčku, aby postúpila toto uznesenie Rade, Komisii a vládam a parlamentom členských štátov.</w:t>
      </w:r>
    </w:p>
    <w:p>
      <w:bookmarkStart w:id="8" w:name="TextBodyEnd"/>
      <w:bookmarkEnd w:id="8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117, 5.5.2017, s. 1, ELI: </w:t>
      </w:r>
      <w:hyperlink r:id="rId1" w:history="1">
        <w:r>
          <w:rPr>
            <w:rStyle w:val="Hyperlink"/>
            <w:sz w:val="24"/>
            <w:lang w:val="fi-FI"/>
          </w:rPr>
          <w:t>http://data.europa.eu/eli/reg/2017/745/oj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L 117, 5.5.2017, s. 176, ELI: </w:t>
      </w:r>
      <w:hyperlink r:id="rId2" w:history="1">
        <w:r>
          <w:rPr>
            <w:rStyle w:val="Hyperlink"/>
            <w:sz w:val="24"/>
            <w:lang w:val="fi-FI"/>
          </w:rPr>
          <w:t>http://data.europa.eu/eli/reg/2017/746/oj</w:t>
        </w:r>
      </w:hyperlink>
      <w:r>
        <w:rPr>
          <w:sz w:val="24"/>
          <w:lang w:val="sk-SK"/>
        </w:rPr>
        <w:t>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L 80, 20.3.2023, s. 24, ELI: </w:t>
      </w:r>
      <w:hyperlink r:id="rId3" w:history="1">
        <w:r>
          <w:rPr>
            <w:rStyle w:val="Hyperlink"/>
            <w:sz w:val="24"/>
            <w:lang w:val="fi-FI"/>
          </w:rPr>
          <w:t>http://data.europa.eu/eli/reg/2023/607/oj</w:t>
        </w:r>
      </w:hyperlink>
      <w:r>
        <w:rPr>
          <w:sz w:val="24"/>
          <w:lang w:val="sk-SK"/>
        </w:rPr>
        <w:t>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Nariadenie Európskeho parlamentu a Rady (EÚ) 2020/561 z 23. apríla 2020, ktorým sa mení nariadenie (EÚ) 2017/745 o zdravotníckych pomôckach, pokiaľ ide o dátumy uplatňovania niektorých jeho ustanovení (Ú. v. EÚ L 130, 24.4.2020, s. 18, ELI: </w:t>
      </w:r>
      <w:hyperlink r:id="rId4" w:history="1">
        <w:r>
          <w:rPr>
            <w:rStyle w:val="Hyperlink"/>
            <w:sz w:val="24"/>
            <w:lang w:val="sk-SK"/>
          </w:rPr>
          <w:t>http://data.europa.eu/eli/reg/2020/561/oj</w:t>
        </w:r>
      </w:hyperlink>
      <w:r>
        <w:rPr>
          <w:sz w:val="24"/>
          <w:lang w:val="sk-SK"/>
        </w:rPr>
        <w:t>).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Nariadenie Európskeho parlamentu a Rady (EÚ) 2022/112 z 25. januára 2022, ktorým sa mení nariadenie (EÚ) 2017/746, pokiaľ ide o prechodné ustanovenia pre určité diagnostické zdravotnícke pomôcky </w:t>
      </w:r>
      <w:r>
        <w:rPr>
          <w:i/>
          <w:iCs/>
          <w:sz w:val="24"/>
          <w:lang w:val="sk-SK"/>
        </w:rPr>
        <w:t>in vitro</w:t>
      </w:r>
      <w:r>
        <w:rPr>
          <w:sz w:val="24"/>
          <w:lang w:val="sk-SK"/>
        </w:rPr>
        <w:t xml:space="preserve"> a odklad uplatňovania podmienok na interné pomôcky (Ú. v. EÚ L 19, 28.1.2022, s. 3, ELI: </w:t>
      </w:r>
      <w:hyperlink r:id="rId5" w:history="1">
        <w:r>
          <w:rPr>
            <w:rStyle w:val="Hyperlink"/>
            <w:sz w:val="24"/>
            <w:lang w:val="sk-SK"/>
          </w:rPr>
          <w:t>http://data.europa.eu/eli/reg/2022/112/oj</w:t>
        </w:r>
      </w:hyperlink>
      <w:r>
        <w:rPr>
          <w:sz w:val="24"/>
          <w:lang w:val="sk-SK"/>
        </w:rPr>
        <w:t>).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Nariadenie Európskeho parlamentu a Rady (EÚ) 2024/1860 z 13. júna 2024, ktorým sa menia nariadenia (EÚ) 2017/745 a (EÚ) 2017/746, pokiaľ ide o postupné zavádzanie databázy </w:t>
      </w:r>
      <w:proofErr w:type="spellStart"/>
      <w:r>
        <w:rPr>
          <w:sz w:val="24"/>
          <w:lang w:val="sk-SK"/>
        </w:rPr>
        <w:t>Eudamed</w:t>
      </w:r>
      <w:proofErr w:type="spellEnd"/>
      <w:r>
        <w:rPr>
          <w:sz w:val="24"/>
          <w:lang w:val="sk-SK"/>
        </w:rPr>
        <w:t xml:space="preserve">, povinnosť informovať v prípade prerušenia alebo ukončenia dodávok a prechodné ustanovenia pre určité diagnostické zdravotnícke pomôcky </w:t>
      </w:r>
      <w:r>
        <w:rPr>
          <w:i/>
          <w:iCs/>
          <w:sz w:val="24"/>
          <w:lang w:val="sk-SK"/>
        </w:rPr>
        <w:t>in vitro</w:t>
      </w:r>
      <w:r>
        <w:rPr>
          <w:sz w:val="24"/>
          <w:lang w:val="sk-SK"/>
        </w:rPr>
        <w:t xml:space="preserve"> (Ú. v. EÚ L, 2024/1860, 9.7.2024, ELI: </w:t>
      </w:r>
      <w:hyperlink r:id="rId6" w:history="1">
        <w:r>
          <w:rPr>
            <w:rStyle w:val="Hyperlink"/>
            <w:sz w:val="24"/>
            <w:lang w:val="sk-SK"/>
          </w:rPr>
          <w:t>http://data.europa.eu/eli/reg/2024/1860/oj</w:t>
        </w:r>
      </w:hyperlink>
      <w:r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, 0124, 0125, 0126, 0127 a 0128/2024"/>
    <w:docVar w:name="dvlangue" w:val="SK"/>
    <w:docVar w:name="dvnumam" w:val="0"/>
    <w:docVar w:name="dvpe" w:val="764.132"/>
    <w:docVar w:name="dvtitre" w:val="Uznesenie Európskeho parlamentu z 23. októbra 2024 o naliehavej potrebe revízie nariadenia o zdravotníckych pomôckach(2024/2849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BCD92-75BF-41E4-AEFF-DE012318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607/oj" TargetMode="External"/><Relationship Id="rId2" Type="http://schemas.openxmlformats.org/officeDocument/2006/relationships/hyperlink" Target="http://data.europa.eu/eli/reg/2017/746/oj" TargetMode="External"/><Relationship Id="rId1" Type="http://schemas.openxmlformats.org/officeDocument/2006/relationships/hyperlink" Target="http://data.europa.eu/eli/reg/2017/745/oj" TargetMode="External"/><Relationship Id="rId6" Type="http://schemas.openxmlformats.org/officeDocument/2006/relationships/hyperlink" Target="http://data.europa.eu/eli/reg/2024/1860/oj" TargetMode="External"/><Relationship Id="rId5" Type="http://schemas.openxmlformats.org/officeDocument/2006/relationships/hyperlink" Target="http://data.europa.eu/eli/reg/2022/112/oj" TargetMode="External"/><Relationship Id="rId4" Type="http://schemas.openxmlformats.org/officeDocument/2006/relationships/hyperlink" Target="http://data.europa.eu/eli/reg/2020/5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8D3FD-914C-4A67-8B9E-1A44A1A2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1708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2024-10-23T13:03:00Z</dcterms:created>
  <dcterms:modified xsi:type="dcterms:W3CDTF">2024-10-23T13:03:00Z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B10-0123, 0124, 0125, 0126, 0127 a 0128/2024</vt:lpwstr>
  </property>
  <property fmtid="{D5CDD505-2E9C-101B-9397-08002B2CF9AE}" pid="4" name="&lt;Type&gt;">
    <vt:lpwstr>RR</vt:lpwstr>
  </property>
</Properties>
</file>