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F57" w:rsidTr="0010095E">
        <w:trPr>
          <w:trHeight w:hRule="exact" w:val="1418"/>
        </w:trPr>
        <w:tc>
          <w:tcPr>
            <w:tcW w:w="6804" w:type="dxa"/>
            <w:shd w:val="clear" w:color="auto" w:fill="auto"/>
            <w:vAlign w:val="center"/>
          </w:tcPr>
          <w:p w:rsidR="00751A4A" w:rsidRPr="00AD6F57" w:rsidRDefault="000B2B32" w:rsidP="0010095E">
            <w:pPr>
              <w:pStyle w:val="EPName"/>
            </w:pPr>
            <w:r w:rsidRPr="00AD6F57">
              <w:t>Europski parlament</w:t>
            </w:r>
          </w:p>
          <w:p w:rsidR="00751A4A" w:rsidRPr="00AD6F57" w:rsidRDefault="005F1B17" w:rsidP="005F1B17">
            <w:pPr>
              <w:pStyle w:val="EPTerm"/>
              <w:rPr>
                <w:rStyle w:val="HideTWBExt"/>
                <w:noProof w:val="0"/>
                <w:vanish w:val="0"/>
                <w:color w:val="auto"/>
              </w:rPr>
            </w:pPr>
            <w:r w:rsidRPr="00AD6F57">
              <w:t>2024</w:t>
            </w:r>
            <w:r w:rsidR="00817416" w:rsidRPr="00AD6F57">
              <w:t>-202</w:t>
            </w:r>
            <w:r w:rsidRPr="00AD6F57">
              <w:t>9</w:t>
            </w:r>
          </w:p>
        </w:tc>
        <w:tc>
          <w:tcPr>
            <w:tcW w:w="2268" w:type="dxa"/>
            <w:shd w:val="clear" w:color="auto" w:fill="auto"/>
          </w:tcPr>
          <w:p w:rsidR="00751A4A" w:rsidRPr="00AD6F57" w:rsidRDefault="00187494" w:rsidP="0010095E">
            <w:pPr>
              <w:pStyle w:val="EPLogo"/>
            </w:pPr>
            <w:r w:rsidRPr="00AD6F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6F57" w:rsidRDefault="00D058B8" w:rsidP="004C5D52">
      <w:pPr>
        <w:pStyle w:val="LineTop"/>
      </w:pPr>
    </w:p>
    <w:p w:rsidR="00680577" w:rsidRPr="00AD6F57" w:rsidRDefault="000B2B32" w:rsidP="00680577">
      <w:pPr>
        <w:pStyle w:val="EPBodyTA1"/>
      </w:pPr>
      <w:r w:rsidRPr="00AD6F57">
        <w:t>USVOJENI TEKSTOVI</w:t>
      </w:r>
    </w:p>
    <w:p w:rsidR="00D058B8" w:rsidRPr="00AD6F57" w:rsidRDefault="00D058B8" w:rsidP="00D058B8">
      <w:pPr>
        <w:pStyle w:val="LineBottom"/>
      </w:pPr>
    </w:p>
    <w:p w:rsidR="000B2B32" w:rsidRPr="00AD6F57" w:rsidRDefault="000B2B32" w:rsidP="000B2B32">
      <w:pPr>
        <w:pStyle w:val="ATHeading1"/>
      </w:pPr>
      <w:bookmarkStart w:id="0" w:name="TANumber"/>
      <w:r w:rsidRPr="00AD6F57">
        <w:t>P10_TA(2024)00</w:t>
      </w:r>
      <w:bookmarkEnd w:id="0"/>
      <w:r w:rsidR="0025153B" w:rsidRPr="00AD6F57">
        <w:t>30</w:t>
      </w:r>
    </w:p>
    <w:p w:rsidR="000B2B32" w:rsidRPr="00AD6F57" w:rsidRDefault="009C38CD" w:rsidP="000B2B32">
      <w:pPr>
        <w:pStyle w:val="ATHeading2"/>
      </w:pPr>
      <w:bookmarkStart w:id="1" w:name="title"/>
      <w:r w:rsidRPr="00AD6F57">
        <w:rPr>
          <w:bCs/>
        </w:rPr>
        <w:t>Pogrešno tumačenje Rezolucije UN-a br. 2758 od strane Narodne Republike Kine i njezine stalne vojne provokacije oko Tajvana</w:t>
      </w:r>
      <w:bookmarkEnd w:id="1"/>
    </w:p>
    <w:p w:rsidR="000B2B32" w:rsidRPr="00AD6F57" w:rsidRDefault="000B2B32" w:rsidP="000B2B32">
      <w:pPr>
        <w:rPr>
          <w:i/>
          <w:vanish/>
        </w:rPr>
      </w:pPr>
      <w:r w:rsidRPr="00AD6F57">
        <w:rPr>
          <w:i/>
        </w:rPr>
        <w:fldChar w:fldCharType="begin"/>
      </w:r>
      <w:r w:rsidRPr="00AD6F57">
        <w:rPr>
          <w:i/>
        </w:rPr>
        <w:instrText xml:space="preserve"> TC"(</w:instrText>
      </w:r>
      <w:bookmarkStart w:id="2" w:name="DocNumber"/>
      <w:r w:rsidRPr="00AD6F57">
        <w:rPr>
          <w:i/>
        </w:rPr>
        <w:instrText>B10-0134</w:instrText>
      </w:r>
      <w:r w:rsidR="009C38CD" w:rsidRPr="00AD6F57">
        <w:rPr>
          <w:i/>
        </w:rPr>
        <w:instrText>, 0135, 0137, 0138 i 0140</w:instrText>
      </w:r>
      <w:r w:rsidRPr="00AD6F57">
        <w:rPr>
          <w:i/>
        </w:rPr>
        <w:instrText>/2024</w:instrText>
      </w:r>
      <w:bookmarkEnd w:id="2"/>
      <w:r w:rsidRPr="00AD6F57">
        <w:rPr>
          <w:i/>
        </w:rPr>
        <w:instrText xml:space="preserve">)"\l3 \n&gt; \* MERGEFORMAT </w:instrText>
      </w:r>
      <w:r w:rsidRPr="00AD6F57">
        <w:rPr>
          <w:i/>
        </w:rPr>
        <w:fldChar w:fldCharType="end"/>
      </w:r>
    </w:p>
    <w:p w:rsidR="000B2B32" w:rsidRPr="00AD6F57" w:rsidRDefault="000B2B32" w:rsidP="000B2B32">
      <w:pPr>
        <w:rPr>
          <w:vanish/>
        </w:rPr>
      </w:pPr>
      <w:bookmarkStart w:id="3" w:name="PE"/>
      <w:r w:rsidRPr="00AD6F57">
        <w:rPr>
          <w:vanish/>
        </w:rPr>
        <w:t>PE764.144</w:t>
      </w:r>
      <w:bookmarkEnd w:id="3"/>
    </w:p>
    <w:p w:rsidR="000B2B32" w:rsidRPr="00AD6F57" w:rsidRDefault="000B2B32" w:rsidP="000B2B32">
      <w:pPr>
        <w:pStyle w:val="ATHeading3"/>
      </w:pPr>
      <w:bookmarkStart w:id="4" w:name="Sujet"/>
      <w:r w:rsidRPr="00AD6F57">
        <w:t>Rezoluc</w:t>
      </w:r>
      <w:r w:rsidR="009C38CD" w:rsidRPr="00AD6F57">
        <w:t>ija Europskog parlamenta od 24. listopada</w:t>
      </w:r>
      <w:r w:rsidRPr="00AD6F57">
        <w:t xml:space="preserve"> 2024. o pogrešnom tumačenju Rezolucije UN-a br. 2758 od strane Narodne Republike Kine i njezinoj stalnoj vojnoj provokaciji oko Tajvana</w:t>
      </w:r>
      <w:bookmarkEnd w:id="4"/>
      <w:r w:rsidRPr="00AD6F57">
        <w:t xml:space="preserve"> </w:t>
      </w:r>
      <w:bookmarkStart w:id="5" w:name="References"/>
      <w:r w:rsidRPr="00AD6F57">
        <w:t>(2024/2891(RSP))</w:t>
      </w:r>
      <w:bookmarkEnd w:id="5"/>
    </w:p>
    <w:p w:rsidR="002635F8" w:rsidRPr="00AD6F57" w:rsidRDefault="002635F8" w:rsidP="002635F8">
      <w:pPr>
        <w:pStyle w:val="EPComma"/>
      </w:pPr>
      <w:bookmarkStart w:id="6" w:name="TextBodyBegin"/>
      <w:bookmarkEnd w:id="6"/>
      <w:r w:rsidRPr="00AD6F57">
        <w:rPr>
          <w:i/>
        </w:rPr>
        <w:t>Europski parlament</w:t>
      </w:r>
      <w:r w:rsidRPr="00AD6F57">
        <w:t>,</w:t>
      </w:r>
    </w:p>
    <w:p w:rsidR="002635F8" w:rsidRPr="00AD6F57" w:rsidRDefault="002635F8" w:rsidP="002635F8">
      <w:pPr>
        <w:pStyle w:val="NormalHanging12a"/>
      </w:pPr>
      <w:r w:rsidRPr="00AD6F57">
        <w:t>–</w:t>
      </w:r>
      <w:r w:rsidRPr="00AD6F57">
        <w:tab/>
        <w:t>uzimajući u obzir svoje prethodne rezolucije o Narodnoj Republici Kini i Tajvanu;</w:t>
      </w:r>
    </w:p>
    <w:p w:rsidR="002635F8" w:rsidRPr="00AD6F57" w:rsidRDefault="002635F8" w:rsidP="002635F8">
      <w:pPr>
        <w:pStyle w:val="NormalHanging12a"/>
      </w:pPr>
      <w:r w:rsidRPr="00AD6F57">
        <w:t>–</w:t>
      </w:r>
      <w:r w:rsidRPr="00AD6F57">
        <w:tab/>
        <w:t>uzimajući u obzir svoju Rezoluciju od 16. rujna 2021. o novoj strategiji EU-a za Kinu</w:t>
      </w:r>
      <w:r w:rsidRPr="00AD6F57">
        <w:rPr>
          <w:rStyle w:val="FootnoteReference"/>
        </w:rPr>
        <w:footnoteReference w:id="1"/>
      </w:r>
      <w:r w:rsidRPr="00AD6F57">
        <w:t>,</w:t>
      </w:r>
    </w:p>
    <w:p w:rsidR="002635F8" w:rsidRPr="00AD6F57" w:rsidRDefault="002635F8" w:rsidP="002635F8">
      <w:pPr>
        <w:pStyle w:val="NormalHanging12a"/>
      </w:pPr>
      <w:r w:rsidRPr="00AD6F57">
        <w:t>–</w:t>
      </w:r>
      <w:r w:rsidRPr="00AD6F57">
        <w:tab/>
        <w:t>uzimajući u obzir svoju preporuku od 21. listopada 2021. upućenu potpredsjedniku Komisije / Visokom predstavniku Unije za vanjske poslove i sigurnosnu politiku o političkim odnosima i suradnji EU-a i Tajvana</w:t>
      </w:r>
      <w:r w:rsidRPr="00AD6F57">
        <w:rPr>
          <w:rStyle w:val="FootnoteReference"/>
        </w:rPr>
        <w:footnoteReference w:id="2"/>
      </w:r>
      <w:r w:rsidRPr="00AD6F57">
        <w:t>,</w:t>
      </w:r>
    </w:p>
    <w:p w:rsidR="002635F8" w:rsidRPr="00AD6F57" w:rsidRDefault="002635F8" w:rsidP="002635F8">
      <w:pPr>
        <w:pStyle w:val="NormalHanging12a"/>
      </w:pPr>
      <w:r w:rsidRPr="00AD6F57">
        <w:t>–</w:t>
      </w:r>
      <w:r w:rsidRPr="00AD6F57">
        <w:tab/>
        <w:t>uzimajući u obzir svoju Rezoluciju od 7. lipnja 2022. o EU-u i sigurnosnim izazovima u indopacifičkoj regiji</w:t>
      </w:r>
      <w:r w:rsidRPr="00AD6F57">
        <w:rPr>
          <w:rStyle w:val="FootnoteReference"/>
        </w:rPr>
        <w:footnoteReference w:id="3"/>
      </w:r>
      <w:r w:rsidRPr="00AD6F57">
        <w:t>,</w:t>
      </w:r>
    </w:p>
    <w:p w:rsidR="002635F8" w:rsidRPr="00AD6F57" w:rsidRDefault="002635F8" w:rsidP="002635F8">
      <w:pPr>
        <w:pStyle w:val="NormalHanging12a"/>
      </w:pPr>
      <w:r w:rsidRPr="00AD6F57">
        <w:t>–</w:t>
      </w:r>
      <w:r w:rsidRPr="00AD6F57">
        <w:tab/>
        <w:t>uzimajući u obzir svoju Rezoluciju od 15. rujna 2022. o stanju u Tajvanskom tjesnacu</w:t>
      </w:r>
      <w:r w:rsidRPr="00AD6F57">
        <w:rPr>
          <w:rStyle w:val="FootnoteReference"/>
        </w:rPr>
        <w:footnoteReference w:id="4"/>
      </w:r>
      <w:r w:rsidRPr="00AD6F57">
        <w:t>,</w:t>
      </w:r>
    </w:p>
    <w:p w:rsidR="002635F8" w:rsidRPr="00AD6F57" w:rsidRDefault="002635F8" w:rsidP="002635F8">
      <w:pPr>
        <w:pStyle w:val="NormalHanging12a"/>
      </w:pPr>
      <w:r w:rsidRPr="00AD6F57">
        <w:t>–</w:t>
      </w:r>
      <w:r w:rsidRPr="00AD6F57">
        <w:tab/>
        <w:t>uzimajući u obzir svoju Rezoluciju od 13. prosinca 2023. o trgovinskim i investicijskim odnosima između EU-a i Tajvana</w:t>
      </w:r>
      <w:r w:rsidRPr="00AD6F57">
        <w:rPr>
          <w:rStyle w:val="FootnoteReference"/>
        </w:rPr>
        <w:footnoteReference w:id="5"/>
      </w:r>
      <w:r w:rsidRPr="00AD6F57">
        <w:t>,</w:t>
      </w:r>
    </w:p>
    <w:p w:rsidR="002635F8" w:rsidRPr="00AD6F57" w:rsidRDefault="002635F8" w:rsidP="002635F8">
      <w:pPr>
        <w:pStyle w:val="NormalHanging12a"/>
      </w:pPr>
      <w:r w:rsidRPr="00AD6F57">
        <w:t>–</w:t>
      </w:r>
      <w:r w:rsidRPr="00AD6F57">
        <w:tab/>
        <w:t>uzimajući u obzir Strateški kompas za sigurnost i obranu koji je Vijeće odobrilo 21. ožujka 2022.,</w:t>
      </w:r>
    </w:p>
    <w:p w:rsidR="002635F8" w:rsidRPr="00AD6F57" w:rsidRDefault="002635F8" w:rsidP="002635F8">
      <w:pPr>
        <w:pStyle w:val="NormalHanging12a"/>
      </w:pPr>
      <w:r w:rsidRPr="00AD6F57">
        <w:t>–</w:t>
      </w:r>
      <w:r w:rsidRPr="00AD6F57">
        <w:tab/>
        <w:t xml:space="preserve">uzimajući u obzir zajedničku komunikaciju Komisije i Visokog predstavnika Unije za vanjske poslove i sigurnosnu politiku od 16. rujna 2021. naslovljenu „Strategija EU-a za </w:t>
      </w:r>
      <w:r w:rsidRPr="00AD6F57">
        <w:lastRenderedPageBreak/>
        <w:t>suradnju u indopacifičkoj regiji” (JOIN(2021)0024),</w:t>
      </w:r>
    </w:p>
    <w:p w:rsidR="002635F8" w:rsidRPr="00AD6F57" w:rsidRDefault="002635F8" w:rsidP="002635F8">
      <w:pPr>
        <w:pStyle w:val="NormalHanging12a"/>
      </w:pPr>
      <w:r w:rsidRPr="00AD6F57">
        <w:t>–</w:t>
      </w:r>
      <w:r w:rsidRPr="00AD6F57">
        <w:tab/>
        <w:t>uzimajući u obzir politiku EU-a o „jednoj Kini”,</w:t>
      </w:r>
    </w:p>
    <w:p w:rsidR="002635F8" w:rsidRPr="00AD6F57" w:rsidRDefault="002635F8" w:rsidP="002635F8">
      <w:pPr>
        <w:pStyle w:val="NormalHanging12a"/>
      </w:pPr>
      <w:r w:rsidRPr="00AD6F57">
        <w:t>–</w:t>
      </w:r>
      <w:r w:rsidRPr="00AD6F57">
        <w:tab/>
        <w:t>uzimajući u obzir sastanak na vrhu između EU-a i Kine održan 7. prosinca 2023.,</w:t>
      </w:r>
    </w:p>
    <w:p w:rsidR="002635F8" w:rsidRPr="00AD6F57" w:rsidRDefault="002635F8" w:rsidP="002635F8">
      <w:pPr>
        <w:pStyle w:val="NormalHanging12a"/>
      </w:pPr>
      <w:r w:rsidRPr="00AD6F57">
        <w:t>–</w:t>
      </w:r>
      <w:r w:rsidRPr="00AD6F57">
        <w:tab/>
        <w:t>uzimajući u obzir zaključke Europskog vijeća od 30. lipnja 2023. o Kini,</w:t>
      </w:r>
    </w:p>
    <w:p w:rsidR="002635F8" w:rsidRPr="00AD6F57" w:rsidRDefault="002635F8" w:rsidP="002635F8">
      <w:pPr>
        <w:pStyle w:val="NormalHanging12a"/>
      </w:pPr>
      <w:r w:rsidRPr="00AD6F57">
        <w:t>–</w:t>
      </w:r>
      <w:r w:rsidRPr="00AD6F57">
        <w:tab/>
        <w:t>uzimajući u obzir posjete Tajvanu Odbora za vanjske poslove od 25. do 27. srpnja 2023. i Odbora za međunarodnu trgovinu od 19. do 21. prosinca 2022.,</w:t>
      </w:r>
    </w:p>
    <w:p w:rsidR="002635F8" w:rsidRPr="00AD6F57" w:rsidRDefault="002635F8" w:rsidP="002635F8">
      <w:pPr>
        <w:pStyle w:val="NormalHanging12a"/>
      </w:pPr>
      <w:r w:rsidRPr="00AD6F57">
        <w:t>–</w:t>
      </w:r>
      <w:r w:rsidRPr="00AD6F57">
        <w:tab/>
        <w:t>uzimajući u obzir izjavu glasnogovornika Visokog predstavnika Unije za vanjske poslove i sigurnosnu politiku od 1. rujna 2024. o najnovijim opasnim djelovanjima u Južnokineskom moru,</w:t>
      </w:r>
    </w:p>
    <w:p w:rsidR="002635F8" w:rsidRPr="00AD6F57" w:rsidRDefault="002635F8" w:rsidP="002635F8">
      <w:pPr>
        <w:pStyle w:val="NormalHanging12a"/>
      </w:pPr>
      <w:r w:rsidRPr="00AD6F57">
        <w:t>–</w:t>
      </w:r>
      <w:r w:rsidRPr="00AD6F57">
        <w:tab/>
        <w:t>uzimajući u obzir izjave glasnogovornika Visokog predstavnika Unije za vanjske poslove i sigurnosnu politiku o kineskim vojnim vježbama oko Tajvana, uključujući posljednju izjavu od 14. listopada 2024.,</w:t>
      </w:r>
    </w:p>
    <w:p w:rsidR="002635F8" w:rsidRPr="00AD6F57" w:rsidRDefault="002635F8" w:rsidP="002635F8">
      <w:pPr>
        <w:pStyle w:val="NormalHanging12a"/>
      </w:pPr>
      <w:r w:rsidRPr="00AD6F57">
        <w:t>–</w:t>
      </w:r>
      <w:r w:rsidRPr="00AD6F57">
        <w:tab/>
        <w:t>uzimajući u obzir izjave ministara vanjskih poslova skupine G7 od 18. travnja 2023. i 3. kolovoza 2022. o očuvanju mira i stabilnosti u Tajvanskom tjesnacu,</w:t>
      </w:r>
    </w:p>
    <w:p w:rsidR="002635F8" w:rsidRPr="00AD6F57" w:rsidRDefault="002635F8" w:rsidP="002635F8">
      <w:pPr>
        <w:pStyle w:val="NormalHanging12a"/>
      </w:pPr>
      <w:r w:rsidRPr="00AD6F57">
        <w:t>–</w:t>
      </w:r>
      <w:r w:rsidRPr="00AD6F57">
        <w:tab/>
        <w:t>uzimajući u obzir izjavu predsjedatelja sastanka ministara vanjskih poslova skupine G7 od 23. rujna 2024.;</w:t>
      </w:r>
    </w:p>
    <w:p w:rsidR="002635F8" w:rsidRPr="00AD6F57" w:rsidRDefault="002635F8" w:rsidP="002635F8">
      <w:pPr>
        <w:pStyle w:val="NormalHanging12a"/>
      </w:pPr>
      <w:r w:rsidRPr="00AD6F57">
        <w:t>–</w:t>
      </w:r>
      <w:r w:rsidRPr="00AD6F57">
        <w:tab/>
        <w:t>uzimajući u obzir zajedničku izjavu ministara vanjskih poslova skupine G7 od 19. listopada 2024.,</w:t>
      </w:r>
    </w:p>
    <w:p w:rsidR="002635F8" w:rsidRPr="00AD6F57" w:rsidRDefault="002635F8" w:rsidP="002635F8">
      <w:pPr>
        <w:pStyle w:val="NormalHanging12a"/>
      </w:pPr>
      <w:r w:rsidRPr="00AD6F57">
        <w:t>–</w:t>
      </w:r>
      <w:r w:rsidRPr="00AD6F57">
        <w:tab/>
        <w:t>uzimajući u obzir hitni prijedlog o Tajvanu koji je australski Senat donio 21. kolovoza 2024.,</w:t>
      </w:r>
    </w:p>
    <w:p w:rsidR="002635F8" w:rsidRPr="00AD6F57" w:rsidRDefault="002635F8" w:rsidP="002635F8">
      <w:pPr>
        <w:pStyle w:val="NormalHanging12a"/>
      </w:pPr>
      <w:r w:rsidRPr="00AD6F57">
        <w:t>–</w:t>
      </w:r>
      <w:r w:rsidRPr="00AD6F57">
        <w:tab/>
        <w:t>uzimajući u obzir Rezoluciju Vijeća sigurnosti UN-a 2758 (XXVI) od 25. listopada 1971.,</w:t>
      </w:r>
    </w:p>
    <w:p w:rsidR="002635F8" w:rsidRPr="00AD6F57" w:rsidRDefault="002635F8" w:rsidP="002635F8">
      <w:pPr>
        <w:pStyle w:val="NormalHanging12a"/>
      </w:pPr>
      <w:r w:rsidRPr="00AD6F57">
        <w:t>–</w:t>
      </w:r>
      <w:r w:rsidRPr="00AD6F57">
        <w:tab/>
        <w:t xml:space="preserve">uzimajući u obzir prijedlog rezolucije nizozemskog Zastupničkog doma od 12. rujna 2024. o Prijedlogu rezolucije UN-a </w:t>
      </w:r>
      <w:bookmarkStart w:id="7" w:name="_GoBack"/>
      <w:r w:rsidRPr="00AD6F57">
        <w:t>2758</w:t>
      </w:r>
      <w:bookmarkEnd w:id="7"/>
      <w:r w:rsidRPr="00AD6F57">
        <w:t>,</w:t>
      </w:r>
    </w:p>
    <w:p w:rsidR="002635F8" w:rsidRPr="00AD6F57" w:rsidRDefault="002635F8" w:rsidP="002635F8">
      <w:pPr>
        <w:pStyle w:val="NormalHanging12a"/>
      </w:pPr>
      <w:r w:rsidRPr="00AD6F57">
        <w:t>–</w:t>
      </w:r>
      <w:r w:rsidRPr="00AD6F57">
        <w:tab/>
        <w:t>uzimajući u obzir izjavu za medije Ministarstva vanjskih poslova SAD-a od 13. listopada 2024.,</w:t>
      </w:r>
    </w:p>
    <w:p w:rsidR="002635F8" w:rsidRPr="00AD6F57" w:rsidRDefault="002635F8" w:rsidP="002635F8">
      <w:pPr>
        <w:pStyle w:val="NormalHanging12a"/>
      </w:pPr>
      <w:r w:rsidRPr="00AD6F57">
        <w:t>–</w:t>
      </w:r>
      <w:r w:rsidRPr="00AD6F57">
        <w:tab/>
        <w:t>uzimajući u obzir Konvenciju UN-a o pravu mora (UNCLOS),</w:t>
      </w:r>
    </w:p>
    <w:p w:rsidR="002635F8" w:rsidRPr="00AD6F57" w:rsidRDefault="002635F8" w:rsidP="002635F8">
      <w:pPr>
        <w:pStyle w:val="NormalHanging12a"/>
      </w:pPr>
      <w:r w:rsidRPr="00AD6F57">
        <w:t>–</w:t>
      </w:r>
      <w:r w:rsidRPr="00AD6F57">
        <w:tab/>
        <w:t>uzimajući u obzir članak 7. Okvirne konvencije UN-a o klimatskim promjenama (UNFCCC) koja je donesena 9. svibnja 1992.,</w:t>
      </w:r>
    </w:p>
    <w:p w:rsidR="002635F8" w:rsidRPr="00AD6F57" w:rsidRDefault="002635F8" w:rsidP="002635F8">
      <w:pPr>
        <w:pStyle w:val="NormalHanging12a"/>
      </w:pPr>
      <w:r w:rsidRPr="00AD6F57">
        <w:t>–</w:t>
      </w:r>
      <w:r w:rsidRPr="00AD6F57">
        <w:tab/>
        <w:t>uzimajući u obzir članak 5. Poslovnika Skupštine Međunarodne organizacije civilnog zrakoplovstva (ICAO),</w:t>
      </w:r>
    </w:p>
    <w:p w:rsidR="002635F8" w:rsidRPr="00AD6F57" w:rsidRDefault="002635F8" w:rsidP="002635F8">
      <w:pPr>
        <w:pStyle w:val="NormalHanging12a"/>
      </w:pPr>
      <w:r w:rsidRPr="00AD6F57">
        <w:t>–</w:t>
      </w:r>
      <w:r w:rsidRPr="00AD6F57">
        <w:tab/>
        <w:t>uzimajući u obzir članak 4. Ustav Međunarodne organizacije kriminalističke policije (Interpol),</w:t>
      </w:r>
    </w:p>
    <w:p w:rsidR="002635F8" w:rsidRPr="00AD6F57" w:rsidRDefault="002635F8" w:rsidP="002635F8">
      <w:pPr>
        <w:pStyle w:val="NormalHanging12a"/>
      </w:pPr>
      <w:r w:rsidRPr="00AD6F57">
        <w:t>–</w:t>
      </w:r>
      <w:r w:rsidRPr="00AD6F57">
        <w:tab/>
        <w:t>uzimajući u obzir članak 8. i članak 18. stavak (h) Ustava Svjetske zdravstvene organizacije (WHO),</w:t>
      </w:r>
    </w:p>
    <w:p w:rsidR="002635F8" w:rsidRPr="00AD6F57" w:rsidRDefault="002635F8" w:rsidP="002635F8">
      <w:pPr>
        <w:pStyle w:val="NormalHanging12a"/>
      </w:pPr>
      <w:r w:rsidRPr="00AD6F57">
        <w:lastRenderedPageBreak/>
        <w:t>–</w:t>
      </w:r>
      <w:r w:rsidRPr="00AD6F57">
        <w:tab/>
        <w:t>uzimajući u obzir članak 136. stavke 2. i 4. Poslovnika,</w:t>
      </w:r>
    </w:p>
    <w:p w:rsidR="002635F8" w:rsidRPr="00AD6F57" w:rsidRDefault="002635F8" w:rsidP="002635F8">
      <w:pPr>
        <w:pStyle w:val="NormalHanging12a"/>
      </w:pPr>
      <w:r w:rsidRPr="00AD6F57">
        <w:t>A.</w:t>
      </w:r>
      <w:r w:rsidRPr="00AD6F57">
        <w:tab/>
        <w:t>budući da je Opća skupština UN-a 25. listopada 1971. donijela Rezoluciju UN-a br. 2758 u kojoj se službeno priznanje Republike Kine (Tajvan) prebacuje na Narodnu Republiku Kinu; budući da Tajvan danas, unatoč tome što nije član Ujedinjenih naroda, održava diplomatske odnose s 11 od ukupno 193 države članice Ujedinjenih naroda, kao i sa Svetom Stolicom;</w:t>
      </w:r>
    </w:p>
    <w:p w:rsidR="002635F8" w:rsidRPr="00AD6F57" w:rsidRDefault="002635F8" w:rsidP="002635F8">
      <w:pPr>
        <w:pStyle w:val="NormalHanging12a"/>
      </w:pPr>
      <w:r w:rsidRPr="00AD6F57">
        <w:t>B.</w:t>
      </w:r>
      <w:r w:rsidRPr="00AD6F57">
        <w:tab/>
        <w:t>budući da su EU i Tajvan partneri sličnih nazora koji dijele zajedničke vrijednosti slobode, demokracije, ljudskih prava i vladavine prava; budući da je Tajvan dinamična demokracija s prosperitetnim civilnim društvom; budući da su na Tajvanu 13. siječnja 2024. održani mirni i dobro organizirani izbori;</w:t>
      </w:r>
    </w:p>
    <w:p w:rsidR="002635F8" w:rsidRPr="00AD6F57" w:rsidRDefault="002635F8" w:rsidP="002635F8">
      <w:pPr>
        <w:pStyle w:val="NormalHanging12a"/>
      </w:pPr>
      <w:r w:rsidRPr="00AD6F57">
        <w:t>C.</w:t>
      </w:r>
      <w:r w:rsidRPr="00AD6F57">
        <w:tab/>
        <w:t>budući da je nakon donošenja Rezolucije UN-a br. 2758 Tajvan izgubio pristup sudjelovanju u multilateralnim forumima, kao što je Svjetska zdravstvena organizacija;</w:t>
      </w:r>
    </w:p>
    <w:p w:rsidR="002635F8" w:rsidRPr="00AD6F57" w:rsidRDefault="002635F8" w:rsidP="002635F8">
      <w:pPr>
        <w:pStyle w:val="NormalHanging12a"/>
      </w:pPr>
      <w:r w:rsidRPr="00AD6F57">
        <w:t>D.</w:t>
      </w:r>
      <w:r w:rsidRPr="00AD6F57">
        <w:tab/>
        <w:t>budući da Tajvan nikada nije bio dio Narodne Republike Kine; budući da je Republika Kina osnovana 1912., a Narodna Republika Kina 1949.;</w:t>
      </w:r>
    </w:p>
    <w:p w:rsidR="002635F8" w:rsidRPr="00AD6F57" w:rsidRDefault="002635F8" w:rsidP="002635F8">
      <w:pPr>
        <w:pStyle w:val="NormalHanging12a"/>
      </w:pPr>
      <w:r w:rsidRPr="00AD6F57">
        <w:t>E.</w:t>
      </w:r>
      <w:r w:rsidRPr="00AD6F57">
        <w:tab/>
        <w:t>budući da se u Rezoluciji UN-a 2758 razmatra status Narodne Republike Kine, ali se njome ne utvrđuje da Narodna Republika Kina ima suverenitet nad Tajvanom niti se donosi bilo kakav sud o budućem uključivanju Tajvana u UN ili bilo koju drugu međunarodnu organizaciju; međutim, budući da Narodna Republika Kina i dalje pogrešno tumači Rezoluciju UN-a 2758 kako bi blokirala konstruktivno sudjelovanje Tajvana u međunarodnim organizacijama i jednostrano promijenila postojeće stanje; budući da ta djelovanja ukazuju na ambiciju Narodne Republike Kine da izmijeni postojeći multilateralni međunarodni poredak i ugrozi međunarodno pravo te se može smatrati izrazom sustavnog suparništva;</w:t>
      </w:r>
    </w:p>
    <w:p w:rsidR="002635F8" w:rsidRPr="00AD6F57" w:rsidRDefault="002635F8" w:rsidP="002635F8">
      <w:pPr>
        <w:pStyle w:val="NormalHanging12a"/>
      </w:pPr>
      <w:r w:rsidRPr="00AD6F57">
        <w:t>F.</w:t>
      </w:r>
      <w:r w:rsidRPr="00AD6F57">
        <w:tab/>
        <w:t xml:space="preserve">budući da EU i dalje slijedi svoju politiku „jedne Kine” koja se razlikuje od načela „jedne Kine” Narodne Republike Kine; budući da u skladu sa svojim dugotrajnim stajalištem EU podržava </w:t>
      </w:r>
      <w:r w:rsidRPr="00AD6F57">
        <w:rPr>
          <w:i/>
          <w:iCs/>
        </w:rPr>
        <w:t>status quo</w:t>
      </w:r>
      <w:r w:rsidRPr="00AD6F57">
        <w:t xml:space="preserve"> i mirno rješavanje nesuglasica u Tajvanskom tjesnacu te da istovremeno potiče dijalog i konstruktivan angažman;</w:t>
      </w:r>
    </w:p>
    <w:p w:rsidR="002635F8" w:rsidRPr="00AD6F57" w:rsidRDefault="002635F8" w:rsidP="002635F8">
      <w:pPr>
        <w:pStyle w:val="NormalHanging12a"/>
      </w:pPr>
      <w:r w:rsidRPr="00AD6F57">
        <w:t>G.</w:t>
      </w:r>
      <w:r w:rsidRPr="00AD6F57">
        <w:tab/>
        <w:t>budući da su u svojoj izjavi od 23. rujna 2024. članice skupine G7, između ostalog, istaknule svoju potporu „smislenom sudjelovanju Tajvana u međunarodnim organizacijama u svojstvu člana onda kada državnost nije preduvjet, odnosno u svojstvu promatrača ili gosta onda kada državnost jest preduvjet”;</w:t>
      </w:r>
    </w:p>
    <w:p w:rsidR="002635F8" w:rsidRPr="00AD6F57" w:rsidRDefault="002635F8" w:rsidP="002635F8">
      <w:pPr>
        <w:pStyle w:val="NormalHanging12a"/>
      </w:pPr>
      <w:r w:rsidRPr="00AD6F57">
        <w:t>H.</w:t>
      </w:r>
      <w:r w:rsidRPr="00AD6F57">
        <w:tab/>
        <w:t>budući da se podupiranjem sudjelovanja Tajvana u međunarodnim organizacijama ne ugrožava predanost EU-a politici „jedine Kine”, koja je i dalje temelj političkih odnosa EU-a i Kine;</w:t>
      </w:r>
    </w:p>
    <w:p w:rsidR="002635F8" w:rsidRPr="00AD6F57" w:rsidRDefault="002635F8" w:rsidP="002635F8">
      <w:pPr>
        <w:pStyle w:val="NormalHanging12a"/>
      </w:pPr>
      <w:r w:rsidRPr="00AD6F57">
        <w:t>I.</w:t>
      </w:r>
      <w:r w:rsidRPr="00AD6F57">
        <w:tab/>
        <w:t>budući da je tijekom posljednjeg desetljeća Narodna Republika Kina uporno pokušavala povećati svoj utjecaj na međunarodne institucije te da je tu metodu upotrebljavala da bi marginalizirala Tajvan i spriječila nositelje tajvanskih putovnica, uključujući novinare, djelatnike nevladinih organizacija i političke aktiviste, da pristupe međunarodnim institucijama; budući da Narodna Republika Kina provodi nadnacionalnu represiju zlouporabom ugovorâ o izručenju i da pritom cilja tajvanske građane u inozemstvu te ih posljedično izlaže opasnosti od proizvoljnog progona i kršenja ljudskih prava;</w:t>
      </w:r>
    </w:p>
    <w:p w:rsidR="002635F8" w:rsidRPr="00AD6F57" w:rsidRDefault="002635F8" w:rsidP="002635F8">
      <w:pPr>
        <w:pStyle w:val="NormalHanging12a"/>
      </w:pPr>
      <w:r w:rsidRPr="00AD6F57">
        <w:t>J.</w:t>
      </w:r>
      <w:r w:rsidRPr="00AD6F57">
        <w:tab/>
        <w:t>budući da statuti većine međunarodnih organizacija zaduženih za rješavanje globalnih pitanja, kao što su Svjetska zdravstvena organizacija, UNFCCC, Interpol i ICAO, pružaju subjektima poput Tajvana mogućnost sudjelovanja, bez kršenja prava država članica;</w:t>
      </w:r>
    </w:p>
    <w:p w:rsidR="002635F8" w:rsidRPr="00AD6F57" w:rsidRDefault="002635F8" w:rsidP="002635F8">
      <w:pPr>
        <w:pStyle w:val="NormalHanging12a"/>
      </w:pPr>
      <w:r w:rsidRPr="00AD6F57">
        <w:t>K.</w:t>
      </w:r>
      <w:r w:rsidRPr="00AD6F57">
        <w:tab/>
        <w:t>budući da se Tajvan pokazao kao miran i kooperativan partner na globalnoj razini, da je znatno pridonio globalnom razvoju te bi stoga mogao znatno doprinijeti radu različitih međunarodnih organizacija;</w:t>
      </w:r>
    </w:p>
    <w:p w:rsidR="002635F8" w:rsidRPr="00AD6F57" w:rsidRDefault="002635F8" w:rsidP="002635F8">
      <w:pPr>
        <w:pStyle w:val="NormalHanging12a"/>
      </w:pPr>
      <w:r w:rsidRPr="00AD6F57">
        <w:t>L.</w:t>
      </w:r>
      <w:r w:rsidRPr="00AD6F57">
        <w:tab/>
        <w:t>budući da je Narodna Republika Kina jednostranačka država koju u potpunosti kontrolira i kojom upravlja Komunistička partija Kine;</w:t>
      </w:r>
    </w:p>
    <w:p w:rsidR="002635F8" w:rsidRPr="00AD6F57" w:rsidRDefault="002635F8" w:rsidP="002635F8">
      <w:pPr>
        <w:pStyle w:val="NormalHanging12a"/>
      </w:pPr>
      <w:r w:rsidRPr="00AD6F57">
        <w:t>M.</w:t>
      </w:r>
      <w:r w:rsidRPr="00AD6F57">
        <w:tab/>
        <w:t>budući da je tajvanski predsjednik Lai Ching-te u svom govoru koji je održao na nacionalni dan Tajvana 10. listopada 2024. izjavio da Narodna Republika Kina „nema pravo predstavljati Tajvan” i ponovio da nijedna od dviju strana nije podređena drugoj; budući da je Narodna Republika Kina opravdala svoju nedavnu vojnu vježbu tvrdnjama da predsjednik Lai Ching-te provodi separatističku strategiju;</w:t>
      </w:r>
    </w:p>
    <w:p w:rsidR="002635F8" w:rsidRPr="00AD6F57" w:rsidRDefault="002635F8" w:rsidP="002635F8">
      <w:pPr>
        <w:pStyle w:val="NormalHanging12a"/>
      </w:pPr>
      <w:r w:rsidRPr="00AD6F57">
        <w:t>N.</w:t>
      </w:r>
      <w:r w:rsidRPr="00AD6F57">
        <w:tab/>
        <w:t>budući da je Narodna Republika Kina 14. listopada 2024. pokrenula opsežnu vojnu vježbu pod nazivom Joint Sword 2024-B, kojom se simulirala blokada Tajvana; budući da je tijekom te vježbe oko Tajvana uočen rekordan broj kineskih zrakoplova, točnije njih 153, kao i 18 ratnih brodova te 17 brodova obalne straže Narodne Republike Kine;</w:t>
      </w:r>
    </w:p>
    <w:p w:rsidR="002635F8" w:rsidRPr="00AD6F57" w:rsidRDefault="002635F8" w:rsidP="002635F8">
      <w:pPr>
        <w:pStyle w:val="NormalHanging12a"/>
      </w:pPr>
      <w:r w:rsidRPr="00AD6F57">
        <w:t>O.</w:t>
      </w:r>
      <w:r w:rsidRPr="00AD6F57">
        <w:tab/>
        <w:t xml:space="preserve">budući da su tijekom vježbi četiri formacije obalne straže Narodne Republike Kine patrolirale otok i kratko ušle u njegovo područje ograničenih voda za plovidbu; budući da Narodna Republika Kina svojim čestim raspoređivanjem brodova obalne straže u Tajvanskom tjesnacu, što smatra „misijama provođenja zakona”, vrši stalan pritisak na tajvanske vlasti i opasno povećava rizik od sukoba, što je jedna od najkonkretnijih naznaka da namjerava narušiti </w:t>
      </w:r>
      <w:r w:rsidRPr="00AD6F57">
        <w:rPr>
          <w:i/>
          <w:iCs/>
        </w:rPr>
        <w:t>status quo</w:t>
      </w:r>
      <w:r w:rsidRPr="00AD6F57">
        <w:t>; budući da su vježbe održane 14. listopada 2024. bile četvrte po redu opsežne vojne vježbe Narodne Republike Kine u nešto više od dvije godine;</w:t>
      </w:r>
    </w:p>
    <w:p w:rsidR="002635F8" w:rsidRPr="00AD6F57" w:rsidRDefault="002635F8" w:rsidP="002635F8">
      <w:pPr>
        <w:pStyle w:val="NormalHanging12a"/>
      </w:pPr>
      <w:r w:rsidRPr="00AD6F57">
        <w:t>P.</w:t>
      </w:r>
      <w:r w:rsidRPr="00AD6F57">
        <w:tab/>
        <w:t>budući da je Tajvan te aktivnosti osudio kao „neprimjerenu provokaciju” i da su one posljednje u nizu vojnih manevara Narodne Republike Kine protiv Tajvana; budući da su te vojne vježbe održane nekoliko dana nakon što je novi predsjednik Tajvana Lai Ching-te održao govor u kojem je obećao zaštititi suverenitet Tajvana u svjetlu izazova povezanih s Narodnom Republikom Kinom;</w:t>
      </w:r>
    </w:p>
    <w:p w:rsidR="002635F8" w:rsidRPr="00AD6F57" w:rsidRDefault="002635F8" w:rsidP="002635F8">
      <w:pPr>
        <w:pStyle w:val="NormalHanging12a"/>
      </w:pPr>
      <w:r w:rsidRPr="00AD6F57">
        <w:t>Q.</w:t>
      </w:r>
      <w:r w:rsidRPr="00AD6F57">
        <w:tab/>
        <w:t>budući da je središnja linija, koja je uspostavljena prije nekoliko desetljeća prešutnim sporazumom između obiju strana Tajvanskog tjesnaca, osmišljena kako bi se smanjio rizik od sukoba na način da se vojni zrakoplovi s obje strane tjesnaca drže na sigurnoj udaljenosti, čime bi se spriječili pogrešni izračuni koji bi mogli biti smrtonosni; budući da je Narodna oslobodilačka vojska Narodne Republike Kine u razdoblju između 1954. i 2020. samo četiri puta prešla središnju liniju, ali aktualni redoviti prelasci ukazuju na namjeru Pekinga da nepovratno promijeni dugogodišnja načela;</w:t>
      </w:r>
    </w:p>
    <w:p w:rsidR="002635F8" w:rsidRPr="00AD6F57" w:rsidRDefault="002635F8" w:rsidP="002635F8">
      <w:pPr>
        <w:pStyle w:val="NormalHanging12a"/>
      </w:pPr>
      <w:r w:rsidRPr="00AD6F57">
        <w:t>R.</w:t>
      </w:r>
      <w:r w:rsidRPr="00AD6F57">
        <w:tab/>
        <w:t xml:space="preserve">budući da izjave za medije Visokog predstavnika Unije za vanjske poslove i sigurnosnu politiku i Ministarstva vanjskih poslova SAD-a ponovno potvrđuju da su mir i stabilnost u Tajvanskom tjesnacu od strateške važnosti za regionalnu i globalnu sigurnost i prosperitet; budući da se u izjavi Visokog predstavnika podsjeća na potrebu očuvanja </w:t>
      </w:r>
      <w:r w:rsidRPr="00AD6F57">
        <w:rPr>
          <w:i/>
          <w:iCs/>
        </w:rPr>
        <w:t>statusa quo</w:t>
      </w:r>
      <w:r w:rsidRPr="00AD6F57">
        <w:t xml:space="preserve"> u Tajvanskom tjesnacu, suprotstavlja svim jednostranim djelovanjima kojima se silom ili prisilom mijenja </w:t>
      </w:r>
      <w:r w:rsidRPr="00AD6F57">
        <w:rPr>
          <w:i/>
          <w:iCs/>
        </w:rPr>
        <w:t>status quo</w:t>
      </w:r>
      <w:r w:rsidRPr="00AD6F57">
        <w:t xml:space="preserve"> te poziva sve strane na suzdržanost i izbjegavanje svih radnji koje bi mogle dodatno povećati napetosti u Tajvanskom tjesnacu;</w:t>
      </w:r>
    </w:p>
    <w:p w:rsidR="002635F8" w:rsidRPr="00AD6F57" w:rsidRDefault="002635F8" w:rsidP="002635F8">
      <w:pPr>
        <w:pStyle w:val="NormalHanging12a"/>
      </w:pPr>
      <w:r w:rsidRPr="00AD6F57">
        <w:t>S.</w:t>
      </w:r>
      <w:r w:rsidRPr="00AD6F57">
        <w:tab/>
        <w:t>budući da je 23. svibnja 2024. Narodna Republika Kina pokrenula vojnu vježbu pod nazivom Sword-2024A samo nekoliko dana nakon što je Lai Ching-te inauguriran kao novi predsjednik Tajvana;</w:t>
      </w:r>
    </w:p>
    <w:p w:rsidR="002635F8" w:rsidRPr="00AD6F57" w:rsidRDefault="002635F8" w:rsidP="002635F8">
      <w:pPr>
        <w:pStyle w:val="NormalHanging12a"/>
      </w:pPr>
      <w:r w:rsidRPr="00AD6F57">
        <w:t>T.</w:t>
      </w:r>
      <w:r w:rsidRPr="00AD6F57">
        <w:tab/>
        <w:t>budući da je posljednjih nekoliko godina Narodna Republika Kina već održala slične vojne vježbe oko Tajvana; budući da su te vojne vježbe sve intenzivnije te da se održavaju sve bliže kopnenom dijelu Tajvana; budući da je tijekom prethodne vježbe u kolovozu 2022. Narodna Republika Kina također ispalila projektile u isključivi gospodarski pojas Japana;</w:t>
      </w:r>
    </w:p>
    <w:p w:rsidR="002635F8" w:rsidRPr="00AD6F57" w:rsidRDefault="002635F8" w:rsidP="002635F8">
      <w:pPr>
        <w:pStyle w:val="NormalHanging12a"/>
      </w:pPr>
      <w:r w:rsidRPr="00AD6F57">
        <w:t>U.</w:t>
      </w:r>
      <w:r w:rsidRPr="00AD6F57">
        <w:tab/>
        <w:t>budući da, osim vojnog pritiska, Narodna Republika Kina već dugo provodi sofisticiranu strategiju usmjerenu protiv Tajvana u obliku inozemnog upletanja i manipuliranja informacijama (FIMI), uključujući hibridne i kibernetičke napade, s ciljem podrivanja tajvanskog demokratskog društva;</w:t>
      </w:r>
    </w:p>
    <w:p w:rsidR="002635F8" w:rsidRPr="00AD6F57" w:rsidRDefault="002635F8" w:rsidP="002635F8">
      <w:pPr>
        <w:pStyle w:val="NormalHanging12a"/>
      </w:pPr>
      <w:r w:rsidRPr="00AD6F57">
        <w:t>V.</w:t>
      </w:r>
      <w:r w:rsidRPr="00AD6F57">
        <w:tab/>
        <w:t>budući da je Narodna Republika Kina, pod vodstvom Xi Jinpinga, potvrdila da u svojim naporima za ujedinjenje s Tajavnom neće odustati od upotrebe sile;</w:t>
      </w:r>
    </w:p>
    <w:p w:rsidR="002635F8" w:rsidRPr="00AD6F57" w:rsidRDefault="002635F8" w:rsidP="002635F8">
      <w:pPr>
        <w:pStyle w:val="NormalHanging12a"/>
      </w:pPr>
      <w:r w:rsidRPr="00AD6F57">
        <w:t>W.</w:t>
      </w:r>
      <w:r w:rsidRPr="00AD6F57">
        <w:tab/>
        <w:t>budući da zakon Narodne Republike Kine protiv odcjepljenja iz 2005. uključuje upotrebu nemirovnih sredstava, koji se primjenjuju na temelju nejasnih kriterija, čime se želi postići nešto što Narodna Republika Kina naziva „ujedinjenje” s Tajvanom; budući da je takvo vojno djelovanje ozbiljno ugrožava sigurnost i stabilnost cijele regije, s potencijalno teškim globalnim posljedicama; budući da su mjere odvraćanja EU-a i SAD-a od strateške važnosti kako bi se Narodnu Republiku Kinu obeshrabrilo od bilo kakvog jednostranog djelovanja protiv Tajvana;</w:t>
      </w:r>
    </w:p>
    <w:p w:rsidR="002635F8" w:rsidRPr="00AD6F57" w:rsidRDefault="002635F8" w:rsidP="002635F8">
      <w:pPr>
        <w:pStyle w:val="NormalHanging12a"/>
      </w:pPr>
      <w:r w:rsidRPr="00AD6F57">
        <w:t>X.</w:t>
      </w:r>
      <w:r w:rsidRPr="00AD6F57">
        <w:tab/>
        <w:t>budući da sve agresivnije ponašanje Narodne Republike Kine, posebno u njezinu susjedstvu, kao primjerice u Tajvanskom tjesnacu i Južnokineskom moru, predstavlja rizik za regionalnu i globalnu sigurnost; budući da od 2019. Narodna Republika Kina sve češće zadire u tajvansku identifikacijsku zonu protuzračne obrane; budući da Narodna Republika Kina postupa agresivno u golemim područjima indopacifičke regije i primjenjuje različite stupnjeve vojne ili gospodarske prisile, što je dovelo do sporova sa susjedima kao što su Japan, Indija, Filipini i Australija;</w:t>
      </w:r>
    </w:p>
    <w:p w:rsidR="002635F8" w:rsidRPr="00AD6F57" w:rsidRDefault="002635F8" w:rsidP="002635F8">
      <w:pPr>
        <w:pStyle w:val="NormalHanging12a"/>
      </w:pPr>
      <w:r w:rsidRPr="00AD6F57">
        <w:t>Y.</w:t>
      </w:r>
      <w:r w:rsidRPr="00AD6F57">
        <w:tab/>
        <w:t>budući da je EU osudio opasna djelovanja kineskih plovila obalne straže protiv zakonitih filipinskih pomorskih operacija u Južnokineskom moru 31. kolovoza 2024.; budući da je taj incident posljednji u nizu djelovanja kojima se ugrožava sigurnost ljudskog života na moru i krši pravo na slobodu plovidbe i prelijetanja u skladu s međunarodnim pravom; budući da se pomorska sigurnost i sloboda plovidbe moraju osigurati u skladu s međunarodnim pravom, a posebno UNCLOS-om;</w:t>
      </w:r>
    </w:p>
    <w:p w:rsidR="002635F8" w:rsidRPr="00AD6F57" w:rsidRDefault="002635F8" w:rsidP="002635F8">
      <w:pPr>
        <w:pStyle w:val="NormalHanging12a"/>
        <w:rPr>
          <w:shd w:val="clear" w:color="auto" w:fill="FFFFFF"/>
        </w:rPr>
      </w:pPr>
      <w:r w:rsidRPr="00AD6F57">
        <w:t>Z.</w:t>
      </w:r>
      <w:r w:rsidRPr="00AD6F57">
        <w:tab/>
        <w:t>budući da Narodna Republika Kina podupire agresivni rat Rusije protiv Ukrajine, u prvom redu izvozom robe s dvojnom namjenom u Rusiju i stalnom umiješanosti poduzeća sa sjedištem u Narodnoj Republici Kini u prakse izbjegavanja i zaobilaženja sankcija;</w:t>
      </w:r>
    </w:p>
    <w:p w:rsidR="002635F8" w:rsidRPr="00AD6F57" w:rsidRDefault="002635F8" w:rsidP="002635F8">
      <w:pPr>
        <w:pStyle w:val="NormalHanging12a"/>
      </w:pPr>
      <w:r w:rsidRPr="00AD6F57">
        <w:t>AA.</w:t>
      </w:r>
      <w:r w:rsidRPr="00AD6F57">
        <w:tab/>
        <w:t>budući da kao stalna članica Vijeća sigurnosti UN-a Narodna Republika Kina ima odgovornost raditi na postizanju mira i stabilnosti u regiji, a posebno u Tajvanskom tjesnacu;</w:t>
      </w:r>
    </w:p>
    <w:p w:rsidR="002635F8" w:rsidRPr="00AD6F57" w:rsidRDefault="002635F8" w:rsidP="002635F8">
      <w:pPr>
        <w:pStyle w:val="NormalHanging12a"/>
      </w:pPr>
      <w:r w:rsidRPr="00AD6F57">
        <w:t>AB.</w:t>
      </w:r>
      <w:r w:rsidRPr="00AD6F57">
        <w:tab/>
        <w:t>budući da su Strategijom za suradnju u indopacifičkoj regiji iz 2021. EU i njegove države članice povećali svoju prisutnost u regiji, među ostalim kroz veću vojnu prisutnost pojedinih država članica i kroz kontinuiran prolazak vojnih brodova kroz Tajvanski tjesnac;</w:t>
      </w:r>
    </w:p>
    <w:p w:rsidR="002635F8" w:rsidRPr="00AD6F57" w:rsidRDefault="002635F8" w:rsidP="002635F8">
      <w:pPr>
        <w:pStyle w:val="NormalHanging12a"/>
      </w:pPr>
      <w:r w:rsidRPr="00AD6F57">
        <w:t>AC.</w:t>
      </w:r>
      <w:r w:rsidRPr="00AD6F57">
        <w:tab/>
        <w:t>budući da Tajvan ima strateški važan položaj za trgovinu, osobito u lancima opskrbe visokom tehnologijom; budući da je Tajvanski tjesnac glavna ruta za brodove koji putuju iz Kine, Japana, Južne Koreje i Tajvana prema Europi; budući da Tajvan dominira tržištima proizvodnje poluvodiča jer njegovi proizvođači proizvode oko 50 % poluvodiča u svijetu; budući da se u Strategiji EU-a za suradnju u indopacifičkoj regiji zagovara povećanje trgovinske i ulagačke suradnje s Tajvanom;</w:t>
      </w:r>
    </w:p>
    <w:p w:rsidR="002635F8" w:rsidRPr="00AD6F57" w:rsidRDefault="002635F8" w:rsidP="002635F8">
      <w:pPr>
        <w:pStyle w:val="NormalHanging12a"/>
      </w:pPr>
      <w:r w:rsidRPr="00AD6F57">
        <w:t>AD.</w:t>
      </w:r>
      <w:r w:rsidRPr="00AD6F57">
        <w:tab/>
        <w:t>budući da je EU četvrti po veličini trgovinski partner Tajvana, nakon Narodne Republike Kine, SAD-a i Japana; budući da je Tajvan 2022. bio 12. po važnosti trgovinski partner EU-a; budući da je EU najveći izvor izravnih stranih ulaganja u Tajvanu; budući da su tajvanska ulaganja u EU-u i dalje ispod razine svojeg potencijala;</w:t>
      </w:r>
    </w:p>
    <w:p w:rsidR="002635F8" w:rsidRPr="00AD6F57" w:rsidRDefault="002635F8" w:rsidP="002635F8">
      <w:pPr>
        <w:pStyle w:val="NormalHanging12a"/>
      </w:pPr>
      <w:r w:rsidRPr="00AD6F57">
        <w:t>AE.</w:t>
      </w:r>
      <w:r w:rsidRPr="00AD6F57">
        <w:tab/>
        <w:t>budući da su članovi australskog Senata i nizozemskog Zastupničkog doma nedavno usvojili prijedloge u vezi s iskrivljenim tumačenjem Rezolucije UN-a br. 2758 od strane Narodne Republike Kine i pozvali na potporu većem sudjelovanju Tajvana u multilateralnim organizacijama;</w:t>
      </w:r>
    </w:p>
    <w:p w:rsidR="002635F8" w:rsidRPr="00AD6F57" w:rsidRDefault="002635F8" w:rsidP="002635F8">
      <w:pPr>
        <w:pStyle w:val="NormalHanging12a"/>
      </w:pPr>
      <w:r w:rsidRPr="00AD6F57">
        <w:t>1.</w:t>
      </w:r>
      <w:r w:rsidRPr="00AD6F57">
        <w:tab/>
        <w:t>ponavlja da je Tajvan ključan partner EU-a i demokratski prijatelj sličnih nazora u indopacifičkoj regiji; pohvaljuje snažnu demokraciju i dinamično civilno društvo Tajvana i tajvanskog naroda, vrijednosti koje su se još jednom dokazale u vidu mirnih i dobro organiziranih izbora održanih 13. siječnja 2024.;</w:t>
      </w:r>
    </w:p>
    <w:p w:rsidR="002635F8" w:rsidRPr="00AD6F57" w:rsidRDefault="002635F8" w:rsidP="002635F8">
      <w:pPr>
        <w:pStyle w:val="NormalHanging12a"/>
      </w:pPr>
      <w:r w:rsidRPr="00AD6F57">
        <w:t>2.</w:t>
      </w:r>
      <w:r w:rsidRPr="00AD6F57">
        <w:tab/>
        <w:t>protivi se stalnom iskrivljavanju značenja Rezolucije UN-a br. 2758 od strane Narodne Republike Kine i njezinim naporima da blokira sudjelovanje Tajvana u multilateralnim organizacijama; poziva EU i njegove države članice da podrže smisleno sudjelovanje Tajvana u relevantnim međunarodnim organizacijama, kao što su Svjetska zdravstvena organizacija (WHO), Međunarodna organizacija civilnog zrakoplovstva (ICAO), Međunarodna organizacija kriminalističke policije (Interpol) i Okvirna konvencija Ujedinjenih naroda o promjeni klime (UNFCCC); nadalje poziva Tajništvo UN-a da tajvanskim državljanima i novinarima omogući pristup prostorima UN-a radi posjeta, sastanaka i informativnih aktivnosti;</w:t>
      </w:r>
    </w:p>
    <w:p w:rsidR="002635F8" w:rsidRPr="00AD6F57" w:rsidRDefault="002635F8" w:rsidP="002635F8">
      <w:pPr>
        <w:pStyle w:val="NormalHanging12a"/>
      </w:pPr>
      <w:r w:rsidRPr="00AD6F57">
        <w:t>3.</w:t>
      </w:r>
      <w:r w:rsidRPr="00AD6F57">
        <w:tab/>
        <w:t>oštro osuđuje neopravdane vojne vježbe Narodne Republike Kine održane 14. listopada 2024., njezine stalne vojne provokacije usmjerene protiv Tajvana i njezino kontinuirano povećavanje vojne prisutnosti, kojima se mijenja ravnoteža snaga u indopacifičkoj regiji, te ponovno odlučno odbacuje svaku jednostranu promjenu u vezi sa statusom quo u Tajvanskom tjesnacu; pohvaljuje suzdržani odgovor tajvanskih vlasti te poziva na redovite razmjene informacija između EU-a i njegovih tajvanskih kolega o relevantnim sigurnosnim pitanjima;</w:t>
      </w:r>
    </w:p>
    <w:p w:rsidR="002635F8" w:rsidRPr="00AD6F57" w:rsidRDefault="002635F8" w:rsidP="002635F8">
      <w:pPr>
        <w:pStyle w:val="NormalHanging12a"/>
      </w:pPr>
      <w:r w:rsidRPr="00AD6F57">
        <w:t>4.</w:t>
      </w:r>
      <w:r w:rsidRPr="00AD6F57">
        <w:tab/>
        <w:t>ponovno potvrđuje svoju snažnu predanost statusu quo u Tajvanskom tjesnacu; naglašava da nikakav pokušaj jednostrane promjene statusa quo u Tajvanskom tjesnacu, posebno silom ili prisilom, neće prihvatiti i da će se na njega reagirati odlučno i oštro;</w:t>
      </w:r>
    </w:p>
    <w:p w:rsidR="002635F8" w:rsidRPr="00AD6F57" w:rsidRDefault="002635F8" w:rsidP="002635F8">
      <w:pPr>
        <w:pStyle w:val="NormalHanging12a"/>
      </w:pPr>
      <w:r w:rsidRPr="00AD6F57">
        <w:t>5.</w:t>
      </w:r>
      <w:r w:rsidRPr="00AD6F57">
        <w:tab/>
        <w:t>ističe da se u Rezoluciji UN-a br. 2758 ne zauzima stajalište o Tajvanu; snažno odbacuje i opovrgava pokušaje Narodne Republike Kine da iskrivi povijest i međunarodna pravila;</w:t>
      </w:r>
    </w:p>
    <w:p w:rsidR="002635F8" w:rsidRPr="00AD6F57" w:rsidRDefault="002635F8" w:rsidP="002635F8">
      <w:pPr>
        <w:pStyle w:val="NormalHanging12a"/>
      </w:pPr>
      <w:r w:rsidRPr="00AD6F57">
        <w:t>6.</w:t>
      </w:r>
      <w:r w:rsidRPr="00AD6F57">
        <w:tab/>
        <w:t>ponovno ističe predanost EU-a svojoj politici „jedne Kine” kao političkom temelju odnosa EU-a i Kine; podsjeća na to da se u strategiji EU-a za Kinu ističe da su konstruktivni odnosi Tajvana i Kine dio promicanja mira i sigurnosti u cijeloj azijsko-pacifičkoj regiji te da EU podupire inicijative usmjerene na dijalog i izgradnju povjerenja;</w:t>
      </w:r>
    </w:p>
    <w:p w:rsidR="002635F8" w:rsidRPr="00AD6F57" w:rsidRDefault="002635F8" w:rsidP="002635F8">
      <w:pPr>
        <w:pStyle w:val="NormalHanging12a"/>
      </w:pPr>
      <w:r w:rsidRPr="00AD6F57">
        <w:t>7.</w:t>
      </w:r>
      <w:r w:rsidRPr="00AD6F57">
        <w:tab/>
        <w:t>ističe da je u Tajvanu na narodu da demokratskim putem odluči o tome kako želi živjeti te da se status quo u Tajvanskom tjesnacu ne smije jednostrano mijenjati uporabom sile ili prijetnjom uporabe sile;</w:t>
      </w:r>
    </w:p>
    <w:p w:rsidR="002635F8" w:rsidRPr="00AD6F57" w:rsidRDefault="002635F8" w:rsidP="002635F8">
      <w:pPr>
        <w:pStyle w:val="NormalHanging12a"/>
      </w:pPr>
      <w:r w:rsidRPr="00AD6F57">
        <w:t>8.</w:t>
      </w:r>
      <w:r w:rsidRPr="00AD6F57">
        <w:tab/>
        <w:t>ponavlja svoju snažnu osudu izjava kineskog predsjednika Xija Jinpinga da se Narodna Republika Kina nikada neće odreći prava na primjenu sile kada se radi o Tajvanu; ističe da je upotreba sile ili prijetnji ili drugih snažnih mjera prisile od strane Narodne Republike Kine s ciljem ujedinjenja nespojiva s međunarodnim pravom; izražava ozbiljnu zabrinutost zbog toga što Narodna Republika Kina širi zlonamjerne dezinformacije kako bi potkopala povjerenje u tajvansku demokraciju i upravljačke strukture; ponavlja svoje prethodne pozive EU-u i njegovim državama članicama na suradnju s međunarodnim partnerima kako bi pomogli u održavanju demokracije na Tajvanu te zaštitili zemlju od inozemnog upletanja i prijetnji; ističe da samo demokratski izabrana tajvanska vlada može predstavljati tajvanski narod na međunarodnoj sceni;</w:t>
      </w:r>
    </w:p>
    <w:p w:rsidR="002635F8" w:rsidRPr="00AD6F57" w:rsidRDefault="002635F8" w:rsidP="002635F8">
      <w:pPr>
        <w:pStyle w:val="NormalHanging12a"/>
      </w:pPr>
      <w:r w:rsidRPr="00AD6F57">
        <w:t>9.</w:t>
      </w:r>
      <w:r w:rsidRPr="00AD6F57">
        <w:tab/>
        <w:t>osuđuje sustavno vojno djelovanje Narodne Republike Kine u sivoj zoni, uključujući kibernetičke kampanje i kampanje dezinformiranja usmjerene protiv Tajvana, te apelira na Narodnu Republiku Kinu da odmah prekine s tim aktivnostima; u tom pogledu poziva na daljnje produbljivanje suradnje između EU-a i Tajvana radi poboljšanja strukturne suradnje u suzbijanju dezinformiranja i inozemnog upletanja; pozdravlja upućivanje časnika za vezu u Europski gospodarski i trgovinski ured u Tajvanu kako bi se koordinirali zajednički napori u borbi protiv dezinformacija i upletanja kao prvi važan korak prema dubljoj suradnji EU-a i Tajvana te poziva EU da dodatno produbi suradnju s Tajvanom u tom ključnom području; pohvaljuje hrabrost tajvanskog naroda te razmjerne i dostojanstvene reakcije tajvanskih vlasti i institucija u kontekstu sve većih kineskih prijetnji i aktivnosti;</w:t>
      </w:r>
    </w:p>
    <w:p w:rsidR="002635F8" w:rsidRPr="00AD6F57" w:rsidRDefault="002635F8" w:rsidP="002635F8">
      <w:pPr>
        <w:pStyle w:val="NormalHanging12a"/>
        <w:rPr>
          <w:bCs/>
        </w:rPr>
      </w:pPr>
      <w:r w:rsidRPr="00AD6F57">
        <w:t>10.</w:t>
      </w:r>
      <w:r w:rsidRPr="00AD6F57">
        <w:tab/>
        <w:t>odlučno odbacuje ekonomsku prisilu Narodne Republike Kine protiv Tajvana i drugih zemalja, kao i protiv država članica EU-a, te ističe da takve prakse nisu samo nezakonite u smislu pravila Svjetske trgovinske organizacije, nego i da imaju razoran učinak na ugled Narodne Republike Kine diljem svijeta te će dovesti do daljnjeg gubitka povjerenja u Narodnu Republiku Kinu kao odgovornog aktera; naglašava neovisno pravo EU-a i njegovih država članica na razvoj odnosa s Tajvanom u skladu s njihovim interesima i zajedničkim vrijednostima demokracije i ljudskih prava, bez inozemnog upletanja; poziva misije EU-a i država članica u inozemstvu da se pozabave i pruže alternativu zlonamjernim poslovnim praksama Narodne Republike Kine, posebno na globalnom jugu;</w:t>
      </w:r>
    </w:p>
    <w:p w:rsidR="002635F8" w:rsidRPr="00AD6F57" w:rsidRDefault="002635F8" w:rsidP="002635F8">
      <w:pPr>
        <w:pStyle w:val="NormalHanging12a"/>
      </w:pPr>
      <w:r w:rsidRPr="00AD6F57">
        <w:t>11.</w:t>
      </w:r>
      <w:r w:rsidRPr="00AD6F57">
        <w:tab/>
        <w:t>vrlo je zabrinut zbog donošenja takozvanih smjernica za kažnjavanje „zagriženih separatista za neovisnost Tajvana zbog počinjenja kaznenih djela odcjepljenja ili poticanja na odcjepljenje”, koje su u lipnju 2024. zajednički najavili Vrhovni narodni sud, vrhovni narodni tužitelj, ministarstva javne sigurnosti i državne sigurnosti te ministarstvo pravosuđa, što bi moglo dovesti do oštrih kazni za kazneno djelo odcjepljenja, pa čak i do smrtne kazne; oštro osuđuje činjenicu da je jedan tajvanski aktivist, nakon što je 2022. uhićen u Narodnoj Republici Kini, u rujnu 2024. osuđen na devet godina zatvora, kao i stalno uznemiravanje Tajvanaca koji rade i žive u Narodnoj Republici Kini;</w:t>
      </w:r>
    </w:p>
    <w:p w:rsidR="002635F8" w:rsidRPr="00AD6F57" w:rsidRDefault="002635F8" w:rsidP="002635F8">
      <w:pPr>
        <w:pStyle w:val="NormalHanging12a"/>
      </w:pPr>
      <w:r w:rsidRPr="00AD6F57">
        <w:t>12.</w:t>
      </w:r>
      <w:r w:rsidRPr="00AD6F57">
        <w:tab/>
        <w:t>ozbiljno je zabrinut zbog situacije u Istočnokineskom i Južnokineskom moru; podsjeća na važnost poštovanja međunarodnog prava, uključujući UNCLOS, a osobito njegovih odredaba o obvezi rješavanja sporova mirnim putem te očuvanju slobode plovidbe i prelijetanja; poziva sve zemlje koje to još nisu učinile da brzo ratificiraju UNCLOS; poziva EU i njegove države članice da povećaju vlastite pomorske kapacitete u toj regiji; podsjeća Narodnu Republiku Kinu na njezinu odgovornost da kao stalna članica Vijeća sigurnosti UN-a poštuje međunarodno pravo i naglašava obvezu mirnog rješavanja sporova;</w:t>
      </w:r>
    </w:p>
    <w:p w:rsidR="002635F8" w:rsidRPr="00AD6F57" w:rsidRDefault="002635F8" w:rsidP="002635F8">
      <w:pPr>
        <w:pStyle w:val="NormalHanging12a"/>
      </w:pPr>
      <w:r w:rsidRPr="00AD6F57">
        <w:t>13.</w:t>
      </w:r>
      <w:r w:rsidRPr="00AD6F57">
        <w:tab/>
        <w:t>ponovno ističe ozbiljnu zabrinutost zbog sve većih vojnih ulaganja i kapaciteta Kine; izražava ozbiljnu zabrinutost zbog obnovljene kineske i ruske predanosti daljnjem jačanju svojih vojnih veza i osuđuje kinesku opskrbu moskovske vojne industrije komponentama i opremom; pozdravlja odluku Vijeća o uvođenju sankcija kineskim poduzećima zbog podupiranja ruskog rata protiv Ukrajine; žali zbog partnerstva „bez granica” između Rusije i Narodne Republike Kine; pozdravlja sve veću angažiranosti i vojnu prisutnost SAD-a u indopacifičkoj regiji; ponovno poziva na koordinirani pristup produbljivanju suradnje između EU-a i SAD-a u sigurnosnim pitanjima, među ostalim putem transatlantskog parlamentarnog dijaloga;</w:t>
      </w:r>
    </w:p>
    <w:p w:rsidR="002635F8" w:rsidRPr="00AD6F57" w:rsidRDefault="002635F8" w:rsidP="002635F8">
      <w:pPr>
        <w:pStyle w:val="NormalHanging12a"/>
      </w:pPr>
      <w:r w:rsidRPr="00AD6F57">
        <w:t>14.</w:t>
      </w:r>
      <w:r w:rsidRPr="00AD6F57">
        <w:tab/>
        <w:t>snažno pozdravlja blisku suradnju i usklađenost Tajvana s EU-om i Sjedinjenim Američkim Državama kada je riječ o reakciji na rat Rusije protiv Ukrajine i o nametanju sankcija kao odgovoru na tu očiglednu povredu međunarodnog prava; podsjeća na pomoć Tajvana u rješavanju humanitarne krize uzrokovane ruskom ratnom agresijom na Ukrajinu, kao i na njegov stalni angažman i pružanje potpore ukrajinskoj vladi i zemljama koje primaju ukrajinske izbjeglice;</w:t>
      </w:r>
    </w:p>
    <w:p w:rsidR="002635F8" w:rsidRPr="00AD6F57" w:rsidRDefault="002635F8" w:rsidP="002635F8">
      <w:pPr>
        <w:pStyle w:val="NormalHanging12a"/>
      </w:pPr>
      <w:r w:rsidRPr="00AD6F57">
        <w:t>15.</w:t>
      </w:r>
      <w:r w:rsidRPr="00AD6F57">
        <w:tab/>
        <w:t>ističe da različita djelovanja Narodne Republike Kine u području kognitivnog i pravnog ratovanja polako potkopavaju status quo i jačaju aktivnosti sive zone usmjerene na izbjegavanje otkrivanja te zaobilaženje zakona i pragova odgovora; poziva EU da uspostavi i provede svoja ograničenja koristeći se paketom sankcija, uključujući sektorske sankcije, protiv hibridnih aktivnosti i kiberprijetnji te da koordinira snažne diplomatske i gospodarske mjere odvraćanja s partnerima sličnih stavova;</w:t>
      </w:r>
    </w:p>
    <w:p w:rsidR="002635F8" w:rsidRPr="00AD6F57" w:rsidRDefault="002635F8" w:rsidP="002635F8">
      <w:pPr>
        <w:pStyle w:val="NormalHanging12a"/>
      </w:pPr>
      <w:r w:rsidRPr="00AD6F57">
        <w:t>16.</w:t>
      </w:r>
      <w:r w:rsidRPr="00AD6F57">
        <w:tab/>
        <w:t>izražava zahvalnost Tajvanu na pomoći tijekom pandemije bolesti COVID-19 ;</w:t>
      </w:r>
    </w:p>
    <w:p w:rsidR="002635F8" w:rsidRPr="00AD6F57" w:rsidRDefault="002635F8" w:rsidP="002635F8">
      <w:pPr>
        <w:pStyle w:val="NormalHanging12a"/>
      </w:pPr>
      <w:r w:rsidRPr="00AD6F57">
        <w:t>17.</w:t>
      </w:r>
      <w:r w:rsidRPr="00AD6F57">
        <w:tab/>
        <w:t>prepoznaje važnost Tajvana u osiguravanju globalnih lanaca opskrbe, posebno u visokotehnološkom sektoru, u kojemu je Tajvan vodeći proizvođač poluvodiča, te poziva na tješnju suradnju EU-a i država članica s Tajvanom;</w:t>
      </w:r>
    </w:p>
    <w:p w:rsidR="002635F8" w:rsidRPr="00AD6F57" w:rsidRDefault="002635F8" w:rsidP="002635F8">
      <w:pPr>
        <w:pStyle w:val="NormalHanging12a"/>
      </w:pPr>
      <w:r w:rsidRPr="00AD6F57">
        <w:t>18.</w:t>
      </w:r>
      <w:r w:rsidRPr="00AD6F57">
        <w:tab/>
        <w:t>poziva Komisiju da bez odgode poduzme pripremne mjere za pregovore o bilateralnom sporazumu o ulaganjima ili o drugim vrstama sporazuma s Tajvanom; ističe potencijal za suradnju u području politike provjere izravnih stranih ulaganja i borbe protiv gospodarske prisile i odmazde;</w:t>
      </w:r>
    </w:p>
    <w:p w:rsidR="002635F8" w:rsidRPr="00AD6F57" w:rsidRDefault="002635F8" w:rsidP="002635F8">
      <w:pPr>
        <w:pStyle w:val="NormalHanging12a"/>
      </w:pPr>
      <w:r w:rsidRPr="00AD6F57">
        <w:t>19.</w:t>
      </w:r>
      <w:r w:rsidRPr="00AD6F57">
        <w:tab/>
        <w:t>pozdravlja povećanje broja vježbi slobodne plovidbe koje provodi nekoliko država članica EU-a, uključujući Francusku, Nizozemsku i Njemačku; napominje da su te aktivnosti u skladu s međunarodnim pravom i poziva na veću suradnju i koordinaciju s regionalnim partnerima kako bi se povećala sloboda plovidbe u regiji;</w:t>
      </w:r>
    </w:p>
    <w:p w:rsidR="002635F8" w:rsidRPr="00AD6F57" w:rsidRDefault="002635F8" w:rsidP="002635F8">
      <w:pPr>
        <w:pStyle w:val="NormalHanging12a"/>
      </w:pPr>
      <w:r w:rsidRPr="00AD6F57">
        <w:t>20.</w:t>
      </w:r>
      <w:r w:rsidRPr="00AD6F57">
        <w:tab/>
        <w:t>pozdravlja posjete bivših i sadašnjih tajvanskih političara Europi, uključujući nedavni posjet bivšeg predsjednika Tsaija Ing-wena Europskom parlamentu 17. listopada 2024.; nadalje, pozdravlja nastavak razmjena mišljenja između zastupnika u EP-u i Tajvana te potiče daljnje posjete službenih izaslanstava Europskog parlamenta Tajvanu; dodatno potiče daljnje razmjene između EU-a i Tajvana na svim razinama, uključujući političke sastanke i međuljudske susrete;</w:t>
      </w:r>
    </w:p>
    <w:p w:rsidR="002635F8" w:rsidRPr="00AD6F57" w:rsidRDefault="002635F8" w:rsidP="002635F8">
      <w:pPr>
        <w:pStyle w:val="NormalHanging12a"/>
      </w:pPr>
      <w:r w:rsidRPr="00AD6F57">
        <w:t>21.</w:t>
      </w:r>
      <w:r w:rsidRPr="00AD6F57">
        <w:tab/>
        <w:t>u tom kontekstu potiče više gospodarskih, znanstvenih i kulturnih interakcija i razmjena usmjerenih, među ostalim, na mlade, akademsku zajednicu, civilno društvo, sport, kulturu i obrazovanje kao i više partnerstva među gradovima i među regijama; ponavlja svoj poziv državama članicama da se uključe u smislenu i strukturnu tehničku suradnju s tajvanskom nacionalnom protupožarnom agencijom i nacionalnom policijskom agencijom te s lokalnim upravama u području civilne zaštite i upravljanja katastrofama;</w:t>
      </w:r>
    </w:p>
    <w:p w:rsidR="002635F8" w:rsidRPr="00AD6F57" w:rsidRDefault="002635F8" w:rsidP="002635F8">
      <w:pPr>
        <w:pStyle w:val="NormalHanging12a"/>
      </w:pPr>
      <w:r w:rsidRPr="00AD6F57">
        <w:t>22.</w:t>
      </w:r>
      <w:r w:rsidRPr="00AD6F57">
        <w:tab/>
        <w:t>nalaže svojoj predsjednici da ovu Rezoluciju proslijedi Vijeću, Komisiji, potpredsjedniku Komisije / Visokom predstavniku Unije za vanjske poslove i sigurnosnu politiku te Vladi Narodne Republike Kine i tajvanskoj vladi.</w:t>
      </w:r>
    </w:p>
    <w:p w:rsidR="002635F8" w:rsidRPr="00AD6F57" w:rsidRDefault="002635F8" w:rsidP="002635F8">
      <w:pPr>
        <w:pStyle w:val="NormalHanging12a"/>
      </w:pPr>
    </w:p>
    <w:p w:rsidR="002635F8" w:rsidRPr="00AD6F57" w:rsidRDefault="002635F8" w:rsidP="002635F8"/>
    <w:p w:rsidR="00E365E1" w:rsidRPr="00AD6F57" w:rsidRDefault="00E365E1" w:rsidP="000B2B32">
      <w:bookmarkStart w:id="8" w:name="TextBodyEnd"/>
      <w:bookmarkEnd w:id="8"/>
    </w:p>
    <w:sectPr w:rsidR="00E365E1" w:rsidRPr="00AD6F57" w:rsidSect="001034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B32" w:rsidRPr="001034EC" w:rsidRDefault="000B2B32">
      <w:r w:rsidRPr="001034EC">
        <w:separator/>
      </w:r>
    </w:p>
  </w:endnote>
  <w:endnote w:type="continuationSeparator" w:id="0">
    <w:p w:rsidR="000B2B32" w:rsidRPr="001034EC" w:rsidRDefault="000B2B32">
      <w:r w:rsidRPr="001034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B32" w:rsidRPr="001034EC" w:rsidRDefault="000B2B32">
      <w:r w:rsidRPr="001034EC">
        <w:separator/>
      </w:r>
    </w:p>
  </w:footnote>
  <w:footnote w:type="continuationSeparator" w:id="0">
    <w:p w:rsidR="000B2B32" w:rsidRPr="001034EC" w:rsidRDefault="000B2B32">
      <w:r w:rsidRPr="001034EC">
        <w:continuationSeparator/>
      </w:r>
    </w:p>
  </w:footnote>
  <w:footnote w:id="1">
    <w:p w:rsidR="002635F8" w:rsidRPr="001034EC" w:rsidRDefault="002635F8" w:rsidP="001034EC">
      <w:pPr>
        <w:pStyle w:val="FootnoteText"/>
        <w:ind w:left="567" w:hanging="567"/>
        <w:rPr>
          <w:sz w:val="24"/>
          <w:lang w:val="hr-HR"/>
        </w:rPr>
      </w:pPr>
      <w:r w:rsidRPr="001034EC">
        <w:rPr>
          <w:rStyle w:val="FootnoteReference"/>
          <w:sz w:val="24"/>
          <w:lang w:val="hr-HR"/>
        </w:rPr>
        <w:footnoteRef/>
      </w:r>
      <w:r w:rsidR="001034EC" w:rsidRPr="001034EC">
        <w:rPr>
          <w:sz w:val="24"/>
          <w:lang w:val="hr-HR"/>
        </w:rPr>
        <w:t xml:space="preserve"> </w:t>
      </w:r>
      <w:r w:rsidR="001034EC" w:rsidRPr="001034EC">
        <w:rPr>
          <w:sz w:val="24"/>
          <w:lang w:val="hr-HR"/>
        </w:rPr>
        <w:tab/>
      </w:r>
      <w:r w:rsidRPr="001034EC">
        <w:rPr>
          <w:sz w:val="24"/>
          <w:lang w:val="hr-HR"/>
        </w:rPr>
        <w:t>SL C 117, 11.3.2022., str. 40.</w:t>
      </w:r>
    </w:p>
  </w:footnote>
  <w:footnote w:id="2">
    <w:p w:rsidR="002635F8" w:rsidRPr="001034EC" w:rsidRDefault="002635F8" w:rsidP="001034EC">
      <w:pPr>
        <w:pStyle w:val="FootnoteText"/>
        <w:ind w:left="567" w:hanging="567"/>
        <w:rPr>
          <w:sz w:val="24"/>
          <w:lang w:val="hr-HR"/>
        </w:rPr>
      </w:pPr>
      <w:r w:rsidRPr="001034EC">
        <w:rPr>
          <w:rStyle w:val="FootnoteReference"/>
          <w:sz w:val="24"/>
          <w:lang w:val="hr-HR"/>
        </w:rPr>
        <w:footnoteRef/>
      </w:r>
      <w:r w:rsidR="001034EC" w:rsidRPr="001034EC">
        <w:rPr>
          <w:sz w:val="24"/>
          <w:lang w:val="hr-HR"/>
        </w:rPr>
        <w:t xml:space="preserve"> </w:t>
      </w:r>
      <w:r w:rsidR="001034EC" w:rsidRPr="001034EC">
        <w:rPr>
          <w:sz w:val="24"/>
          <w:lang w:val="hr-HR"/>
        </w:rPr>
        <w:tab/>
      </w:r>
      <w:r w:rsidRPr="001034EC">
        <w:rPr>
          <w:sz w:val="24"/>
          <w:lang w:val="hr-HR"/>
        </w:rPr>
        <w:t>SL C 184, 5.5.2022., str. 170.</w:t>
      </w:r>
    </w:p>
  </w:footnote>
  <w:footnote w:id="3">
    <w:p w:rsidR="002635F8" w:rsidRPr="001034EC" w:rsidRDefault="002635F8" w:rsidP="001034EC">
      <w:pPr>
        <w:pStyle w:val="FootnoteText"/>
        <w:ind w:left="567" w:hanging="567"/>
        <w:rPr>
          <w:sz w:val="24"/>
          <w:lang w:val="hr-HR"/>
        </w:rPr>
      </w:pPr>
      <w:r w:rsidRPr="001034EC">
        <w:rPr>
          <w:rStyle w:val="FootnoteReference"/>
          <w:sz w:val="24"/>
          <w:lang w:val="hr-HR"/>
        </w:rPr>
        <w:footnoteRef/>
      </w:r>
      <w:r w:rsidR="001034EC" w:rsidRPr="001034EC">
        <w:rPr>
          <w:sz w:val="24"/>
          <w:lang w:val="hr-HR"/>
        </w:rPr>
        <w:t xml:space="preserve"> </w:t>
      </w:r>
      <w:r w:rsidR="001034EC" w:rsidRPr="001034EC">
        <w:rPr>
          <w:sz w:val="24"/>
          <w:lang w:val="hr-HR"/>
        </w:rPr>
        <w:tab/>
      </w:r>
      <w:r w:rsidRPr="001034EC">
        <w:rPr>
          <w:sz w:val="24"/>
          <w:lang w:val="hr-HR"/>
        </w:rPr>
        <w:t>SL C 493, 27.12.2022., str. 32.</w:t>
      </w:r>
    </w:p>
  </w:footnote>
  <w:footnote w:id="4">
    <w:p w:rsidR="002635F8" w:rsidRPr="001034EC" w:rsidRDefault="002635F8" w:rsidP="001034EC">
      <w:pPr>
        <w:pStyle w:val="FootnoteText"/>
        <w:ind w:left="567" w:hanging="567"/>
        <w:rPr>
          <w:sz w:val="24"/>
          <w:lang w:val="hr-HR"/>
        </w:rPr>
      </w:pPr>
      <w:r w:rsidRPr="001034EC">
        <w:rPr>
          <w:rStyle w:val="FootnoteReference"/>
          <w:sz w:val="24"/>
          <w:lang w:val="hr-HR"/>
        </w:rPr>
        <w:footnoteRef/>
      </w:r>
      <w:r w:rsidR="001034EC" w:rsidRPr="001034EC">
        <w:rPr>
          <w:sz w:val="24"/>
          <w:lang w:val="hr-HR"/>
        </w:rPr>
        <w:t xml:space="preserve"> </w:t>
      </w:r>
      <w:r w:rsidR="001034EC" w:rsidRPr="001034EC">
        <w:rPr>
          <w:sz w:val="24"/>
          <w:lang w:val="hr-HR"/>
        </w:rPr>
        <w:tab/>
      </w:r>
      <w:r w:rsidRPr="001034EC">
        <w:rPr>
          <w:sz w:val="24"/>
          <w:lang w:val="hr-HR"/>
        </w:rPr>
        <w:t>SL C 125, 5.4.2023., str. 149.</w:t>
      </w:r>
    </w:p>
  </w:footnote>
  <w:footnote w:id="5">
    <w:p w:rsidR="002635F8" w:rsidRPr="001034EC" w:rsidRDefault="002635F8" w:rsidP="001034EC">
      <w:pPr>
        <w:pStyle w:val="FootnoteText"/>
        <w:ind w:left="567" w:hanging="567"/>
        <w:rPr>
          <w:sz w:val="24"/>
          <w:lang w:val="hr-HR"/>
        </w:rPr>
      </w:pPr>
      <w:r w:rsidRPr="001034EC">
        <w:rPr>
          <w:rStyle w:val="FootnoteReference"/>
          <w:sz w:val="24"/>
          <w:lang w:val="hr-HR"/>
        </w:rPr>
        <w:footnoteRef/>
      </w:r>
      <w:r w:rsidR="001034EC" w:rsidRPr="001034EC">
        <w:rPr>
          <w:sz w:val="24"/>
          <w:lang w:val="hr-HR"/>
        </w:rPr>
        <w:t xml:space="preserve"> </w:t>
      </w:r>
      <w:r w:rsidR="001034EC" w:rsidRPr="001034EC">
        <w:rPr>
          <w:sz w:val="24"/>
          <w:lang w:val="hr-HR"/>
        </w:rPr>
        <w:tab/>
      </w:r>
      <w:r w:rsidRPr="001034EC">
        <w:rPr>
          <w:sz w:val="24"/>
          <w:lang w:val="hr-HR"/>
        </w:rPr>
        <w:t xml:space="preserve">SL C, C/2024/4174, 2.8.2024., ELI: </w:t>
      </w:r>
      <w:hyperlink r:id="rId1" w:history="1">
        <w:r w:rsidRPr="001034EC">
          <w:rPr>
            <w:rStyle w:val="Hyperlink"/>
            <w:sz w:val="24"/>
            <w:lang w:val="hr-HR"/>
          </w:rPr>
          <w:t>https://eur-lex.europa.eu/legal-content/HR/TXT/HTML/?uri=OJ:C_202404174</w:t>
        </w:r>
      </w:hyperlink>
      <w:r w:rsidRPr="001034EC">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4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HR"/>
    <w:docVar w:name="dvnumam" w:val="0"/>
    <w:docVar w:name="dvpe" w:val="764.144"/>
    <w:docVar w:name="dvtitre" w:val="Rezolucija Europskog parlamenta od .... 2024. o pogrešnom tumačenju Rezolucije UN-a br. 2758 od strane Narodne Republike Kine i njezinoj stalnoj vojnoj provokaciji oko Tajvana(2024/2891(RSP))"/>
  </w:docVars>
  <w:rsids>
    <w:rsidRoot w:val="000B2B32"/>
    <w:rsid w:val="00002272"/>
    <w:rsid w:val="00064002"/>
    <w:rsid w:val="000677B9"/>
    <w:rsid w:val="000831BA"/>
    <w:rsid w:val="000A42CC"/>
    <w:rsid w:val="000B2B32"/>
    <w:rsid w:val="000E7DD9"/>
    <w:rsid w:val="0010095E"/>
    <w:rsid w:val="001034EC"/>
    <w:rsid w:val="00125B37"/>
    <w:rsid w:val="00187494"/>
    <w:rsid w:val="001F32AE"/>
    <w:rsid w:val="0025153B"/>
    <w:rsid w:val="002635F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8CD"/>
    <w:rsid w:val="00A1687D"/>
    <w:rsid w:val="00A43E52"/>
    <w:rsid w:val="00A4678D"/>
    <w:rsid w:val="00A778C7"/>
    <w:rsid w:val="00AB441E"/>
    <w:rsid w:val="00AB6293"/>
    <w:rsid w:val="00AD6F57"/>
    <w:rsid w:val="00AE0928"/>
    <w:rsid w:val="00AF3B82"/>
    <w:rsid w:val="00B12E95"/>
    <w:rsid w:val="00B22876"/>
    <w:rsid w:val="00B558F0"/>
    <w:rsid w:val="00BD48FE"/>
    <w:rsid w:val="00BD7BD8"/>
    <w:rsid w:val="00BE6ADC"/>
    <w:rsid w:val="00BF6A4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F33BD1-0E64-419C-90B0-AD76E19C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635F8"/>
    <w:pPr>
      <w:spacing w:after="240"/>
      <w:ind w:left="567" w:hanging="567"/>
    </w:pPr>
  </w:style>
  <w:style w:type="paragraph" w:customStyle="1" w:styleId="EPComma">
    <w:name w:val="EPComma"/>
    <w:basedOn w:val="Normal"/>
    <w:rsid w:val="002635F8"/>
    <w:pPr>
      <w:spacing w:before="480" w:after="240"/>
    </w:pPr>
  </w:style>
  <w:style w:type="character" w:customStyle="1" w:styleId="NormalHanging12aChar">
    <w:name w:val="NormalHanging12a Char"/>
    <w:basedOn w:val="DefaultParagraphFont"/>
    <w:link w:val="NormalHanging12a"/>
    <w:rsid w:val="002635F8"/>
    <w:rPr>
      <w:sz w:val="24"/>
      <w:lang w:val="hr-HR"/>
    </w:rPr>
  </w:style>
  <w:style w:type="character" w:styleId="Hyperlink">
    <w:name w:val="Hyperlink"/>
    <w:basedOn w:val="DefaultParagraphFont"/>
    <w:rsid w:val="002635F8"/>
    <w:rPr>
      <w:color w:val="0563C1" w:themeColor="hyperlink"/>
      <w:u w:val="single"/>
    </w:rPr>
  </w:style>
  <w:style w:type="character" w:styleId="FollowedHyperlink">
    <w:name w:val="FollowedHyperlink"/>
    <w:basedOn w:val="DefaultParagraphFont"/>
    <w:rsid w:val="009C38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HR/TXT/HTML/?uri=OJ:C_2024041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6FB8C-9528-4710-A56D-CC14E809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3512</Words>
  <Characters>21104</Characters>
  <Application>Microsoft Office Word</Application>
  <DocSecurity>0</DocSecurity>
  <Lines>844</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User</cp:lastModifiedBy>
  <cp:revision>2</cp:revision>
  <cp:lastPrinted>2004-11-19T15:42:00Z</cp:lastPrinted>
  <dcterms:created xsi:type="dcterms:W3CDTF">2024-11-18T14:52:00Z</dcterms:created>
  <dcterms:modified xsi:type="dcterms:W3CDTF">2024-11-18T14:52:00Z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B10-0134/2024</vt:lpwstr>
  </property>
  <property fmtid="{D5CDD505-2E9C-101B-9397-08002B2CF9AE}" pid="4" name="&lt;Type&gt;">
    <vt:lpwstr>RR</vt:lpwstr>
  </property>
</Properties>
</file>