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6208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62082" w:rsidRDefault="003A44FC" w:rsidP="0010095E">
            <w:pPr>
              <w:pStyle w:val="EPName"/>
            </w:pPr>
            <w:r w:rsidRPr="00F62082">
              <w:t>Európai Parlament</w:t>
            </w:r>
          </w:p>
          <w:p w:rsidR="00751A4A" w:rsidRPr="00F6208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62082">
              <w:t>2024</w:t>
            </w:r>
            <w:r w:rsidR="00817416" w:rsidRPr="00F62082">
              <w:t>-202</w:t>
            </w:r>
            <w:r w:rsidRPr="00F62082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F62082" w:rsidRDefault="00187494" w:rsidP="0010095E">
            <w:pPr>
              <w:pStyle w:val="EPLogo"/>
            </w:pPr>
            <w:r w:rsidRPr="00F62082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62082" w:rsidRDefault="00D058B8" w:rsidP="004C5D52">
      <w:pPr>
        <w:pStyle w:val="LineTop"/>
      </w:pPr>
    </w:p>
    <w:p w:rsidR="00680577" w:rsidRPr="00F62082" w:rsidRDefault="003A44FC" w:rsidP="00680577">
      <w:pPr>
        <w:pStyle w:val="EPBodyTA1"/>
      </w:pPr>
      <w:r w:rsidRPr="00F62082">
        <w:t>ELFOGADOTT SZÖVEGEK</w:t>
      </w:r>
    </w:p>
    <w:p w:rsidR="00D058B8" w:rsidRPr="00F62082" w:rsidRDefault="00D058B8" w:rsidP="00D058B8">
      <w:pPr>
        <w:pStyle w:val="LineBottom"/>
      </w:pPr>
    </w:p>
    <w:p w:rsidR="003A44FC" w:rsidRPr="00F62082" w:rsidRDefault="003A44FC" w:rsidP="003A44FC">
      <w:pPr>
        <w:pStyle w:val="ATHeading1"/>
      </w:pPr>
      <w:bookmarkStart w:id="0" w:name="TANumber"/>
      <w:r w:rsidRPr="00F62082">
        <w:t>P10_</w:t>
      </w:r>
      <w:proofErr w:type="gramStart"/>
      <w:r w:rsidRPr="00F62082">
        <w:t>TA(</w:t>
      </w:r>
      <w:proofErr w:type="gramEnd"/>
      <w:r w:rsidRPr="00F62082">
        <w:t>2024)00</w:t>
      </w:r>
      <w:r w:rsidR="00EC55AE">
        <w:t>3</w:t>
      </w:r>
      <w:r w:rsidRPr="00F62082">
        <w:t>0</w:t>
      </w:r>
      <w:bookmarkEnd w:id="0"/>
    </w:p>
    <w:p w:rsidR="003A44FC" w:rsidRPr="00F62082" w:rsidRDefault="003A44FC" w:rsidP="003A44FC">
      <w:pPr>
        <w:pStyle w:val="ATHeading2"/>
      </w:pPr>
      <w:bookmarkStart w:id="1" w:name="title"/>
      <w:r w:rsidRPr="00F62082">
        <w:t>A 2758. sz. ENSZ-határozat Kínai Népköztársaság általi téves értelmezése és Tajvan körüli folyamatos katonai provokációi</w:t>
      </w:r>
      <w:bookmarkEnd w:id="1"/>
    </w:p>
    <w:p w:rsidR="003A44FC" w:rsidRPr="00F62082" w:rsidRDefault="003A44FC" w:rsidP="003A44FC">
      <w:pPr>
        <w:rPr>
          <w:i/>
          <w:vanish/>
        </w:rPr>
      </w:pPr>
      <w:r w:rsidRPr="00F62082">
        <w:rPr>
          <w:i/>
        </w:rPr>
        <w:fldChar w:fldCharType="begin"/>
      </w:r>
      <w:r w:rsidRPr="00F62082">
        <w:rPr>
          <w:i/>
        </w:rPr>
        <w:instrText xml:space="preserve"> TC"(</w:instrText>
      </w:r>
      <w:bookmarkStart w:id="2" w:name="DocNumber"/>
      <w:r w:rsidRPr="00F62082">
        <w:rPr>
          <w:i/>
        </w:rPr>
        <w:instrText>B10-0134, 0135, 0137, 0138 és 0140/2024</w:instrText>
      </w:r>
      <w:bookmarkEnd w:id="2"/>
      <w:r w:rsidRPr="00F62082">
        <w:rPr>
          <w:i/>
        </w:rPr>
        <w:instrText xml:space="preserve">)"\l3 \n&gt; \* MERGEFORMAT </w:instrText>
      </w:r>
      <w:r w:rsidRPr="00F62082">
        <w:rPr>
          <w:i/>
        </w:rPr>
        <w:fldChar w:fldCharType="end"/>
      </w:r>
    </w:p>
    <w:p w:rsidR="003A44FC" w:rsidRPr="00F62082" w:rsidRDefault="003A44FC" w:rsidP="003A44FC">
      <w:pPr>
        <w:rPr>
          <w:vanish/>
        </w:rPr>
      </w:pPr>
      <w:bookmarkStart w:id="3" w:name="PE"/>
      <w:r w:rsidRPr="00F62082">
        <w:rPr>
          <w:vanish/>
        </w:rPr>
        <w:t>PE764.114</w:t>
      </w:r>
      <w:bookmarkEnd w:id="3"/>
    </w:p>
    <w:p w:rsidR="003A44FC" w:rsidRPr="00F62082" w:rsidRDefault="003A44FC" w:rsidP="003A44FC">
      <w:pPr>
        <w:pStyle w:val="ATHeading3"/>
      </w:pPr>
      <w:bookmarkStart w:id="4" w:name="Sujet"/>
      <w:r w:rsidRPr="00F62082">
        <w:t xml:space="preserve">Az Európai Parlament 2024. </w:t>
      </w:r>
      <w:r w:rsidR="004729E5">
        <w:t>október 24</w:t>
      </w:r>
      <w:r w:rsidRPr="00F62082">
        <w:t>-i állásfoglalása a 2758. sz. ENSZ-határozatnak a Kínai Népköztársaság általi félreértelmezéséről és Tajvan körüli folyamatos katonai provokációiról</w:t>
      </w:r>
      <w:bookmarkEnd w:id="4"/>
      <w:r w:rsidRPr="00F62082">
        <w:t xml:space="preserve"> </w:t>
      </w:r>
      <w:bookmarkStart w:id="5" w:name="References"/>
      <w:r w:rsidRPr="00F62082">
        <w:t>(2024/</w:t>
      </w:r>
      <w:proofErr w:type="gramStart"/>
      <w:r w:rsidRPr="00F62082">
        <w:t>2891(</w:t>
      </w:r>
      <w:proofErr w:type="gramEnd"/>
      <w:r w:rsidRPr="00F62082">
        <w:t>RSP))</w:t>
      </w:r>
      <w:bookmarkStart w:id="6" w:name="_GoBack"/>
      <w:bookmarkEnd w:id="5"/>
      <w:bookmarkEnd w:id="6"/>
    </w:p>
    <w:p w:rsidR="00AC6DB8" w:rsidRPr="00F62082" w:rsidRDefault="00AC6DB8" w:rsidP="00AC6DB8">
      <w:pPr>
        <w:pStyle w:val="EPComma"/>
      </w:pPr>
      <w:bookmarkStart w:id="7" w:name="TextBodyBegin"/>
      <w:bookmarkEnd w:id="7"/>
      <w:r w:rsidRPr="00F62082">
        <w:rPr>
          <w:i/>
        </w:rPr>
        <w:t>Az Európai Parlament,</w:t>
      </w:r>
    </w:p>
    <w:p w:rsidR="00AC6DB8" w:rsidRPr="00F62082" w:rsidRDefault="00AC6DB8" w:rsidP="004729E5">
      <w:pPr>
        <w:pStyle w:val="NormalHanging12a"/>
        <w:widowControl/>
      </w:pPr>
      <w:r w:rsidRPr="00F62082">
        <w:t>–</w:t>
      </w:r>
      <w:r w:rsidRPr="00F62082">
        <w:tab/>
        <w:t>tekintettel a Kínai Népköztársaságról (KNK) és Tajvanról szóló korábbi állásfoglalásaira,</w:t>
      </w:r>
    </w:p>
    <w:p w:rsidR="00AC6DB8" w:rsidRPr="00F62082" w:rsidRDefault="00AC6DB8" w:rsidP="004729E5">
      <w:pPr>
        <w:pStyle w:val="NormalHanging12a"/>
        <w:widowControl/>
      </w:pPr>
      <w:r w:rsidRPr="00F62082">
        <w:t>–</w:t>
      </w:r>
      <w:r w:rsidRPr="00F62082">
        <w:tab/>
        <w:t>tekintettel az új EU–Kína stratégiáról szóló, 2021. szeptember 16-i állásfoglalására</w:t>
      </w:r>
      <w:r w:rsidRPr="00F62082">
        <w:rPr>
          <w:rStyle w:val="FootnoteReference"/>
        </w:rPr>
        <w:footnoteReference w:id="1"/>
      </w:r>
      <w:r w:rsidRPr="00F62082">
        <w:t>,</w:t>
      </w:r>
    </w:p>
    <w:p w:rsidR="00AC6DB8" w:rsidRPr="00F62082" w:rsidRDefault="00AC6DB8" w:rsidP="004729E5">
      <w:pPr>
        <w:pStyle w:val="NormalHanging12a"/>
        <w:widowControl/>
      </w:pPr>
      <w:r w:rsidRPr="00F62082">
        <w:t>–</w:t>
      </w:r>
      <w:r w:rsidRPr="00F62082">
        <w:tab/>
        <w:t xml:space="preserve">tekintettel a Bizottság alelnökéhez/az Unió külügyi és biztonságpolitikai </w:t>
      </w:r>
      <w:proofErr w:type="spellStart"/>
      <w:r w:rsidRPr="00F62082">
        <w:t>főképviselőjéhez</w:t>
      </w:r>
      <w:proofErr w:type="spellEnd"/>
      <w:r w:rsidRPr="00F62082">
        <w:t xml:space="preserve"> intézett, az EU és Tajvan közötti politikai kapcsolatokról és együttműködésről szóló, 2021. október 21-i ajánlására</w:t>
      </w:r>
      <w:r w:rsidRPr="00F62082">
        <w:rPr>
          <w:rStyle w:val="FootnoteReference"/>
        </w:rPr>
        <w:footnoteReference w:id="2"/>
      </w:r>
      <w:r w:rsidRPr="00F62082">
        <w:t>,</w:t>
      </w:r>
    </w:p>
    <w:p w:rsidR="00AC6DB8" w:rsidRPr="00F62082" w:rsidRDefault="00AC6DB8" w:rsidP="004729E5">
      <w:pPr>
        <w:pStyle w:val="NormalHanging12a"/>
        <w:widowControl/>
      </w:pPr>
      <w:r w:rsidRPr="00F62082">
        <w:t>–</w:t>
      </w:r>
      <w:r w:rsidRPr="00F62082">
        <w:tab/>
        <w:t>tekintettel az EU és az indiai–csendes-óceáni térség biztonsági kihívásairól szóló, 2022. június 7-i állásfoglalására</w:t>
      </w:r>
      <w:r w:rsidRPr="00F62082">
        <w:rPr>
          <w:rStyle w:val="FootnoteReference"/>
        </w:rPr>
        <w:footnoteReference w:id="3"/>
      </w:r>
      <w:r w:rsidRPr="00F62082">
        <w:t>,</w:t>
      </w:r>
    </w:p>
    <w:p w:rsidR="00AC6DB8" w:rsidRPr="00F62082" w:rsidRDefault="00AC6DB8" w:rsidP="004729E5">
      <w:pPr>
        <w:pStyle w:val="NormalHanging12a"/>
        <w:widowControl/>
      </w:pPr>
      <w:r w:rsidRPr="00F62082">
        <w:t>–</w:t>
      </w:r>
      <w:r w:rsidRPr="00F62082">
        <w:tab/>
        <w:t>tekintettel a Tajvani-szorosban kialakult helyzetről szóló, 2022. szeptember 15-i állásfoglalására</w:t>
      </w:r>
      <w:r w:rsidRPr="00F62082">
        <w:rPr>
          <w:rStyle w:val="FootnoteReference"/>
        </w:rPr>
        <w:footnoteReference w:id="4"/>
      </w:r>
      <w:r w:rsidRPr="00F62082">
        <w:t>,</w:t>
      </w:r>
    </w:p>
    <w:p w:rsidR="00AC6DB8" w:rsidRPr="00F62082" w:rsidRDefault="00AC6DB8" w:rsidP="004729E5">
      <w:pPr>
        <w:pStyle w:val="NormalHanging12a"/>
        <w:widowControl/>
      </w:pPr>
      <w:r w:rsidRPr="00F62082">
        <w:t>–</w:t>
      </w:r>
      <w:r w:rsidRPr="00F62082">
        <w:tab/>
        <w:t>tekintettel az EU és Tajvan közötti kereskedelmi és beruházási kapcsolatokról szóló, 2023. december 13-i állásfoglalására</w:t>
      </w:r>
      <w:r w:rsidRPr="00F62082">
        <w:rPr>
          <w:rStyle w:val="FootnoteReference"/>
        </w:rPr>
        <w:footnoteReference w:id="5"/>
      </w:r>
      <w:r w:rsidRPr="00F62082">
        <w:t>,</w:t>
      </w:r>
    </w:p>
    <w:p w:rsidR="00AC6DB8" w:rsidRPr="00F62082" w:rsidRDefault="00AC6DB8" w:rsidP="004729E5">
      <w:pPr>
        <w:pStyle w:val="NormalHanging12a"/>
        <w:widowControl/>
      </w:pPr>
      <w:r w:rsidRPr="00F62082">
        <w:t>–</w:t>
      </w:r>
      <w:r w:rsidRPr="00F62082">
        <w:tab/>
        <w:t>tekintettel a Tanács által 2022. március 21-én jóváhagyott, a biztonságra és védelemre vonatkozó stratégiai iránytűre,</w:t>
      </w:r>
    </w:p>
    <w:p w:rsidR="00AC6DB8" w:rsidRPr="00F62082" w:rsidRDefault="00AC6DB8" w:rsidP="004729E5">
      <w:pPr>
        <w:pStyle w:val="NormalHanging12a"/>
        <w:widowControl/>
      </w:pPr>
      <w:r w:rsidRPr="00F62082">
        <w:lastRenderedPageBreak/>
        <w:t>–</w:t>
      </w:r>
      <w:r w:rsidRPr="00F62082">
        <w:tab/>
        <w:t xml:space="preserve">tekintettel a Bizottságnak és az Unió külügyi és biztonságpolitikai </w:t>
      </w:r>
      <w:proofErr w:type="spellStart"/>
      <w:r w:rsidRPr="00F62082">
        <w:t>főképviselőjének</w:t>
      </w:r>
      <w:proofErr w:type="spellEnd"/>
      <w:r w:rsidRPr="00F62082">
        <w:t xml:space="preserve"> az indiai–csendes-óceáni térséggel folytatott együttműködésre vonatkozó uniós stratégiáról szóló, 2021. szeptember 16-i közös közleményére (</w:t>
      </w:r>
      <w:proofErr w:type="gramStart"/>
      <w:r w:rsidRPr="00F62082">
        <w:t>JOIN(</w:t>
      </w:r>
      <w:proofErr w:type="gramEnd"/>
      <w:r w:rsidRPr="00F62082">
        <w:t>2021)0024),</w:t>
      </w:r>
    </w:p>
    <w:p w:rsidR="00AC6DB8" w:rsidRPr="00F62082" w:rsidRDefault="00AC6DB8" w:rsidP="004729E5">
      <w:pPr>
        <w:pStyle w:val="NormalHanging12a"/>
        <w:widowControl/>
      </w:pPr>
      <w:r w:rsidRPr="00F62082">
        <w:t>–</w:t>
      </w:r>
      <w:r w:rsidRPr="00F62082">
        <w:tab/>
        <w:t>tekintettel az EU „egy Kína” politikájára,</w:t>
      </w:r>
    </w:p>
    <w:p w:rsidR="00AC6DB8" w:rsidRPr="00F62082" w:rsidRDefault="00AC6DB8" w:rsidP="004729E5">
      <w:pPr>
        <w:pStyle w:val="NormalHanging12a"/>
        <w:widowControl/>
      </w:pPr>
      <w:r w:rsidRPr="00F62082">
        <w:t>–</w:t>
      </w:r>
      <w:r w:rsidRPr="00F62082">
        <w:tab/>
        <w:t>tekintettel a 2023. december 7-én megrendezett EU–Kína csúcstalálkozóra,</w:t>
      </w:r>
    </w:p>
    <w:p w:rsidR="00AC6DB8" w:rsidRPr="00F62082" w:rsidRDefault="00AC6DB8" w:rsidP="004729E5">
      <w:pPr>
        <w:pStyle w:val="NormalHanging12a"/>
        <w:widowControl/>
      </w:pPr>
      <w:r w:rsidRPr="00F62082">
        <w:t>–</w:t>
      </w:r>
      <w:r w:rsidRPr="00F62082">
        <w:tab/>
        <w:t>tekintettel az Európai Tanács Kínáról szóló, 2023. június 30-i következtetéseire,</w:t>
      </w:r>
    </w:p>
    <w:p w:rsidR="00AC6DB8" w:rsidRPr="00F62082" w:rsidRDefault="00AC6DB8" w:rsidP="004729E5">
      <w:pPr>
        <w:pStyle w:val="NormalHanging12a"/>
        <w:widowControl/>
      </w:pPr>
      <w:r w:rsidRPr="00F62082">
        <w:t>–</w:t>
      </w:r>
      <w:r w:rsidRPr="00F62082">
        <w:tab/>
        <w:t>tekintettel a Külügyi Bizottság 2023. július 25–27-i és a Nemzetközi Kereskedelmi Bizottság 2022. december 19–21-i tajvani látogatására,</w:t>
      </w:r>
    </w:p>
    <w:p w:rsidR="00AC6DB8" w:rsidRPr="00F62082" w:rsidRDefault="00AC6DB8" w:rsidP="004729E5">
      <w:pPr>
        <w:pStyle w:val="NormalHanging12a"/>
        <w:widowControl/>
      </w:pPr>
      <w:r w:rsidRPr="00F62082">
        <w:t>–</w:t>
      </w:r>
      <w:r w:rsidRPr="00F62082">
        <w:tab/>
        <w:t xml:space="preserve">tekintettel az Unió külügyi és biztonságpolitikai </w:t>
      </w:r>
      <w:proofErr w:type="spellStart"/>
      <w:r w:rsidRPr="00F62082">
        <w:t>főképviselője</w:t>
      </w:r>
      <w:proofErr w:type="spellEnd"/>
      <w:r w:rsidRPr="00F62082">
        <w:t xml:space="preserve"> szóvivőjének a Dél-kínai-tengeren végrehajtott legutóbbi veszélyes fellépésekről szóló, 2024. szeptember 1-jei nyilatkozatára,</w:t>
      </w:r>
    </w:p>
    <w:p w:rsidR="00AC6DB8" w:rsidRPr="00F62082" w:rsidRDefault="00AC6DB8" w:rsidP="004729E5">
      <w:pPr>
        <w:pStyle w:val="NormalHanging12a"/>
        <w:widowControl/>
      </w:pPr>
      <w:r w:rsidRPr="00F62082">
        <w:t>–</w:t>
      </w:r>
      <w:r w:rsidRPr="00F62082">
        <w:tab/>
        <w:t xml:space="preserve">tekintettel az Unió külügyi és biztonságpolitikai </w:t>
      </w:r>
      <w:proofErr w:type="spellStart"/>
      <w:r w:rsidRPr="00F62082">
        <w:t>főképviselője</w:t>
      </w:r>
      <w:proofErr w:type="spellEnd"/>
      <w:r w:rsidRPr="00F62082">
        <w:t xml:space="preserve"> szóvivőjének a Tajvan körüli kínai hadgyakorlatokról szóló nyilatkozataira, többek között legutóbbi, 2024. október 14-i nyilatkozatára,</w:t>
      </w:r>
    </w:p>
    <w:p w:rsidR="00AC6DB8" w:rsidRPr="00F62082" w:rsidRDefault="00AC6DB8" w:rsidP="004729E5">
      <w:pPr>
        <w:pStyle w:val="NormalHanging12a"/>
        <w:widowControl/>
      </w:pPr>
      <w:r w:rsidRPr="00F62082">
        <w:t>–</w:t>
      </w:r>
      <w:r w:rsidRPr="00F62082">
        <w:tab/>
        <w:t>tekintettel a G7 csoport külügyminisztereinek a Tajvani-szoros békéjének és stabilitásának megőrzéséről szóló, 2023. április 18-i és 2022. augusztus 3-i nyilatkozatára,</w:t>
      </w:r>
    </w:p>
    <w:p w:rsidR="00AC6DB8" w:rsidRPr="00F62082" w:rsidRDefault="00AC6DB8" w:rsidP="004729E5">
      <w:pPr>
        <w:pStyle w:val="NormalHanging12a"/>
        <w:widowControl/>
      </w:pPr>
      <w:r w:rsidRPr="00F62082">
        <w:t>–</w:t>
      </w:r>
      <w:r w:rsidRPr="00F62082">
        <w:tab/>
        <w:t>tekintettel a G7-ek külügyminiszteri találkozója elnökének 2024. szeptember 23-i nyilatkozatára,</w:t>
      </w:r>
    </w:p>
    <w:p w:rsidR="00AC6DB8" w:rsidRPr="00F62082" w:rsidRDefault="00AC6DB8" w:rsidP="004729E5">
      <w:pPr>
        <w:pStyle w:val="NormalHanging12a"/>
        <w:widowControl/>
      </w:pPr>
      <w:r w:rsidRPr="00F62082">
        <w:t>–</w:t>
      </w:r>
      <w:r w:rsidRPr="00F62082">
        <w:tab/>
        <w:t>tekintettel a G7-ek védelmi minisztereinek 2024. október 19-i együttes nyilatkozatára,</w:t>
      </w:r>
    </w:p>
    <w:p w:rsidR="00AC6DB8" w:rsidRPr="00F62082" w:rsidRDefault="00AC6DB8" w:rsidP="004729E5">
      <w:pPr>
        <w:pStyle w:val="NormalHanging12a"/>
        <w:widowControl/>
      </w:pPr>
      <w:r w:rsidRPr="00F62082">
        <w:t>–</w:t>
      </w:r>
      <w:r w:rsidRPr="00F62082">
        <w:tab/>
        <w:t>tekintettel az ausztrál szenátus által 2024. augusztus 21-én Tajvanról elfogadott sürgősségi indítványra,</w:t>
      </w:r>
    </w:p>
    <w:p w:rsidR="00AC6DB8" w:rsidRPr="00F62082" w:rsidRDefault="00AC6DB8" w:rsidP="004729E5">
      <w:pPr>
        <w:pStyle w:val="NormalHanging12a"/>
        <w:widowControl/>
      </w:pPr>
      <w:r w:rsidRPr="00F62082">
        <w:t>–</w:t>
      </w:r>
      <w:r w:rsidRPr="00F62082">
        <w:tab/>
        <w:t>tekintettel az ENSZ Közgyűlésének 1971. október 25-i, 2758. (XXVI) számú határozatára,</w:t>
      </w:r>
    </w:p>
    <w:p w:rsidR="00AC6DB8" w:rsidRPr="00F62082" w:rsidRDefault="00AC6DB8" w:rsidP="004729E5">
      <w:pPr>
        <w:pStyle w:val="NormalHanging12a"/>
        <w:widowControl/>
      </w:pPr>
      <w:r w:rsidRPr="00F62082">
        <w:t>–</w:t>
      </w:r>
      <w:r w:rsidRPr="00F62082">
        <w:tab/>
        <w:t>tekintettel a holland képviselőháznak a 2758. sz. ENSZ-határozatról szóló, 2024. szeptember 12-én elfogadott indítványára,</w:t>
      </w:r>
    </w:p>
    <w:p w:rsidR="00AC6DB8" w:rsidRPr="00F62082" w:rsidRDefault="00AC6DB8" w:rsidP="004729E5">
      <w:pPr>
        <w:pStyle w:val="NormalHanging12a"/>
        <w:widowControl/>
      </w:pPr>
      <w:r w:rsidRPr="00F62082">
        <w:t>–</w:t>
      </w:r>
      <w:r w:rsidRPr="00F62082">
        <w:tab/>
        <w:t xml:space="preserve">tekintettel az Egyesült Államok </w:t>
      </w:r>
      <w:proofErr w:type="spellStart"/>
      <w:r w:rsidRPr="00F62082">
        <w:t>Külügyminisztéruma</w:t>
      </w:r>
      <w:proofErr w:type="spellEnd"/>
      <w:r w:rsidRPr="00F62082">
        <w:t xml:space="preserve"> 2024. október 13-i sajtónyilatkozatára,</w:t>
      </w:r>
    </w:p>
    <w:p w:rsidR="00AC6DB8" w:rsidRPr="00F62082" w:rsidRDefault="00AC6DB8" w:rsidP="004729E5">
      <w:pPr>
        <w:pStyle w:val="NormalHanging12a"/>
        <w:widowControl/>
      </w:pPr>
      <w:r w:rsidRPr="00F62082">
        <w:t>–</w:t>
      </w:r>
      <w:r w:rsidRPr="00F62082">
        <w:tab/>
        <w:t>tekintettel az ENSZ tengerjogi egyezményére (UNCLOS),</w:t>
      </w:r>
    </w:p>
    <w:p w:rsidR="00AC6DB8" w:rsidRPr="00F62082" w:rsidRDefault="00AC6DB8" w:rsidP="004729E5">
      <w:pPr>
        <w:pStyle w:val="NormalHanging12a"/>
        <w:widowControl/>
      </w:pPr>
      <w:r w:rsidRPr="00F62082">
        <w:t>–</w:t>
      </w:r>
      <w:r w:rsidRPr="00F62082">
        <w:tab/>
        <w:t>tekintettel az ENSZ 1992. május 9-i Éghajlatváltozási Keretegyezményének (UNFCCC) 7. cikkére,</w:t>
      </w:r>
    </w:p>
    <w:p w:rsidR="00AC6DB8" w:rsidRPr="00F62082" w:rsidRDefault="00AC6DB8" w:rsidP="004729E5">
      <w:pPr>
        <w:pStyle w:val="NormalHanging12a"/>
        <w:widowControl/>
      </w:pPr>
      <w:r w:rsidRPr="00F62082">
        <w:t>–</w:t>
      </w:r>
      <w:r w:rsidRPr="00F62082">
        <w:tab/>
        <w:t>tekintettel a Nemzetközi Polgári Repülési Szervezet (ICAO) közgyűlése állandó eljárási szabályzatának 5. cikkére,</w:t>
      </w:r>
    </w:p>
    <w:p w:rsidR="00AC6DB8" w:rsidRPr="00F62082" w:rsidRDefault="00AC6DB8" w:rsidP="004729E5">
      <w:pPr>
        <w:pStyle w:val="NormalHanging12a"/>
        <w:widowControl/>
      </w:pPr>
      <w:r w:rsidRPr="00F62082">
        <w:t>–</w:t>
      </w:r>
      <w:r w:rsidRPr="00F62082">
        <w:tab/>
        <w:t>tekintettel a Nemzetközi Bűnügyi Rendőrség Szervezete (Interpol) alapszabályának 4. cikkére,</w:t>
      </w:r>
    </w:p>
    <w:p w:rsidR="00AC6DB8" w:rsidRPr="00F62082" w:rsidRDefault="00AC6DB8" w:rsidP="004729E5">
      <w:pPr>
        <w:pStyle w:val="NormalHanging12a"/>
        <w:widowControl/>
      </w:pPr>
      <w:r w:rsidRPr="00F62082">
        <w:lastRenderedPageBreak/>
        <w:t>–</w:t>
      </w:r>
      <w:r w:rsidRPr="00F62082">
        <w:tab/>
        <w:t>tekintettel az Egészségügyi Világszervezet (WHO) alapokmányának 8. cikkére és 18. cikkének h) pontjára,</w:t>
      </w:r>
    </w:p>
    <w:p w:rsidR="00AC6DB8" w:rsidRPr="00F62082" w:rsidRDefault="00AC6DB8" w:rsidP="004729E5">
      <w:pPr>
        <w:pStyle w:val="NormalHanging12a"/>
        <w:widowControl/>
      </w:pPr>
      <w:r w:rsidRPr="00F62082">
        <w:t>–</w:t>
      </w:r>
      <w:r w:rsidRPr="00F62082">
        <w:tab/>
        <w:t>tekintettel eljárási szabályzata 136. cikkének (2) és (4) bekezdésére,</w:t>
      </w:r>
    </w:p>
    <w:p w:rsidR="00AC6DB8" w:rsidRPr="00F62082" w:rsidRDefault="00AC6DB8" w:rsidP="004729E5">
      <w:pPr>
        <w:pStyle w:val="NormalHanging12a"/>
        <w:widowControl/>
      </w:pPr>
      <w:r w:rsidRPr="00F62082">
        <w:t>A.</w:t>
      </w:r>
      <w:r w:rsidRPr="00F62082">
        <w:tab/>
      </w:r>
      <w:proofErr w:type="gramStart"/>
      <w:r w:rsidRPr="00F62082">
        <w:t>mivel</w:t>
      </w:r>
      <w:proofErr w:type="gramEnd"/>
      <w:r w:rsidRPr="00F62082">
        <w:t xml:space="preserve"> az ENSZ Közgyűlése 1971. október 25-én elfogadta a 2758. sz. ENSZ-határozatot, amelynek eredményeként a Kínai Népköztársaság (KNK) nyert hivatalos elismerést az addig elismert Kínai Köztársaság (Tajvan) helyett; mivel ma Tajvan – bár nem tagja az Egyesült Nemzetek Szervezetének – az Egyesült Nemzetek Szervezetének 193 tagállama közül 11-gyel, valamint a Szentszékkel is fenntart diplomáciai kapcsolatokat;</w:t>
      </w:r>
    </w:p>
    <w:p w:rsidR="00AC6DB8" w:rsidRPr="00F62082" w:rsidRDefault="00AC6DB8" w:rsidP="004729E5">
      <w:pPr>
        <w:pStyle w:val="NormalHanging12a"/>
        <w:widowControl/>
      </w:pPr>
      <w:r w:rsidRPr="00F62082">
        <w:t>B.</w:t>
      </w:r>
      <w:r w:rsidRPr="00F62082">
        <w:tab/>
        <w:t>mivel az EU és Tajvan hasonló gondolkodású partnerek, amelyek közös értékei a szabadság, a demokrácia, az emberi jogok és a jogállamiság; mivel Tajvan élénk demokrácia, virágzó civil társadalommal; mivel Tajvan 2024. január 13-án békés és jól szervezett választásokat tartott;</w:t>
      </w:r>
    </w:p>
    <w:p w:rsidR="00AC6DB8" w:rsidRPr="00F62082" w:rsidRDefault="00AC6DB8" w:rsidP="004729E5">
      <w:pPr>
        <w:pStyle w:val="NormalHanging12a"/>
        <w:widowControl/>
      </w:pPr>
      <w:r w:rsidRPr="00F62082">
        <w:t>C.</w:t>
      </w:r>
      <w:r w:rsidRPr="00F62082">
        <w:tab/>
        <w:t>mivel az ENSZ 2758. sz. határozatának elfogadását követően Tajvan elvesztette többoldalú fórumokban, például a WHO-ban való részvételi jogát;</w:t>
      </w:r>
    </w:p>
    <w:p w:rsidR="00AC6DB8" w:rsidRPr="00F62082" w:rsidRDefault="00AC6DB8" w:rsidP="004729E5">
      <w:pPr>
        <w:pStyle w:val="NormalHanging12a"/>
        <w:widowControl/>
      </w:pPr>
      <w:r w:rsidRPr="00F62082">
        <w:t>D.</w:t>
      </w:r>
      <w:r w:rsidRPr="00F62082">
        <w:tab/>
        <w:t>mivel Tajvan soha nem volt a Kínai Népköztársaság része; mivel a Kínai Köztársaságot 1912-ben, a Kínai Népköztársaságot pedig 1949-ben alapították;</w:t>
      </w:r>
    </w:p>
    <w:p w:rsidR="00AC6DB8" w:rsidRPr="00F62082" w:rsidRDefault="00AC6DB8" w:rsidP="004729E5">
      <w:pPr>
        <w:pStyle w:val="NormalHanging12a"/>
        <w:widowControl/>
      </w:pPr>
      <w:r w:rsidRPr="00F62082">
        <w:t>E.</w:t>
      </w:r>
      <w:r w:rsidRPr="00F62082">
        <w:tab/>
      </w:r>
      <w:proofErr w:type="gramStart"/>
      <w:r w:rsidRPr="00F62082">
        <w:t>mivel a 2758. sz. ENSZ-határozat a Kínai Népköztársaság jogállásával foglalkozik, de nem rögzíti, hogy Kína szuverenitással rendelkezik Tajvan felett, és nem tartalmaz döntést Tajvan jövőbeli felvételéről sem az ENSZ-be vagy bármely más nemzetközi szervezetbe; mivel azonban a Kínai Népköztársaság továbbra is félreértelmezi az ENSZ 2758. sz. határozatát annak érdekében, hogy megakadályozza Tajvan nemzetközi szervezetekben való érdemi részvételét, valamint hogy egyoldalúan megváltoztassa a status quo-t; mivel ezek az intézkedések rávilágítanak a Kínai Népköztársaság azon törekvésére, hogy megváltoztassa</w:t>
      </w:r>
      <w:proofErr w:type="gramEnd"/>
      <w:r w:rsidRPr="00F62082">
        <w:t xml:space="preserve"> a meglévő többoldalú nemzetközi rendet és aláássa nemzetközi jogot, és a rendszerszintű </w:t>
      </w:r>
      <w:proofErr w:type="gramStart"/>
      <w:r w:rsidRPr="00F62082">
        <w:t>rivalizálás</w:t>
      </w:r>
      <w:proofErr w:type="gramEnd"/>
      <w:r w:rsidRPr="00F62082">
        <w:t xml:space="preserve"> megnyilvánulásának tekinthetők;</w:t>
      </w:r>
    </w:p>
    <w:p w:rsidR="00AC6DB8" w:rsidRPr="00F62082" w:rsidRDefault="00AC6DB8" w:rsidP="004729E5">
      <w:pPr>
        <w:pStyle w:val="NormalHanging12a"/>
        <w:widowControl/>
      </w:pPr>
      <w:r w:rsidRPr="00F62082">
        <w:t>F.</w:t>
      </w:r>
      <w:r w:rsidRPr="00F62082">
        <w:tab/>
        <w:t xml:space="preserve">mivel az EU továbbra is fenntartja saját „egy Kína” politikáját, amely azonban eltér a Kínai Népköztársaság „egy Kína” elvétől; mivel az EU régóta fennálló álláspontja az, hogy a fennálló helyzetet és a Tajvani-szoroson belüli nézeteltérések békés rendezését támogatja, miközben </w:t>
      </w:r>
      <w:proofErr w:type="spellStart"/>
      <w:r w:rsidRPr="00F62082">
        <w:t>ösztönzi</w:t>
      </w:r>
      <w:proofErr w:type="spellEnd"/>
      <w:r w:rsidRPr="00F62082">
        <w:t xml:space="preserve"> a párbeszédet és a </w:t>
      </w:r>
      <w:proofErr w:type="gramStart"/>
      <w:r w:rsidRPr="00F62082">
        <w:t>konstruktív</w:t>
      </w:r>
      <w:proofErr w:type="gramEnd"/>
      <w:r w:rsidRPr="00F62082">
        <w:t xml:space="preserve"> szerepvállalást;</w:t>
      </w:r>
    </w:p>
    <w:p w:rsidR="00AC6DB8" w:rsidRPr="00F62082" w:rsidRDefault="00AC6DB8" w:rsidP="004729E5">
      <w:pPr>
        <w:pStyle w:val="NormalHanging12a"/>
        <w:widowControl/>
      </w:pPr>
      <w:r w:rsidRPr="00F62082">
        <w:t>G.</w:t>
      </w:r>
      <w:r w:rsidRPr="00F62082">
        <w:tab/>
        <w:t xml:space="preserve">mivel 2024. szeptember 23-i nyilatkozatukban a G7-ek tagjai többek között hangsúlyozták, hogy támogatják „Tajvan olyan nemzetközi szervezetekben, tagként való érdemi részvételét, ahol az államiság ennek nem előfeltétele, illetve megfigyelői vagy vendég </w:t>
      </w:r>
      <w:proofErr w:type="gramStart"/>
      <w:r w:rsidRPr="00F62082">
        <w:t>státuszú</w:t>
      </w:r>
      <w:proofErr w:type="gramEnd"/>
      <w:r w:rsidRPr="00F62082">
        <w:t xml:space="preserve"> részvételét azon szervezetekben, ahol e feltétel fennáll”;</w:t>
      </w:r>
    </w:p>
    <w:p w:rsidR="00AC6DB8" w:rsidRPr="00F62082" w:rsidRDefault="00AC6DB8" w:rsidP="004729E5">
      <w:pPr>
        <w:pStyle w:val="NormalHanging12a"/>
        <w:widowControl/>
      </w:pPr>
      <w:r w:rsidRPr="00F62082">
        <w:t>H.</w:t>
      </w:r>
      <w:r w:rsidRPr="00F62082">
        <w:tab/>
      </w:r>
      <w:proofErr w:type="gramStart"/>
      <w:r w:rsidRPr="00F62082">
        <w:t>mivel</w:t>
      </w:r>
      <w:proofErr w:type="gramEnd"/>
      <w:r w:rsidRPr="00F62082">
        <w:t xml:space="preserve"> Tajvan nemzetközi szervezetekben való részvételének támogatása nem ássa alá az EU elkötelezettségét az „egy Kína” politika mellett, amely továbbra is az EU és Kína közötti kapcsolatok politikai alapja;</w:t>
      </w:r>
    </w:p>
    <w:p w:rsidR="00AC6DB8" w:rsidRPr="00F62082" w:rsidRDefault="00AC6DB8" w:rsidP="004729E5">
      <w:pPr>
        <w:pStyle w:val="NormalHanging12a"/>
        <w:widowControl/>
      </w:pPr>
      <w:proofErr w:type="gramStart"/>
      <w:r w:rsidRPr="00F62082">
        <w:t>I.</w:t>
      </w:r>
      <w:r w:rsidRPr="00F62082">
        <w:tab/>
        <w:t xml:space="preserve">mivel az elmúlt évtizedben a Kínai Népköztársaság folyamatosan megpróbálta növelni a nemzetközi intézmények feletti befolyását, és ezt arra használta fel, hogy háttérbe szorítsa Tajvant, és megakadályozza, hogy a tajvani útlevéllel rendelkező személyek, köztük újságírók, nem kormányzati szervezetek munkatársai és politikai aktivisták bejuthassanak nemzetközi intézményekbe; mivel a Kínai Népköztársaság </w:t>
      </w:r>
      <w:r w:rsidRPr="00F62082">
        <w:lastRenderedPageBreak/>
        <w:t>transznacionális elnyomást alkalmaz azáltal, hogy kiadatási szerződésekkel visszaélve tajvaniakat vesz célkeresztbe külföldön, és ezáltal önkényes üldöztetésnek és emberi jogi visszaéléseknek</w:t>
      </w:r>
      <w:proofErr w:type="gramEnd"/>
      <w:r w:rsidRPr="00F62082">
        <w:t xml:space="preserve"> </w:t>
      </w:r>
      <w:proofErr w:type="gramStart"/>
      <w:r w:rsidRPr="00F62082">
        <w:t>teszi</w:t>
      </w:r>
      <w:proofErr w:type="gramEnd"/>
      <w:r w:rsidRPr="00F62082">
        <w:t xml:space="preserve"> ki őket;</w:t>
      </w:r>
    </w:p>
    <w:p w:rsidR="00AC6DB8" w:rsidRPr="00F62082" w:rsidRDefault="00AC6DB8" w:rsidP="004729E5">
      <w:pPr>
        <w:pStyle w:val="NormalHanging12a"/>
        <w:widowControl/>
      </w:pPr>
      <w:r w:rsidRPr="00F62082">
        <w:t>J.</w:t>
      </w:r>
      <w:r w:rsidRPr="00F62082">
        <w:tab/>
        <w:t xml:space="preserve">mivel a </w:t>
      </w:r>
      <w:proofErr w:type="gramStart"/>
      <w:r w:rsidRPr="00F62082">
        <w:t>globális</w:t>
      </w:r>
      <w:proofErr w:type="gramEnd"/>
      <w:r w:rsidRPr="00F62082">
        <w:t xml:space="preserve"> kérdések kezelésével megbízott legtöbb nemzetközi szervezet – többek között a WHO, az UNFCCC, az Interpol és az ICAO – alapszabálya a tagállamok jogainak megsértése nélkül lehetőséget biztosít a részvételre az olyan jogalanyok számára, mint Tajvan;</w:t>
      </w:r>
    </w:p>
    <w:p w:rsidR="00AC6DB8" w:rsidRPr="00F62082" w:rsidRDefault="00AC6DB8" w:rsidP="004729E5">
      <w:pPr>
        <w:pStyle w:val="NormalHanging12a"/>
        <w:widowControl/>
      </w:pPr>
      <w:r w:rsidRPr="00F62082">
        <w:t>K.</w:t>
      </w:r>
      <w:r w:rsidRPr="00F62082">
        <w:tab/>
        <w:t xml:space="preserve">mivel Tajvan világszerte következetesen békés és együttműködő hozzáállást tanúsított, jelentősen elősegítette a </w:t>
      </w:r>
      <w:proofErr w:type="gramStart"/>
      <w:r w:rsidRPr="00F62082">
        <w:t>globális</w:t>
      </w:r>
      <w:proofErr w:type="gramEnd"/>
      <w:r w:rsidRPr="00F62082">
        <w:t xml:space="preserve"> fejlődést, és így nagymértékben hozzá tudott járulni a különböző nemzetközi szervezetek munkájához;</w:t>
      </w:r>
    </w:p>
    <w:p w:rsidR="00AC6DB8" w:rsidRPr="00F62082" w:rsidRDefault="00AC6DB8" w:rsidP="004729E5">
      <w:pPr>
        <w:pStyle w:val="NormalHanging12a"/>
        <w:widowControl/>
      </w:pPr>
      <w:r w:rsidRPr="00F62082">
        <w:t>L.</w:t>
      </w:r>
      <w:r w:rsidRPr="00F62082">
        <w:tab/>
        <w:t>mivel a Kínai Népköztársaság egypárti állam, amelyet teljes egészében a Kínai Kommunista Párt (KKP) ellenőriz és irányít;</w:t>
      </w:r>
    </w:p>
    <w:p w:rsidR="00AC6DB8" w:rsidRPr="00F62082" w:rsidRDefault="00AC6DB8" w:rsidP="004729E5">
      <w:pPr>
        <w:pStyle w:val="NormalHanging12a"/>
        <w:widowControl/>
      </w:pPr>
      <w:r w:rsidRPr="00F62082">
        <w:t>M.</w:t>
      </w:r>
      <w:r w:rsidRPr="00F62082">
        <w:tab/>
        <w:t xml:space="preserve">mivel a Tajvan nemzeti napján, 2024. október 10-én tartott beszédében </w:t>
      </w:r>
      <w:proofErr w:type="spellStart"/>
      <w:r w:rsidRPr="00F62082">
        <w:t>Lai</w:t>
      </w:r>
      <w:proofErr w:type="spellEnd"/>
      <w:r w:rsidRPr="00F62082">
        <w:t xml:space="preserve"> </w:t>
      </w:r>
      <w:proofErr w:type="spellStart"/>
      <w:r w:rsidRPr="00F62082">
        <w:t>Csing</w:t>
      </w:r>
      <w:proofErr w:type="spellEnd"/>
      <w:r w:rsidRPr="00F62082">
        <w:t xml:space="preserve">-te tajvani elnök kijelentette, hogy a Kínai Népköztársaságnak „nincs joga Tajvan képviseletére”, és megismételte, hogy a két fél egyike sincs a másiknak alárendelve; mivel a Kínai Népköztársaság azzal indokolta közelmúltbeli hadgyakorlatát, hogy </w:t>
      </w:r>
      <w:proofErr w:type="spellStart"/>
      <w:r w:rsidRPr="00F62082">
        <w:t>Lai</w:t>
      </w:r>
      <w:proofErr w:type="spellEnd"/>
      <w:r w:rsidRPr="00F62082">
        <w:t xml:space="preserve"> </w:t>
      </w:r>
      <w:proofErr w:type="spellStart"/>
      <w:r w:rsidRPr="00F62082">
        <w:t>Csing</w:t>
      </w:r>
      <w:proofErr w:type="spellEnd"/>
      <w:r w:rsidRPr="00F62082">
        <w:t>-te elnök szeparatista stratégiát követ;</w:t>
      </w:r>
    </w:p>
    <w:p w:rsidR="00AC6DB8" w:rsidRPr="00F62082" w:rsidRDefault="00AC6DB8" w:rsidP="004729E5">
      <w:pPr>
        <w:pStyle w:val="NormalHanging12a"/>
        <w:widowControl/>
      </w:pPr>
      <w:r w:rsidRPr="00F62082">
        <w:t>N.</w:t>
      </w:r>
      <w:r w:rsidRPr="00F62082">
        <w:tab/>
        <w:t xml:space="preserve">mivel 2024. október 14-én Kína </w:t>
      </w:r>
      <w:proofErr w:type="spellStart"/>
      <w:r w:rsidRPr="00F62082">
        <w:t>Joint</w:t>
      </w:r>
      <w:proofErr w:type="spellEnd"/>
      <w:r w:rsidRPr="00F62082">
        <w:t xml:space="preserve"> Sword-2024B néven nagyszabású hadgyakorlatot indított, amely Tajvan </w:t>
      </w:r>
      <w:proofErr w:type="gramStart"/>
      <w:r w:rsidRPr="00F62082">
        <w:t>blokádját</w:t>
      </w:r>
      <w:proofErr w:type="gramEnd"/>
      <w:r w:rsidRPr="00F62082">
        <w:t xml:space="preserve"> szimulálta; mivel e gyakorlat során rekordszámú, 153 kínai repülőgépet, 18 kínai hadihajót és a kínai parti őrség 17 hajóját észlelték Tajvan környékén;</w:t>
      </w:r>
    </w:p>
    <w:p w:rsidR="00AC6DB8" w:rsidRPr="00F62082" w:rsidRDefault="00AC6DB8" w:rsidP="004729E5">
      <w:pPr>
        <w:pStyle w:val="NormalHanging12a"/>
        <w:widowControl/>
      </w:pPr>
      <w:proofErr w:type="gramStart"/>
      <w:r w:rsidRPr="00F62082">
        <w:t>O.</w:t>
      </w:r>
      <w:r w:rsidRPr="00F62082">
        <w:tab/>
        <w:t xml:space="preserve">mivel a gyakorlatok során a kínai parti őrség négy alakulata járőrözött a szigeten, és rövid időre belépett Tajvan korlátozás hatálya alá tartozó vizeire; mivel a parti őrségnek a Kínai Népköztársaság által a Tajvani-szorosban történő igen gyakori bevetése olyan akciók során, melyeket a Kínai Népköztársaság „bűnüldözési” misszióknak tekint, folyamatos nyomást gyakorol a tajvani hatóságokra, és veszélyes mértékben növeli az összeütközések kockázatát, ami az egyik legkonkrétabb jele annak, hogy a Kínai Népköztársaság a status quo aláásására törekszik; mivel a 2024. október 14-én indított </w:t>
      </w:r>
      <w:proofErr w:type="spellStart"/>
      <w:r w:rsidRPr="00F62082">
        <w:t>indított</w:t>
      </w:r>
      <w:proofErr w:type="spellEnd"/>
      <w:proofErr w:type="gramEnd"/>
      <w:r w:rsidRPr="00F62082">
        <w:t xml:space="preserve"> </w:t>
      </w:r>
      <w:proofErr w:type="gramStart"/>
      <w:r w:rsidRPr="00F62082">
        <w:t>hadgyakorlat</w:t>
      </w:r>
      <w:proofErr w:type="gramEnd"/>
      <w:r w:rsidRPr="00F62082">
        <w:t xml:space="preserve"> alig több mint két év alatt a Kínai Népköztársaságnak már a negyedik nagyszabású harci művelete a térségben;</w:t>
      </w:r>
    </w:p>
    <w:p w:rsidR="00AC6DB8" w:rsidRPr="00F62082" w:rsidRDefault="00AC6DB8" w:rsidP="004729E5">
      <w:pPr>
        <w:pStyle w:val="NormalHanging12a"/>
        <w:widowControl/>
      </w:pPr>
      <w:r w:rsidRPr="00F62082">
        <w:t>P.</w:t>
      </w:r>
      <w:r w:rsidRPr="00F62082">
        <w:tab/>
        <w:t>mivel ezeket a tevékenységeket, melyek a Kínai Népköztársaság Tajvan elleni hadgyakorlat-sorozatának legutóbbi epizódjai voltak, Tajvan „</w:t>
      </w:r>
      <w:proofErr w:type="spellStart"/>
      <w:r w:rsidRPr="00F62082">
        <w:t>észszerűtlen</w:t>
      </w:r>
      <w:proofErr w:type="spellEnd"/>
      <w:r w:rsidRPr="00F62082">
        <w:t xml:space="preserve"> provokációként” elítélte; mivel ezekre a hadgyakorlatokra néhány nappal azután került sor, hogy </w:t>
      </w:r>
      <w:proofErr w:type="spellStart"/>
      <w:r w:rsidRPr="00F62082">
        <w:t>Lai</w:t>
      </w:r>
      <w:proofErr w:type="spellEnd"/>
      <w:r w:rsidRPr="00F62082">
        <w:t xml:space="preserve"> </w:t>
      </w:r>
      <w:proofErr w:type="spellStart"/>
      <w:r w:rsidRPr="00F62082">
        <w:t>Csing</w:t>
      </w:r>
      <w:proofErr w:type="spellEnd"/>
      <w:r w:rsidRPr="00F62082">
        <w:t>-te, Tajvan új elnöke beszédet mondott, amelyben megfogadta, hogy megvédi Tajvan szuverenitását a Kínai Népköztársaság részéről érkező kihívásokkal szemben;</w:t>
      </w:r>
    </w:p>
    <w:p w:rsidR="00AC6DB8" w:rsidRPr="00F62082" w:rsidRDefault="00AC6DB8" w:rsidP="004729E5">
      <w:pPr>
        <w:pStyle w:val="NormalHanging12a"/>
        <w:widowControl/>
      </w:pPr>
      <w:r w:rsidRPr="00F62082">
        <w:t>Q.</w:t>
      </w:r>
      <w:r w:rsidRPr="00F62082">
        <w:tab/>
        <w:t xml:space="preserve">mivel a Tajvani-szoros két oldala közötti, egy évtizedekkel ezelőtti hallgatólagos megállapodással meghatározott középvonal célja a konfliktus kockázatának csökkentése volt azáltal, hogy biztonságos távolságban tartja a katonai repülőgépeket a Tajvani-szoros mindkét oldalától, és </w:t>
      </w:r>
      <w:proofErr w:type="gramStart"/>
      <w:r w:rsidRPr="00F62082">
        <w:t>ezáltal</w:t>
      </w:r>
      <w:proofErr w:type="gramEnd"/>
      <w:r w:rsidRPr="00F62082">
        <w:t xml:space="preserve"> megelőzi a végzetes tévedéseket; mivel a Kínai Népköztársaság Népi Felszabadítási Hadserege 1954 és 2020 között mindössze négyszer sértette meg a középvonalat, a jelenlegi rutinszerű behatolások azonban azt </w:t>
      </w:r>
      <w:r w:rsidRPr="00F62082">
        <w:lastRenderedPageBreak/>
        <w:t>tükrözik, hogy Peking végérvényesen megváltoztatná a régóta fennálló viszonyítási pontokat;</w:t>
      </w:r>
    </w:p>
    <w:p w:rsidR="00AC6DB8" w:rsidRPr="00F62082" w:rsidRDefault="00AC6DB8" w:rsidP="004729E5">
      <w:pPr>
        <w:pStyle w:val="NormalHanging12a"/>
        <w:widowControl/>
      </w:pPr>
      <w:r w:rsidRPr="00F62082">
        <w:t>R.</w:t>
      </w:r>
      <w:r w:rsidRPr="00F62082">
        <w:tab/>
      </w:r>
      <w:proofErr w:type="gramStart"/>
      <w:r w:rsidRPr="00F62082">
        <w:t xml:space="preserve">mivel az Unió külügyi és biztonságpolitikai </w:t>
      </w:r>
      <w:proofErr w:type="spellStart"/>
      <w:r w:rsidRPr="00F62082">
        <w:t>főképviselője</w:t>
      </w:r>
      <w:proofErr w:type="spellEnd"/>
      <w:r w:rsidRPr="00F62082">
        <w:t xml:space="preserve"> és az Egyesült Államok Külügyminisztériumának sajtónyilatkozatai megerősítik, hogy a Tajvani-szoros békéje és stabilitása stratégiai fontosságú a regionális és globális biztonság és jólét szempontjából; mivel a </w:t>
      </w:r>
      <w:proofErr w:type="spellStart"/>
      <w:r w:rsidRPr="00F62082">
        <w:t>főképviselő</w:t>
      </w:r>
      <w:proofErr w:type="spellEnd"/>
      <w:r w:rsidRPr="00F62082">
        <w:t xml:space="preserve"> nyilatkozata emlékeztet arra, hogy meg kell őrizni a status </w:t>
      </w:r>
      <w:proofErr w:type="spellStart"/>
      <w:r w:rsidRPr="00F62082">
        <w:t>quót</w:t>
      </w:r>
      <w:proofErr w:type="spellEnd"/>
      <w:r w:rsidRPr="00F62082">
        <w:t xml:space="preserve"> a Tajvani-szorosban, ellenez minden olyan egyoldalú intézkedést, amely erőszakkal vagy kényszerítéssel megváltoztatja a status </w:t>
      </w:r>
      <w:proofErr w:type="spellStart"/>
      <w:r w:rsidRPr="00F62082">
        <w:t>quót</w:t>
      </w:r>
      <w:proofErr w:type="spellEnd"/>
      <w:r w:rsidRPr="00F62082">
        <w:t>, és felszólít minden felet, hogy tanúsítson önmérsékletet, és kerüljön minden olyan fellépést, amely tovább fokozhatja a feszültségeke</w:t>
      </w:r>
      <w:proofErr w:type="gramEnd"/>
      <w:r w:rsidRPr="00F62082">
        <w:t xml:space="preserve">t </w:t>
      </w:r>
      <w:proofErr w:type="gramStart"/>
      <w:r w:rsidRPr="00F62082">
        <w:t>a</w:t>
      </w:r>
      <w:proofErr w:type="gramEnd"/>
      <w:r w:rsidRPr="00F62082">
        <w:t xml:space="preserve"> Tajvani-szoros két partján;</w:t>
      </w:r>
    </w:p>
    <w:p w:rsidR="00AC6DB8" w:rsidRPr="00F62082" w:rsidRDefault="00AC6DB8" w:rsidP="004729E5">
      <w:pPr>
        <w:pStyle w:val="NormalHanging12a"/>
        <w:widowControl/>
      </w:pPr>
      <w:r w:rsidRPr="00F62082">
        <w:t>S.</w:t>
      </w:r>
      <w:r w:rsidRPr="00F62082">
        <w:tab/>
      </w:r>
      <w:proofErr w:type="gramStart"/>
      <w:r w:rsidRPr="00F62082">
        <w:t>mivel</w:t>
      </w:r>
      <w:proofErr w:type="gramEnd"/>
      <w:r w:rsidRPr="00F62082">
        <w:t xml:space="preserve"> a Kínai Népköztársaság 2024. május 23-án, csupán néhány nappal </w:t>
      </w:r>
      <w:proofErr w:type="spellStart"/>
      <w:r w:rsidRPr="00F62082">
        <w:t>Lai</w:t>
      </w:r>
      <w:proofErr w:type="spellEnd"/>
      <w:r w:rsidRPr="00F62082">
        <w:t xml:space="preserve"> </w:t>
      </w:r>
      <w:proofErr w:type="spellStart"/>
      <w:r w:rsidRPr="00F62082">
        <w:t>Csing</w:t>
      </w:r>
      <w:proofErr w:type="spellEnd"/>
      <w:r w:rsidRPr="00F62082">
        <w:t xml:space="preserve">-te Tajvan új elnökeként való beiktatása után </w:t>
      </w:r>
      <w:proofErr w:type="spellStart"/>
      <w:r w:rsidRPr="00F62082">
        <w:t>Joint</w:t>
      </w:r>
      <w:proofErr w:type="spellEnd"/>
      <w:r w:rsidRPr="00F62082">
        <w:t xml:space="preserve"> Sword-2024A néven hadgyakorlatot indított a térségben;</w:t>
      </w:r>
    </w:p>
    <w:p w:rsidR="00AC6DB8" w:rsidRPr="00F62082" w:rsidRDefault="00AC6DB8" w:rsidP="004729E5">
      <w:pPr>
        <w:pStyle w:val="NormalHanging12a"/>
        <w:widowControl/>
      </w:pPr>
      <w:r w:rsidRPr="00F62082">
        <w:t>T.</w:t>
      </w:r>
      <w:r w:rsidRPr="00F62082">
        <w:tab/>
        <w:t xml:space="preserve">mivel az elmúlt néhány év folyamán a Kínai Népköztársaság több hasonló hadgyakorlatot tartott Tajvan körül; mivel e hadgyakorlatok egyre </w:t>
      </w:r>
      <w:proofErr w:type="gramStart"/>
      <w:r w:rsidRPr="00F62082">
        <w:t>intenzívebbé</w:t>
      </w:r>
      <w:proofErr w:type="gramEnd"/>
      <w:r w:rsidRPr="00F62082">
        <w:t xml:space="preserve"> váltak, és egyre közelebb kerültek Tajvan szárazföldi területeihez; mivel egy korábbi, 2022. augusztusi gyakorlat során a Kínai Népköztársaság rakétákat is kilőtt Japán kizárólagos gazdasági övezetébe;</w:t>
      </w:r>
    </w:p>
    <w:p w:rsidR="00AC6DB8" w:rsidRPr="00F62082" w:rsidRDefault="00AC6DB8" w:rsidP="004729E5">
      <w:pPr>
        <w:pStyle w:val="NormalHanging12a"/>
        <w:widowControl/>
      </w:pPr>
      <w:r w:rsidRPr="00F62082">
        <w:t>U.</w:t>
      </w:r>
      <w:r w:rsidRPr="00F62082">
        <w:tab/>
        <w:t xml:space="preserve">mivel a katonai nyomáson túl a Kínai Népköztársaság régóta kifinomult stratégiát alkalmaz Tajvannal szemben külföldi információmanipulációval és beavatkozással, többek között hibrid és </w:t>
      </w:r>
      <w:proofErr w:type="spellStart"/>
      <w:r w:rsidRPr="00F62082">
        <w:t>kibertámadásokkal</w:t>
      </w:r>
      <w:proofErr w:type="spellEnd"/>
      <w:r w:rsidRPr="00F62082">
        <w:t>, azzal a céllal, hogy aláássa Tajvan demokratikus társadalmát;</w:t>
      </w:r>
    </w:p>
    <w:p w:rsidR="00AC6DB8" w:rsidRPr="00F62082" w:rsidRDefault="00AC6DB8" w:rsidP="004729E5">
      <w:pPr>
        <w:pStyle w:val="NormalHanging12a"/>
        <w:widowControl/>
      </w:pPr>
      <w:r w:rsidRPr="00F62082">
        <w:t>V.</w:t>
      </w:r>
      <w:r w:rsidRPr="00F62082">
        <w:tab/>
        <w:t xml:space="preserve">mivel a Kínai Népköztársaság </w:t>
      </w:r>
      <w:proofErr w:type="spellStart"/>
      <w:r w:rsidRPr="00F62082">
        <w:t>Hszi</w:t>
      </w:r>
      <w:proofErr w:type="spellEnd"/>
      <w:r w:rsidRPr="00F62082">
        <w:t xml:space="preserve"> </w:t>
      </w:r>
      <w:proofErr w:type="spellStart"/>
      <w:r w:rsidRPr="00F62082">
        <w:t>Csin-ping</w:t>
      </w:r>
      <w:proofErr w:type="spellEnd"/>
      <w:r w:rsidRPr="00F62082">
        <w:t xml:space="preserve"> vezetésével kijelentette, hogy nem fog lemondani az erőszak alkalmazásáról a Tajvannal való egyesülés érdekében;</w:t>
      </w:r>
    </w:p>
    <w:p w:rsidR="00AC6DB8" w:rsidRPr="00F62082" w:rsidRDefault="00AC6DB8" w:rsidP="004729E5">
      <w:pPr>
        <w:pStyle w:val="NormalHanging12a"/>
        <w:widowControl/>
      </w:pPr>
      <w:r w:rsidRPr="00F62082">
        <w:t>W.</w:t>
      </w:r>
      <w:r w:rsidRPr="00F62082">
        <w:tab/>
      </w:r>
      <w:proofErr w:type="gramStart"/>
      <w:r w:rsidRPr="00F62082">
        <w:t>mivel a Kínai Népköztársaság 2005. évi elszakadás elleni törvénye tartalmaz olyan nem békés eszközöket, amelyeket homályos feltételek teljesülése esetén alkalmaznának a Kínai Népköztársaság Tajvannal való úgynevezett „egyesítése” érdekében; mivel az ilyen katonai fellépés súlyos fenyegetést jelent az egész régió biztonságára és stabilitására nézve, és súlyos globális következményekkel járhat; mivel az EU és az USA általi elrettentés stratégiai fontosságú ahhoz, hogy visszatartsa a Kínai Népköztársaságot bármely, Tajvannal szembeni egyoldalú lépéstől;</w:t>
      </w:r>
      <w:proofErr w:type="gramEnd"/>
    </w:p>
    <w:p w:rsidR="00AC6DB8" w:rsidRPr="00F62082" w:rsidRDefault="00AC6DB8" w:rsidP="004729E5">
      <w:pPr>
        <w:pStyle w:val="NormalHanging12a"/>
        <w:widowControl/>
      </w:pPr>
      <w:proofErr w:type="gramStart"/>
      <w:r w:rsidRPr="00F62082">
        <w:t>X.</w:t>
      </w:r>
      <w:r w:rsidRPr="00F62082">
        <w:tab/>
        <w:t>mivel a Kínai Népköztársaság különösen saját szomszédságában, például a Tajvani-szorosban és a Dél-kínai-tengeren tanúsított egyre agresszívebb magatartása kockázatot jelent a regionális és globális biztonságra nézve; mivel 2019 óta Kína egyre gyakrabban megsérti a tajvani légvédelmi azonosítási körzetet; mivel a Kínai Népköztársaság az indiai–csendes-óceáni térség hatalmas területein agresszíven viselkedik, és különböző mértékű katonai vagy gazdasági kényszerítést alkalmaz, ami vitákhoz vezetett egyes szomszédos országokkal, például Japánnal, Indiával, a Fülöp-szigetekkel és Ausztráliával;</w:t>
      </w:r>
      <w:proofErr w:type="gramEnd"/>
    </w:p>
    <w:p w:rsidR="00AC6DB8" w:rsidRPr="00F62082" w:rsidRDefault="00AC6DB8" w:rsidP="004729E5">
      <w:pPr>
        <w:pStyle w:val="NormalHanging12a"/>
        <w:widowControl/>
      </w:pPr>
      <w:proofErr w:type="gramStart"/>
      <w:r w:rsidRPr="00F62082">
        <w:t>Y.</w:t>
      </w:r>
      <w:r w:rsidRPr="00F62082">
        <w:tab/>
        <w:t xml:space="preserve">mivel az EU elítélte a kínai parti őrség hajóinak a Fülöp-szigetek által a Dél-kínai-tengeren folytatott jogszerű tengeri műveletek elleni, 2024. augusztus 31-i veszélyes intézkedéseit; mivel ez az incidens a legutolsó azon cselekmények sorában, amelyek veszélyeztetik a tengeri életbiztonságot, és sértik a hajózás és az átrepülés nemzetközi </w:t>
      </w:r>
      <w:r w:rsidRPr="00F62082">
        <w:lastRenderedPageBreak/>
        <w:t>jog szerinti szabadságához való jogot; mivel a nemzetközi joggal és különösen az ENSZ Tengerjogi Egyezményével összhangban biztosítani kell a tengeri védelmet és a hajózás szabadságát;</w:t>
      </w:r>
      <w:proofErr w:type="gramEnd"/>
    </w:p>
    <w:p w:rsidR="00AC6DB8" w:rsidRPr="00F62082" w:rsidRDefault="00AC6DB8" w:rsidP="004729E5">
      <w:pPr>
        <w:pStyle w:val="NormalHanging12a"/>
        <w:widowControl/>
        <w:rPr>
          <w:shd w:val="clear" w:color="auto" w:fill="FFFFFF"/>
        </w:rPr>
      </w:pPr>
      <w:r w:rsidRPr="00F62082">
        <w:t>Z.</w:t>
      </w:r>
      <w:r w:rsidRPr="00F62082">
        <w:tab/>
        <w:t xml:space="preserve">mivel a Kínai Népköztársaság támogatja Oroszország Ukrajna elleni </w:t>
      </w:r>
      <w:proofErr w:type="gramStart"/>
      <w:r w:rsidRPr="00F62082">
        <w:t>agresszív</w:t>
      </w:r>
      <w:proofErr w:type="gramEnd"/>
      <w:r w:rsidRPr="00F62082">
        <w:t xml:space="preserve"> háborúját, különösen a kettős felhasználású termékek Oroszországba irányuló exportja, valamint a kínai székhelyű vállalatok szankciók megkerülésében és kijátszásában való folyamatos szerepvállalása révén;</w:t>
      </w:r>
    </w:p>
    <w:p w:rsidR="00AC6DB8" w:rsidRPr="00F62082" w:rsidRDefault="00AC6DB8" w:rsidP="004729E5">
      <w:pPr>
        <w:pStyle w:val="NormalHanging12a"/>
        <w:widowControl/>
      </w:pPr>
      <w:r w:rsidRPr="00F62082">
        <w:t>AA.</w:t>
      </w:r>
      <w:r w:rsidRPr="00F62082">
        <w:tab/>
        <w:t xml:space="preserve">mivel a Kínai Népköztársaság az ENSZ Biztonsági Tanácsának állandó tagjaként felelős azért, hogy békéért és </w:t>
      </w:r>
      <w:proofErr w:type="gramStart"/>
      <w:r w:rsidRPr="00F62082">
        <w:t>stabilitásért</w:t>
      </w:r>
      <w:proofErr w:type="gramEnd"/>
      <w:r w:rsidRPr="00F62082">
        <w:t xml:space="preserve"> munkálkodjon a régióban és különösen a Tajvani-szorosban;</w:t>
      </w:r>
    </w:p>
    <w:p w:rsidR="00AC6DB8" w:rsidRPr="00F62082" w:rsidRDefault="00AC6DB8" w:rsidP="004729E5">
      <w:pPr>
        <w:pStyle w:val="NormalHanging12a"/>
        <w:widowControl/>
      </w:pPr>
      <w:r w:rsidRPr="00F62082">
        <w:t>AB.</w:t>
      </w:r>
      <w:r w:rsidRPr="00F62082">
        <w:tab/>
      </w:r>
      <w:proofErr w:type="gramStart"/>
      <w:r w:rsidRPr="00F62082">
        <w:t>mivel</w:t>
      </w:r>
      <w:proofErr w:type="gramEnd"/>
      <w:r w:rsidRPr="00F62082">
        <w:t xml:space="preserve"> az indiai-csendes-óceáni térséggel folytatott együttműködésre vonatkozó 2021. évi stratégiája révén az EU és tagállamai fokozták jelenlétüket a régióban, többek között bizonyos tagállamok nagyobb katonai jelenléte és a hadihajók Tajvani-szoroson történő rendszeres áthaladása révén;</w:t>
      </w:r>
    </w:p>
    <w:p w:rsidR="00AC6DB8" w:rsidRPr="00F62082" w:rsidRDefault="00AC6DB8" w:rsidP="004729E5">
      <w:pPr>
        <w:pStyle w:val="NormalHanging12a"/>
        <w:widowControl/>
      </w:pPr>
      <w:r w:rsidRPr="00F62082">
        <w:t>AC.</w:t>
      </w:r>
      <w:r w:rsidRPr="00F62082">
        <w:tab/>
      </w:r>
      <w:proofErr w:type="gramStart"/>
      <w:r w:rsidRPr="00F62082">
        <w:t>mivel</w:t>
      </w:r>
      <w:proofErr w:type="gramEnd"/>
      <w:r w:rsidRPr="00F62082">
        <w:t xml:space="preserve"> Tajvan a kereskedelem szempontjából stratégiai helyzetben van, különösen a csúcstechnológiai ellátási láncokban; mivel a Tajvani-szoros a Kínából, Japánból, Dél-Koreából és Tajvanról Európába tartó hajók elsődleges útvonalába esik; mivel a félvezetőgyártás piacait Tajvan uralja, ugyanis gyártói a világ félvezetőgyártásának mintegy 50%-</w:t>
      </w:r>
      <w:proofErr w:type="spellStart"/>
      <w:r w:rsidRPr="00F62082">
        <w:t>áért</w:t>
      </w:r>
      <w:proofErr w:type="spellEnd"/>
      <w:r w:rsidRPr="00F62082">
        <w:t xml:space="preserve"> felelnek; mivel az indiai–csendes-óceáni térséggel folytatott együttműködésre vonatkozó uniós stratégia a Tajvannal folytatott kereskedelmi és beruházási együttműködés fokozása mellett érvel;</w:t>
      </w:r>
    </w:p>
    <w:p w:rsidR="00AC6DB8" w:rsidRPr="00F62082" w:rsidRDefault="00AC6DB8" w:rsidP="004729E5">
      <w:pPr>
        <w:pStyle w:val="NormalHanging12a"/>
        <w:widowControl/>
      </w:pPr>
      <w:r w:rsidRPr="00F62082">
        <w:t>AD.</w:t>
      </w:r>
      <w:r w:rsidRPr="00F62082">
        <w:tab/>
      </w:r>
      <w:proofErr w:type="gramStart"/>
      <w:r w:rsidRPr="00F62082">
        <w:t>mivel</w:t>
      </w:r>
      <w:proofErr w:type="gramEnd"/>
      <w:r w:rsidRPr="00F62082">
        <w:t xml:space="preserve"> az EU – a Kínai Népköztársaság, az Egyesült Államok és Japán után – Tajvan negyedik legjelentősebb kereskedelmi partnere; mivel Tajvan az EU 12. legjelentősebb kereskedelmi partnere volt 2022-ben; mivel az Unió a Tajvanba irányuló közvetlen külföldi befektetések legnagyobb forrása; mivel Tajvan Unióba való befektetései a lehetőségekhez képest alacsony szinten maradtak;</w:t>
      </w:r>
    </w:p>
    <w:p w:rsidR="00AC6DB8" w:rsidRPr="00F62082" w:rsidRDefault="00AC6DB8" w:rsidP="004729E5">
      <w:pPr>
        <w:pStyle w:val="NormalHanging12a"/>
        <w:widowControl/>
      </w:pPr>
      <w:r w:rsidRPr="00F62082">
        <w:t>AE.</w:t>
      </w:r>
      <w:r w:rsidRPr="00F62082">
        <w:tab/>
        <w:t xml:space="preserve">mivel az ausztrál szenátus és a holland képviselőház tagjai a közelmúltban indítványokat fogadtak el a 2758. sz. ENSZ-határozat Kínai Népköztársaság általi félreértelmezésével kapcsolatban, és szorgalmazták Tajvan </w:t>
      </w:r>
      <w:proofErr w:type="gramStart"/>
      <w:r w:rsidRPr="00F62082">
        <w:t>multilaterális</w:t>
      </w:r>
      <w:proofErr w:type="gramEnd"/>
      <w:r w:rsidRPr="00F62082">
        <w:t xml:space="preserve"> szervezetekben való nagyobb mértékű részvételének támogatását;</w:t>
      </w:r>
    </w:p>
    <w:p w:rsidR="00AC6DB8" w:rsidRPr="00F62082" w:rsidRDefault="00AC6DB8" w:rsidP="004729E5">
      <w:pPr>
        <w:pStyle w:val="NormalHanging12a"/>
        <w:widowControl/>
      </w:pPr>
      <w:r w:rsidRPr="00F62082">
        <w:t>1.</w:t>
      </w:r>
      <w:r w:rsidRPr="00F62082">
        <w:tab/>
        <w:t>megismétli, hogy Tajvan az EU kulcsfontosságú partnere és hasonlóan gondolkodó demokratikus barátja az indiai–csendes-óceáni térségben; elismerését fejezi ki Tajvannak és a tajvani népnek az erős alapokon nyugvó demokráciáért és az élénk civil társadalomért, és mindezt a 2024. január 13-i békés és jól szervezett választások újfent igazolták;</w:t>
      </w:r>
    </w:p>
    <w:p w:rsidR="00AC6DB8" w:rsidRPr="00F62082" w:rsidRDefault="00AC6DB8" w:rsidP="004729E5">
      <w:pPr>
        <w:pStyle w:val="NormalHanging12a"/>
        <w:widowControl/>
      </w:pPr>
      <w:proofErr w:type="gramStart"/>
      <w:r w:rsidRPr="00F62082">
        <w:t>2.</w:t>
      </w:r>
      <w:r w:rsidRPr="00F62082">
        <w:tab/>
        <w:t>nem ért egyet azzal, ahogy a Kínai Népköztársaság folyamatosan félremagyarázza a 2758. sz. ENSZ-határozatot, és megakadályozza Tajvan multilaterális szervezetekben való részvételét; felhívja az EU-t és tagállamait, hogy támogassák Tajvan érdemi részvételét a megfelelő nemzetközi szervezetekben, például a WHO-ban, az ICAO-</w:t>
      </w:r>
      <w:proofErr w:type="spellStart"/>
      <w:r w:rsidRPr="00F62082">
        <w:t>ban</w:t>
      </w:r>
      <w:proofErr w:type="spellEnd"/>
      <w:r w:rsidRPr="00F62082">
        <w:t>, az Interpolban és az UNFCCC-</w:t>
      </w:r>
      <w:proofErr w:type="spellStart"/>
      <w:r w:rsidRPr="00F62082">
        <w:t>ben</w:t>
      </w:r>
      <w:proofErr w:type="spellEnd"/>
      <w:r w:rsidRPr="00F62082">
        <w:t>; felhívja továbbá az ENSZ Titkárságát, hogy biztosítsa a tajvani állampolgárok és újságírók számára azt a jogot, hogy látogatások, találkozók és hírgyűjtési tevékenységek céljából belépjenek az ENSZ épületeibe;</w:t>
      </w:r>
      <w:proofErr w:type="gramEnd"/>
    </w:p>
    <w:p w:rsidR="00AC6DB8" w:rsidRPr="00F62082" w:rsidRDefault="00AC6DB8" w:rsidP="004729E5">
      <w:pPr>
        <w:pStyle w:val="NormalHanging12a"/>
        <w:widowControl/>
      </w:pPr>
      <w:r w:rsidRPr="00F62082">
        <w:lastRenderedPageBreak/>
        <w:t>3.</w:t>
      </w:r>
      <w:r w:rsidRPr="00F62082">
        <w:tab/>
        <w:t>határozottan elítéli a Kínai Népköztársaság 2024. október 14-i, indokolatlan hadgyakorlatát, a Tajvannal szembeni folyamatos katonai provokációját és katonai jelenlétének folyamatos növelését, amely megváltoztatja az indiai-csendes-óceáni térség erőegyensúlyát, és megismétli, hogy határozottan elutasítja a Tajvani-szorosban kialakult status quo egyoldalú megváltoztatását; üdvözli a tajvani hatóságok önmérsékletét és fegyelmezett reakcióját, és felszólít az EU és tajvani partnerei közötti rendszeres eszmecserére a vonatkozó biztonsági kérdésekről;</w:t>
      </w:r>
    </w:p>
    <w:p w:rsidR="00AC6DB8" w:rsidRPr="00F62082" w:rsidRDefault="00AC6DB8" w:rsidP="004729E5">
      <w:pPr>
        <w:pStyle w:val="NormalHanging12a"/>
        <w:widowControl/>
      </w:pPr>
      <w:r w:rsidRPr="00F62082">
        <w:t>4.</w:t>
      </w:r>
      <w:r w:rsidRPr="00F62082">
        <w:tab/>
        <w:t>megerősíti szilárd elkötelezettségét a Tajvani-szorosban fennálló status quo mellett; hangsúlyozza, hogy a Tajvani-szorosban fennálló status quo különösen erő vagy kényszer alkalmazásával való egyoldalú megváltoztatására irányuló semmilyen kísérletet nem fogad el, és azokra határozott és kemény választ fog adni;</w:t>
      </w:r>
    </w:p>
    <w:p w:rsidR="00AC6DB8" w:rsidRPr="00F62082" w:rsidRDefault="00AC6DB8" w:rsidP="004729E5">
      <w:pPr>
        <w:pStyle w:val="NormalHanging12a"/>
        <w:widowControl/>
      </w:pPr>
      <w:r w:rsidRPr="00F62082">
        <w:t>5.</w:t>
      </w:r>
      <w:r w:rsidRPr="00F62082">
        <w:tab/>
        <w:t>hangsúlyozza, hogy az ENSZ 2758. sz. határozata nem foglal állást Tajvannal kapcsolatban; határozottan elutasítja a Kínai Népköztársaságnak a történelem meghamisítására és a nemzetközi szabályok torzítására irányuló kísérleteit;</w:t>
      </w:r>
    </w:p>
    <w:p w:rsidR="00AC6DB8" w:rsidRPr="00F62082" w:rsidRDefault="00AC6DB8" w:rsidP="004729E5">
      <w:pPr>
        <w:pStyle w:val="NormalHanging12a"/>
        <w:widowControl/>
      </w:pPr>
      <w:r w:rsidRPr="00F62082">
        <w:t>6.</w:t>
      </w:r>
      <w:r w:rsidRPr="00F62082">
        <w:tab/>
        <w:t>ismét hangsúlyozza az EU elkötelezettségét a saját „egy Kína” politikája mellett, amely az EU és Kína közötti kapcsolatok politikai alapját képezi; emlékeztet, hogy a Kínára vonatkozó uniós stratégia hangsúlyozza, hogy a szoros két oldala közötti konstruktív kapcsolatok az egész ázsiai és csendes-óceáni térségben a béke és a biztonság előmozdításának részét képezik, és hogy az EU támogatja a párbeszédre és a bizalomépítésre irányuló kezdeményezéseket;</w:t>
      </w:r>
    </w:p>
    <w:p w:rsidR="00AC6DB8" w:rsidRPr="00F62082" w:rsidRDefault="00AC6DB8" w:rsidP="004729E5">
      <w:pPr>
        <w:pStyle w:val="NormalHanging12a"/>
        <w:widowControl/>
      </w:pPr>
      <w:r w:rsidRPr="00F62082">
        <w:t>7.</w:t>
      </w:r>
      <w:r w:rsidRPr="00F62082">
        <w:tab/>
        <w:t>hangsúlyozza, hogy Tajvanon az embereknek kell demokratikus módon eldönteniük, hogy hogyan kívánnak élni, és hogy a Tajvani-szorosban fennálló status quo-t nem szabad egyoldalúan megváltoztatni erőszak alkalmazásával vagy az azzal való fenyegetéssel;</w:t>
      </w:r>
    </w:p>
    <w:p w:rsidR="00AC6DB8" w:rsidRPr="00F62082" w:rsidRDefault="00AC6DB8" w:rsidP="004729E5">
      <w:pPr>
        <w:pStyle w:val="NormalHanging12a"/>
        <w:widowControl/>
      </w:pPr>
      <w:proofErr w:type="gramStart"/>
      <w:r w:rsidRPr="00F62082">
        <w:t>8.</w:t>
      </w:r>
      <w:r w:rsidRPr="00F62082">
        <w:tab/>
        <w:t xml:space="preserve">ismételten határozottan elítéli </w:t>
      </w:r>
      <w:proofErr w:type="spellStart"/>
      <w:r w:rsidRPr="00F62082">
        <w:t>Hszi</w:t>
      </w:r>
      <w:proofErr w:type="spellEnd"/>
      <w:r w:rsidRPr="00F62082">
        <w:t xml:space="preserve"> </w:t>
      </w:r>
      <w:proofErr w:type="spellStart"/>
      <w:r w:rsidRPr="00F62082">
        <w:t>Csin-ping</w:t>
      </w:r>
      <w:proofErr w:type="spellEnd"/>
      <w:r w:rsidRPr="00F62082">
        <w:t xml:space="preserve"> kínai elnök nyilatkozatait, amelyek szerint a Kínai Népköztársaság soha nem fog lemondani az erőszak alkalmazásához való jogáról Tajvan tekintetében; hangsúlyozza, hogy a nemzetközi joggal összeegyeztethetetlen, hogy a Kínai Népköztársaság az egyesítés elérése érdekében erőszakot, fenyegetéseket vagy más rendkívül kényszerítő intézkedéseket alkalmaz; komoly aggodalmának ad hangot amiatt, hogy a Kínai Népköztársaság ellenséges dezinformáció révén aláássa a tajvani demokráciába és kormányzásba vetett bizalmat; megismétli az EU-hoz és tagállamaihoz</w:t>
      </w:r>
      <w:proofErr w:type="gramEnd"/>
      <w:r w:rsidRPr="00F62082">
        <w:t xml:space="preserve"> </w:t>
      </w:r>
      <w:proofErr w:type="gramStart"/>
      <w:r w:rsidRPr="00F62082">
        <w:t>intézett</w:t>
      </w:r>
      <w:proofErr w:type="gramEnd"/>
      <w:r w:rsidRPr="00F62082">
        <w:t>, arra irányuló korábbi felhívásait, hogy működjenek együtt a nemzetközi partnerekkel a tajvani demokrácia fenntartásának elősegítése érdekében, megóvva azt a külföldi beavatkozástól és fenyegetésektől; hangsúlyozza, hogy nemzetközi színtéren kizárólag Tajvan demokratikusan megválasztott kormánya képviselheti a tajvaniakat;</w:t>
      </w:r>
    </w:p>
    <w:p w:rsidR="00AC6DB8" w:rsidRPr="00F62082" w:rsidRDefault="00AC6DB8" w:rsidP="004729E5">
      <w:pPr>
        <w:pStyle w:val="NormalHanging12a"/>
        <w:widowControl/>
      </w:pPr>
      <w:proofErr w:type="gramStart"/>
      <w:r w:rsidRPr="00F62082">
        <w:t>9.</w:t>
      </w:r>
      <w:r w:rsidRPr="00F62082">
        <w:tab/>
        <w:t xml:space="preserve">elítéli a Kínai Népköztársaság szisztematikus, szürke zónás katonai fellépéseit, többek között a Tajvan elleni </w:t>
      </w:r>
      <w:proofErr w:type="spellStart"/>
      <w:r w:rsidRPr="00F62082">
        <w:t>kibertámadásokat</w:t>
      </w:r>
      <w:proofErr w:type="spellEnd"/>
      <w:r w:rsidRPr="00F62082">
        <w:t xml:space="preserve"> és dezinformációs kampányokat, és sürgeti a Kínai Népköztársaságot, hogy haladéktalanul hagyjon fel ezekkel a tevékenységekkel; ezzel összefüggésben felszólít az EU és Tajvan közötti együttműködés további elmélyítésére a dezinformáció és a külföldi beavatkozás elleni küzdelem terén folytatott strukturális együttműködés fokozása érdekében; üdvözli, hogy a dezinformáció és a beavatkozás kezelésére irányuló közös erőfeszítések koordinálására a tajvani Európai Gazdasági</w:t>
      </w:r>
      <w:proofErr w:type="gramEnd"/>
      <w:r w:rsidRPr="00F62082">
        <w:t xml:space="preserve"> </w:t>
      </w:r>
      <w:proofErr w:type="gramStart"/>
      <w:r w:rsidRPr="00F62082">
        <w:t>és</w:t>
      </w:r>
      <w:proofErr w:type="gramEnd"/>
      <w:r w:rsidRPr="00F62082">
        <w:t xml:space="preserve"> Kereskedelmi Hivatalba összekötő tisztviselőt neveztek ki, ami az első fontos lépés az EU és Tajvan közötti együttműködés elmélyítése felé, és felhívja az </w:t>
      </w:r>
      <w:r w:rsidRPr="00F62082">
        <w:lastRenderedPageBreak/>
        <w:t>Uniót, hogy mélyítse tovább az együttműködést Tajvannal e kulcsfontosságú területen; méltatja a tajvani nép bátorságát, valamint a tajvani hatóságoknak és intézményeknek a fokozódó kínai fenyegetésekre és tevékenységekre adott arányos és méltóságteljes reakcióit;</w:t>
      </w:r>
    </w:p>
    <w:p w:rsidR="00AC6DB8" w:rsidRPr="00F62082" w:rsidRDefault="00AC6DB8" w:rsidP="004729E5">
      <w:pPr>
        <w:pStyle w:val="NormalHanging12a"/>
        <w:widowControl/>
        <w:rPr>
          <w:bCs/>
        </w:rPr>
      </w:pPr>
      <w:proofErr w:type="gramStart"/>
      <w:r w:rsidRPr="00F62082">
        <w:t>10.</w:t>
      </w:r>
      <w:r w:rsidRPr="00F62082">
        <w:tab/>
        <w:t>határozottan elutasítja a gazdasági kényszerítés Kínai Népköztársaság általi alkalmazását Tajvannal és más országokkal, valamint az Unió tagállamaival szemben, és hangsúlyozza, hogy az ilyen gyakorlatok nemcsak a Kereskedelmi Világszervezet szabályai szerint jogellenesek, hanem világszerte rombolják a Kínai Népköztársaság hírnevét is, és ezek következtében egyre kevesebben fogják Kínát megbízható, felelős szereplőnek tekinteni; hangsúlyozza az EU és tagállamai azon független jogát, hogy érdekeikkel, valamint a demokrácia és az emberi jogok közös értékeivel összhangban külföldi beavatkozás</w:t>
      </w:r>
      <w:proofErr w:type="gramEnd"/>
      <w:r w:rsidRPr="00F62082">
        <w:t xml:space="preserve"> </w:t>
      </w:r>
      <w:proofErr w:type="gramStart"/>
      <w:r w:rsidRPr="00F62082">
        <w:t>nélkül</w:t>
      </w:r>
      <w:proofErr w:type="gramEnd"/>
      <w:r w:rsidRPr="00F62082">
        <w:t xml:space="preserve"> fejlesszék kapcsolataikat Tajvannal; felhívja az EU és a tagállamok külföldi küldöttségeit, hogy foglalkozzanak a rosszindulatú kínai üzleti gyakorlatokkal, és kínáljanak alternatívákat azokkal szemben, különösen a világ déli részén;</w:t>
      </w:r>
    </w:p>
    <w:p w:rsidR="00AC6DB8" w:rsidRPr="00F62082" w:rsidRDefault="00AC6DB8" w:rsidP="004729E5">
      <w:pPr>
        <w:pStyle w:val="NormalHanging12a"/>
        <w:widowControl/>
      </w:pPr>
      <w:proofErr w:type="gramStart"/>
      <w:r w:rsidRPr="00F62082">
        <w:t>11.</w:t>
      </w:r>
      <w:r w:rsidRPr="00F62082">
        <w:tab/>
        <w:t>rendkívül aggasztónak tartja, hogy a Legfelsőbb Népbíróság, a Legfelsőbb Népi Ügyészség, a közbiztonságért és az állambiztonságért felelős minisztériumok, valamint az igazságügyi minisztérium 2024 júniusában közös – úgynevezett – iránymutatásokat fogadott el azon, a „tajvani függetlenségért a végsőkig harcoló szakadárok” megbüntetésére, akik az elszakadás vagy elszakadásra való buzdítás bűncselekményében vétkesek, ezek az iránymutatások ugyanis szigorú büntetéshez, akár halálbüntetéshez is vezethetnek; határozottan elítéli, hogy egy tajvani aktivistát 2024. szeptemberben kilenc év börtönbüntetésre</w:t>
      </w:r>
      <w:proofErr w:type="gramEnd"/>
      <w:r w:rsidRPr="00F62082">
        <w:t xml:space="preserve"> </w:t>
      </w:r>
      <w:proofErr w:type="gramStart"/>
      <w:r w:rsidRPr="00F62082">
        <w:t>ítéltek</w:t>
      </w:r>
      <w:proofErr w:type="gramEnd"/>
      <w:r w:rsidRPr="00F62082">
        <w:t>, miután 2022-ben a Kínai Népköztársaságban letartóztatták, valamint hogy folyamatosan zaklatják a Kínai Népköztársaságban dolgozó és élő tajvani embereket;</w:t>
      </w:r>
    </w:p>
    <w:p w:rsidR="00AC6DB8" w:rsidRPr="00F62082" w:rsidRDefault="00AC6DB8" w:rsidP="004729E5">
      <w:pPr>
        <w:pStyle w:val="NormalHanging12a"/>
        <w:widowControl/>
      </w:pPr>
      <w:proofErr w:type="gramStart"/>
      <w:r w:rsidRPr="00F62082">
        <w:t>12.</w:t>
      </w:r>
      <w:r w:rsidRPr="00F62082">
        <w:tab/>
        <w:t>komolyan aggódik a Kelet- és Dél-kínai-tengeren kialakult helyzet miatt; emlékeztet a nemzetközi jog, különösen az ENSZ Tengerjogi Egyezménye és annak a békés vitarendezés kötelezettségére, valamint a hajózás és az átrepülés szabadságának fenntartására vonatkozó rendelkezései tiszteletben tartásának fontosságára; felszólítja azokat az országokat, amelyek ezt nem tették meg, hogy mielőbb ratifikálják az ENSZ Tengerjogi Egyezményét; felhívja az EU-t és tagállamait, hogy erősítsék meg saját tengeri kapacitásaikat a térségben; emlékezteti a Kínai Népköztársaságot, hogy az ENSZ Biztonsági Tanácsának</w:t>
      </w:r>
      <w:proofErr w:type="gramEnd"/>
      <w:r w:rsidRPr="00F62082">
        <w:t xml:space="preserve"> </w:t>
      </w:r>
      <w:proofErr w:type="gramStart"/>
      <w:r w:rsidRPr="00F62082">
        <w:t>állandó</w:t>
      </w:r>
      <w:proofErr w:type="gramEnd"/>
      <w:r w:rsidRPr="00F62082">
        <w:t xml:space="preserve"> tagjaként felelős a nemzetközi jog tiszteletben tartásáért, és hangsúlyozza a viták békés rendezésének kötelezettségét;</w:t>
      </w:r>
    </w:p>
    <w:p w:rsidR="00AC6DB8" w:rsidRPr="00F62082" w:rsidRDefault="00AC6DB8" w:rsidP="004729E5">
      <w:pPr>
        <w:pStyle w:val="NormalHanging12a"/>
        <w:widowControl/>
      </w:pPr>
      <w:proofErr w:type="gramStart"/>
      <w:r w:rsidRPr="00F62082">
        <w:t>13.</w:t>
      </w:r>
      <w:r w:rsidRPr="00F62082">
        <w:tab/>
        <w:t>ismételten súlyos aggodalmának ad hangot Kína növekvő katonai beruházásai és képességei miatt; súlyos aggodalmának ad hangot amiatt, hogy Kína és Oroszország megújította elkötelezettségét katonai kapcsolataik további megerősítése mellett, és elítéli, hogy Kína alkatrészeket és felszereléseket szállít Moszkva hadiipara részére; üdvözli a Tanács azon döntését, hogy szankciókat vezet be kínai vállalatokkal szemben Oroszország Ukrajna elleni háborújának támogatása miatt; elítéli Oroszország és a Kínai Népköztársaság „korlátok nélküli” partnerségét; üdvözli az USA növekvő elkötelezettségét és katona</w:t>
      </w:r>
      <w:proofErr w:type="gramEnd"/>
      <w:r w:rsidRPr="00F62082">
        <w:t xml:space="preserve">i </w:t>
      </w:r>
      <w:proofErr w:type="gramStart"/>
      <w:r w:rsidRPr="00F62082">
        <w:t>jelenlétét</w:t>
      </w:r>
      <w:proofErr w:type="gramEnd"/>
      <w:r w:rsidRPr="00F62082">
        <w:t xml:space="preserve"> az indiai–csendes-óceáni térségben; ismételten felszólít a biztonsági kérdések terén az EU és az USA közötti együttműködés elmélyítésére irányuló összehangolt megközelítésre, többek között a transzatlanti parlamenti párbeszéd révén;</w:t>
      </w:r>
    </w:p>
    <w:p w:rsidR="00AC6DB8" w:rsidRPr="00F62082" w:rsidRDefault="00AC6DB8" w:rsidP="004729E5">
      <w:pPr>
        <w:pStyle w:val="NormalHanging12a"/>
        <w:widowControl/>
      </w:pPr>
      <w:r w:rsidRPr="00F62082">
        <w:lastRenderedPageBreak/>
        <w:t>14.</w:t>
      </w:r>
      <w:r w:rsidRPr="00F62082">
        <w:tab/>
        <w:t>határozottan üdvözli, hogy Tajvan szorosan együttműködik az EU-val és az USA-val, és igazodik hozzájuk az Oroszország által Ukrajna ellen folytatott háborúra adott válaszlépések és a nemzetközi jog e nyilvánvaló megsértésére válaszul hozott szankciók tekintetében; emlékeztet arra, hogy Tajvan segítséget nyújt az Oroszország Ukrajna elleni agressziós háborúja okozta humanitárius válság elhárításában, és folyamatos támogatást nyújt az ukrán kormánynak és az ukrán menekülteket befogadó országoknak;</w:t>
      </w:r>
    </w:p>
    <w:p w:rsidR="00AC6DB8" w:rsidRPr="00F62082" w:rsidRDefault="00AC6DB8" w:rsidP="004729E5">
      <w:pPr>
        <w:pStyle w:val="NormalHanging12a"/>
        <w:widowControl/>
      </w:pPr>
      <w:proofErr w:type="gramStart"/>
      <w:r w:rsidRPr="00F62082">
        <w:t>15.</w:t>
      </w:r>
      <w:r w:rsidRPr="00F62082">
        <w:tab/>
        <w:t xml:space="preserve">kiemeli, hogy a Kínai Népköztársaság különféle lépései a kognitív és jogi hadviselés területén lassan aláássák a status quo-t, és fokozzák a szürkezónás tevékenységeket, amelyek célja a felderítés, a meglévő jogszabályok és a reagálási küszöb megkerülése; felhívja az EU-t, hogy a szankciós – többek között ágazati szankciós – eszköztárát felhasználva húzza meg a hibrid tevékenységekkel és a </w:t>
      </w:r>
      <w:proofErr w:type="spellStart"/>
      <w:r w:rsidRPr="00F62082">
        <w:t>kiberfenyegetésekkel</w:t>
      </w:r>
      <w:proofErr w:type="spellEnd"/>
      <w:r w:rsidRPr="00F62082">
        <w:t xml:space="preserve"> szembeni határvonalait, és gondoskodjon e határok tiszteletben tartásáról, és a hasonlóan gondolkodó partnerekkel összehangolt módon hozzon erős diplomáciai és gazdasági elrettentő intézkedéseket</w:t>
      </w:r>
      <w:proofErr w:type="gramEnd"/>
      <w:r w:rsidRPr="00F62082">
        <w:t>;</w:t>
      </w:r>
    </w:p>
    <w:p w:rsidR="00AC6DB8" w:rsidRPr="00F62082" w:rsidRDefault="00AC6DB8" w:rsidP="004729E5">
      <w:pPr>
        <w:pStyle w:val="NormalHanging12a"/>
        <w:widowControl/>
      </w:pPr>
      <w:r w:rsidRPr="00F62082">
        <w:t>16.</w:t>
      </w:r>
      <w:r w:rsidRPr="00F62082">
        <w:tab/>
        <w:t>háláját fejezi ki Tajvannak a Covid19-világjárvány idején nyújtott segítségéért;</w:t>
      </w:r>
    </w:p>
    <w:p w:rsidR="00AC6DB8" w:rsidRPr="00F62082" w:rsidRDefault="00AC6DB8" w:rsidP="004729E5">
      <w:pPr>
        <w:pStyle w:val="NormalHanging12a"/>
        <w:widowControl/>
      </w:pPr>
      <w:r w:rsidRPr="00F62082">
        <w:t>17.</w:t>
      </w:r>
      <w:r w:rsidRPr="00F62082">
        <w:tab/>
        <w:t>elismeri Tajvan fontosságát a globális ellátási láncok biztosításában, különösen a csúcstechnológiai ágazatban, mivel Tajvan a félvezetők gyártásában világelső, és felhívja az EU-t és tagállamait, hogy erősítsék meg a Tajvannal folytatott együttműködést;</w:t>
      </w:r>
    </w:p>
    <w:p w:rsidR="00AC6DB8" w:rsidRPr="00F62082" w:rsidRDefault="00AC6DB8" w:rsidP="004729E5">
      <w:pPr>
        <w:pStyle w:val="NormalHanging12a"/>
        <w:widowControl/>
      </w:pPr>
      <w:r w:rsidRPr="00F62082">
        <w:t>18.</w:t>
      </w:r>
      <w:r w:rsidRPr="00F62082">
        <w:tab/>
        <w:t>kéri a Bizottságot, hogy haladéktalanul hozzon előkészítő intézkedéseket a Tajvannal kötendő kétoldalú beruházási megállapodás vagy másfajta megállapodások megtárgyalásához; kiemeli a közvetlen külföldi befektetések átvilágítására vonatkozó politikával, valamint a gazdasági kényszerítés és megtorlás elleni küzdelemmel kapcsolatos együttműködésben rejlő lehetőségeket;</w:t>
      </w:r>
    </w:p>
    <w:p w:rsidR="00AC6DB8" w:rsidRPr="00F62082" w:rsidRDefault="00AC6DB8" w:rsidP="004729E5">
      <w:pPr>
        <w:pStyle w:val="NormalHanging12a"/>
        <w:widowControl/>
      </w:pPr>
      <w:r w:rsidRPr="00F62082">
        <w:t>19.</w:t>
      </w:r>
      <w:r w:rsidRPr="00F62082">
        <w:tab/>
        <w:t xml:space="preserve">üdvözli, hogy több uniós ország, köztük Franciaország, Hollandia és Németország fokozta a hajózás szabadságát garantáló tevékenységeit; </w:t>
      </w:r>
      <w:proofErr w:type="spellStart"/>
      <w:r w:rsidRPr="00F62082">
        <w:t>megjegyzi</w:t>
      </w:r>
      <w:proofErr w:type="spellEnd"/>
      <w:r w:rsidRPr="00F62082">
        <w:t xml:space="preserve">, hogy ezek a tevékenységek összhangban vannak a nemzetközi joggal, és fokozottabb együttműködésre és koordinációra szólít fel a regionális partnerekkel a </w:t>
      </w:r>
      <w:proofErr w:type="spellStart"/>
      <w:r w:rsidRPr="00F62082">
        <w:t>régióbeli</w:t>
      </w:r>
      <w:proofErr w:type="spellEnd"/>
      <w:r w:rsidRPr="00F62082">
        <w:t xml:space="preserve"> hajózás szabadságának növelése érdekében;</w:t>
      </w:r>
    </w:p>
    <w:p w:rsidR="00AC6DB8" w:rsidRPr="00F62082" w:rsidRDefault="00AC6DB8" w:rsidP="004729E5">
      <w:pPr>
        <w:pStyle w:val="NormalHanging12a"/>
        <w:widowControl/>
      </w:pPr>
      <w:r w:rsidRPr="00F62082">
        <w:t>20.</w:t>
      </w:r>
      <w:r w:rsidRPr="00F62082">
        <w:tab/>
        <w:t xml:space="preserve">üdvözli a korábbi és jelenlegi tajvani politikusok európai látogatásait, beleértve </w:t>
      </w:r>
      <w:proofErr w:type="spellStart"/>
      <w:r w:rsidRPr="00F62082">
        <w:t>Caj</w:t>
      </w:r>
      <w:proofErr w:type="spellEnd"/>
      <w:r w:rsidRPr="00F62082">
        <w:t xml:space="preserve"> </w:t>
      </w:r>
      <w:proofErr w:type="spellStart"/>
      <w:r w:rsidRPr="00F62082">
        <w:t>Jing-ven</w:t>
      </w:r>
      <w:proofErr w:type="spellEnd"/>
      <w:r w:rsidRPr="00F62082">
        <w:t xml:space="preserve"> volt elnök közelmúltbeli látogatását az Európai Parlamentben 2024. október 17-én; üdvözli továbbá a képviselői és Tajvan közötti folyamatos eszmecserét, és </w:t>
      </w:r>
      <w:proofErr w:type="spellStart"/>
      <w:r w:rsidRPr="00F62082">
        <w:t>ösztönzi</w:t>
      </w:r>
      <w:proofErr w:type="spellEnd"/>
      <w:r w:rsidRPr="00F62082">
        <w:t xml:space="preserve"> az Európai Parlament hivatalos küldöttségeinek további tajvani látogatásait; </w:t>
      </w:r>
      <w:proofErr w:type="spellStart"/>
      <w:r w:rsidRPr="00F62082">
        <w:t>ösztönzi</w:t>
      </w:r>
      <w:proofErr w:type="spellEnd"/>
      <w:r w:rsidRPr="00F62082">
        <w:t xml:space="preserve"> továbbá az EU és Tajvan közötti további eszmecseréket minden szinten, beleértve a politikai találkozókat és az egyes emberek közötti találkozókat is;</w:t>
      </w:r>
    </w:p>
    <w:p w:rsidR="00AC6DB8" w:rsidRPr="00F62082" w:rsidRDefault="00AC6DB8" w:rsidP="004729E5">
      <w:pPr>
        <w:pStyle w:val="NormalHanging12a"/>
        <w:widowControl/>
      </w:pPr>
      <w:proofErr w:type="gramStart"/>
      <w:r w:rsidRPr="00F62082">
        <w:t>21.</w:t>
      </w:r>
      <w:r w:rsidRPr="00F62082">
        <w:tab/>
        <w:t xml:space="preserve">ennek fényében </w:t>
      </w:r>
      <w:proofErr w:type="spellStart"/>
      <w:r w:rsidRPr="00F62082">
        <w:t>ösztönzi</w:t>
      </w:r>
      <w:proofErr w:type="spellEnd"/>
      <w:r w:rsidRPr="00F62082">
        <w:t xml:space="preserve"> a fokozott gazdasági, tudományos és kulturális interakciókat és cseréket, többek között az ifjúságra, a tudományos életre, a civil társadalomra, a sportra, a kultúrára és az oktatásra, valamint a városok és régiók közötti partnerségekre összpontosítva; megismétli a tagállamokhoz intézett azon felhívását, hogy kezdjenek érdemi és strukturális technikai együttműködést a polgári védelem és a katasztrófavédelem területén a tajvani nemzeti tűzoltósággal és rendőrséggel, valamint a helyi közigazgatási szervekkel;</w:t>
      </w:r>
      <w:proofErr w:type="gramEnd"/>
    </w:p>
    <w:p w:rsidR="00AC6DB8" w:rsidRPr="00F62082" w:rsidRDefault="00AC6DB8" w:rsidP="004729E5">
      <w:pPr>
        <w:pStyle w:val="NormalHanging12a"/>
        <w:widowControl/>
      </w:pPr>
      <w:r w:rsidRPr="00F62082">
        <w:lastRenderedPageBreak/>
        <w:t>22.</w:t>
      </w:r>
      <w:r w:rsidRPr="00F62082">
        <w:tab/>
        <w:t xml:space="preserve">utasítja elnökét, hogy továbbítsa ezt az állásfoglalást a Tanácsnak, a Bizottságnak, a Bizottság alelnökének/az Unió külügyi és biztonságpolitikai </w:t>
      </w:r>
      <w:proofErr w:type="spellStart"/>
      <w:r w:rsidRPr="00F62082">
        <w:t>főképviselőjének</w:t>
      </w:r>
      <w:proofErr w:type="spellEnd"/>
      <w:r w:rsidRPr="00F62082">
        <w:t>, valamint a Kínai Népköztársaság és Tajvan kormányának.</w:t>
      </w:r>
    </w:p>
    <w:p w:rsidR="00E365E1" w:rsidRPr="00F62082" w:rsidRDefault="00E365E1" w:rsidP="004729E5">
      <w:pPr>
        <w:widowControl/>
        <w:spacing w:after="240"/>
        <w:ind w:left="567" w:hanging="567"/>
      </w:pPr>
      <w:bookmarkStart w:id="8" w:name="TextBodyEnd"/>
      <w:bookmarkEnd w:id="8"/>
    </w:p>
    <w:sectPr w:rsidR="00E365E1" w:rsidRPr="00F62082" w:rsidSect="00F6208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44FC" w:rsidRPr="00F62082" w:rsidRDefault="003A44FC">
      <w:r w:rsidRPr="00F62082">
        <w:separator/>
      </w:r>
    </w:p>
  </w:endnote>
  <w:endnote w:type="continuationSeparator" w:id="0">
    <w:p w:rsidR="003A44FC" w:rsidRPr="00F62082" w:rsidRDefault="003A44FC">
      <w:r w:rsidRPr="00F6208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6208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6208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6208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44FC" w:rsidRPr="00F62082" w:rsidRDefault="003A44FC">
      <w:r w:rsidRPr="00F62082">
        <w:separator/>
      </w:r>
    </w:p>
  </w:footnote>
  <w:footnote w:type="continuationSeparator" w:id="0">
    <w:p w:rsidR="003A44FC" w:rsidRPr="00F62082" w:rsidRDefault="003A44FC">
      <w:r w:rsidRPr="00F62082">
        <w:continuationSeparator/>
      </w:r>
    </w:p>
  </w:footnote>
  <w:footnote w:id="1">
    <w:p w:rsidR="00AC6DB8" w:rsidRPr="00F62082" w:rsidRDefault="00AC6DB8" w:rsidP="00F62082">
      <w:pPr>
        <w:pStyle w:val="FootnoteText"/>
        <w:ind w:left="567" w:hanging="567"/>
        <w:rPr>
          <w:sz w:val="24"/>
          <w:lang w:val="hu-HU"/>
        </w:rPr>
      </w:pPr>
      <w:r w:rsidRPr="00F62082">
        <w:rPr>
          <w:rStyle w:val="FootnoteReference"/>
          <w:sz w:val="24"/>
          <w:lang w:val="hu-HU"/>
        </w:rPr>
        <w:footnoteRef/>
      </w:r>
      <w:r w:rsidR="00F62082" w:rsidRPr="00F62082">
        <w:rPr>
          <w:sz w:val="24"/>
          <w:lang w:val="hu-HU"/>
        </w:rPr>
        <w:t xml:space="preserve"> </w:t>
      </w:r>
      <w:r w:rsidR="00F62082" w:rsidRPr="00F62082">
        <w:rPr>
          <w:sz w:val="24"/>
          <w:lang w:val="hu-HU"/>
        </w:rPr>
        <w:tab/>
      </w:r>
      <w:r w:rsidRPr="00F62082">
        <w:rPr>
          <w:sz w:val="24"/>
          <w:lang w:val="hu-HU"/>
        </w:rPr>
        <w:t>HL C 117., 2022.3.11</w:t>
      </w:r>
      <w:proofErr w:type="gramStart"/>
      <w:r w:rsidRPr="00F62082">
        <w:rPr>
          <w:sz w:val="24"/>
          <w:lang w:val="hu-HU"/>
        </w:rPr>
        <w:t>.,</w:t>
      </w:r>
      <w:proofErr w:type="gramEnd"/>
      <w:r w:rsidRPr="00F62082">
        <w:rPr>
          <w:sz w:val="24"/>
          <w:lang w:val="hu-HU"/>
        </w:rPr>
        <w:t xml:space="preserve"> 40. o.</w:t>
      </w:r>
    </w:p>
  </w:footnote>
  <w:footnote w:id="2">
    <w:p w:rsidR="00AC6DB8" w:rsidRPr="00F62082" w:rsidRDefault="00AC6DB8" w:rsidP="00F62082">
      <w:pPr>
        <w:pStyle w:val="FootnoteText"/>
        <w:ind w:left="567" w:hanging="567"/>
        <w:rPr>
          <w:sz w:val="24"/>
          <w:lang w:val="hu-HU"/>
        </w:rPr>
      </w:pPr>
      <w:r w:rsidRPr="00F62082">
        <w:rPr>
          <w:rStyle w:val="FootnoteReference"/>
          <w:sz w:val="24"/>
          <w:lang w:val="hu-HU"/>
        </w:rPr>
        <w:footnoteRef/>
      </w:r>
      <w:r w:rsidR="00F62082" w:rsidRPr="00F62082">
        <w:rPr>
          <w:sz w:val="24"/>
          <w:lang w:val="hu-HU"/>
        </w:rPr>
        <w:t xml:space="preserve"> </w:t>
      </w:r>
      <w:r w:rsidR="00F62082" w:rsidRPr="00F62082">
        <w:rPr>
          <w:sz w:val="24"/>
          <w:lang w:val="hu-HU"/>
        </w:rPr>
        <w:tab/>
      </w:r>
      <w:r w:rsidRPr="00F62082">
        <w:rPr>
          <w:sz w:val="24"/>
          <w:lang w:val="hu-HU"/>
        </w:rPr>
        <w:t>HL C 184., 2022.5.5</w:t>
      </w:r>
      <w:proofErr w:type="gramStart"/>
      <w:r w:rsidRPr="00F62082">
        <w:rPr>
          <w:sz w:val="24"/>
          <w:lang w:val="hu-HU"/>
        </w:rPr>
        <w:t>.,</w:t>
      </w:r>
      <w:proofErr w:type="gramEnd"/>
      <w:r w:rsidRPr="00F62082">
        <w:rPr>
          <w:sz w:val="24"/>
          <w:lang w:val="hu-HU"/>
        </w:rPr>
        <w:t xml:space="preserve"> 170. o.</w:t>
      </w:r>
    </w:p>
  </w:footnote>
  <w:footnote w:id="3">
    <w:p w:rsidR="00AC6DB8" w:rsidRPr="00F62082" w:rsidRDefault="00AC6DB8" w:rsidP="00F62082">
      <w:pPr>
        <w:pStyle w:val="FootnoteText"/>
        <w:ind w:left="567" w:hanging="567"/>
        <w:rPr>
          <w:sz w:val="24"/>
          <w:lang w:val="hu-HU"/>
        </w:rPr>
      </w:pPr>
      <w:r w:rsidRPr="00F62082">
        <w:rPr>
          <w:rStyle w:val="FootnoteReference"/>
          <w:sz w:val="24"/>
          <w:lang w:val="hu-HU"/>
        </w:rPr>
        <w:footnoteRef/>
      </w:r>
      <w:r w:rsidR="00F62082" w:rsidRPr="00F62082">
        <w:rPr>
          <w:sz w:val="24"/>
          <w:lang w:val="hu-HU"/>
        </w:rPr>
        <w:t xml:space="preserve"> </w:t>
      </w:r>
      <w:r w:rsidR="00F62082" w:rsidRPr="00F62082">
        <w:rPr>
          <w:sz w:val="24"/>
          <w:lang w:val="hu-HU"/>
        </w:rPr>
        <w:tab/>
      </w:r>
      <w:r w:rsidRPr="00F62082">
        <w:rPr>
          <w:sz w:val="24"/>
          <w:lang w:val="hu-HU"/>
        </w:rPr>
        <w:t>HL C 493., 2022.12.27</w:t>
      </w:r>
      <w:proofErr w:type="gramStart"/>
      <w:r w:rsidRPr="00F62082">
        <w:rPr>
          <w:sz w:val="24"/>
          <w:lang w:val="hu-HU"/>
        </w:rPr>
        <w:t>.,</w:t>
      </w:r>
      <w:proofErr w:type="gramEnd"/>
      <w:r w:rsidRPr="00F62082">
        <w:rPr>
          <w:sz w:val="24"/>
          <w:lang w:val="hu-HU"/>
        </w:rPr>
        <w:t xml:space="preserve"> 32. o.</w:t>
      </w:r>
    </w:p>
  </w:footnote>
  <w:footnote w:id="4">
    <w:p w:rsidR="00AC6DB8" w:rsidRPr="00F62082" w:rsidRDefault="00AC6DB8" w:rsidP="00F62082">
      <w:pPr>
        <w:pStyle w:val="FootnoteText"/>
        <w:ind w:left="567" w:hanging="567"/>
        <w:rPr>
          <w:sz w:val="24"/>
          <w:lang w:val="hu-HU"/>
        </w:rPr>
      </w:pPr>
      <w:r w:rsidRPr="00F62082">
        <w:rPr>
          <w:rStyle w:val="FootnoteReference"/>
          <w:sz w:val="24"/>
          <w:lang w:val="hu-HU"/>
        </w:rPr>
        <w:footnoteRef/>
      </w:r>
      <w:r w:rsidR="00F62082" w:rsidRPr="00F62082">
        <w:rPr>
          <w:sz w:val="24"/>
          <w:lang w:val="hu-HU"/>
        </w:rPr>
        <w:t xml:space="preserve"> </w:t>
      </w:r>
      <w:r w:rsidR="00F62082" w:rsidRPr="00F62082">
        <w:rPr>
          <w:sz w:val="24"/>
          <w:lang w:val="hu-HU"/>
        </w:rPr>
        <w:tab/>
      </w:r>
      <w:r w:rsidRPr="00F62082">
        <w:rPr>
          <w:sz w:val="24"/>
          <w:lang w:val="hu-HU"/>
        </w:rPr>
        <w:t>HL C 125., 2023.4.5</w:t>
      </w:r>
      <w:proofErr w:type="gramStart"/>
      <w:r w:rsidRPr="00F62082">
        <w:rPr>
          <w:sz w:val="24"/>
          <w:lang w:val="hu-HU"/>
        </w:rPr>
        <w:t>.,</w:t>
      </w:r>
      <w:proofErr w:type="gramEnd"/>
      <w:r w:rsidRPr="00F62082">
        <w:rPr>
          <w:sz w:val="24"/>
          <w:lang w:val="hu-HU"/>
        </w:rPr>
        <w:t xml:space="preserve"> 149. o.</w:t>
      </w:r>
    </w:p>
  </w:footnote>
  <w:footnote w:id="5">
    <w:p w:rsidR="00AC6DB8" w:rsidRPr="00F62082" w:rsidRDefault="00AC6DB8" w:rsidP="00F62082">
      <w:pPr>
        <w:pStyle w:val="FootnoteText"/>
        <w:ind w:left="567" w:hanging="567"/>
        <w:rPr>
          <w:sz w:val="24"/>
          <w:lang w:val="hu-HU"/>
        </w:rPr>
      </w:pPr>
      <w:r w:rsidRPr="00F62082">
        <w:rPr>
          <w:rStyle w:val="FootnoteReference"/>
          <w:sz w:val="24"/>
          <w:lang w:val="hu-HU"/>
        </w:rPr>
        <w:footnoteRef/>
      </w:r>
      <w:r w:rsidR="00F62082" w:rsidRPr="00F62082">
        <w:rPr>
          <w:sz w:val="24"/>
          <w:lang w:val="hu-HU"/>
        </w:rPr>
        <w:t xml:space="preserve"> </w:t>
      </w:r>
      <w:r w:rsidR="00F62082" w:rsidRPr="00F62082">
        <w:rPr>
          <w:sz w:val="24"/>
          <w:lang w:val="hu-HU"/>
        </w:rPr>
        <w:tab/>
      </w:r>
      <w:r w:rsidRPr="00F62082">
        <w:rPr>
          <w:sz w:val="24"/>
          <w:lang w:val="hu-HU"/>
        </w:rPr>
        <w:t>HL C, C/2024/4174, 2024.8.2</w:t>
      </w:r>
      <w:proofErr w:type="gramStart"/>
      <w:r w:rsidRPr="00F62082">
        <w:rPr>
          <w:sz w:val="24"/>
          <w:lang w:val="hu-HU"/>
        </w:rPr>
        <w:t>.,</w:t>
      </w:r>
      <w:proofErr w:type="gramEnd"/>
      <w:r w:rsidRPr="00F62082">
        <w:rPr>
          <w:sz w:val="24"/>
          <w:lang w:val="hu-HU"/>
        </w:rPr>
        <w:t xml:space="preserve"> ELI: </w:t>
      </w:r>
      <w:r w:rsidR="00EC55AE">
        <w:fldChar w:fldCharType="begin"/>
      </w:r>
      <w:r w:rsidR="00EC55AE" w:rsidRPr="00EC55AE">
        <w:rPr>
          <w:lang w:val="fi-FI"/>
        </w:rPr>
        <w:instrText xml:space="preserve"> HYPERLINK "http://data.europa.eu/eli/C/2024/4174/oj" </w:instrText>
      </w:r>
      <w:r w:rsidR="00EC55AE">
        <w:fldChar w:fldCharType="separate"/>
      </w:r>
      <w:r w:rsidRPr="00F62082">
        <w:rPr>
          <w:rStyle w:val="Hyperlink"/>
          <w:sz w:val="24"/>
          <w:lang w:val="hu-HU"/>
        </w:rPr>
        <w:t>http://data.europa.eu/eli/C/2024/4174/oj</w:t>
      </w:r>
      <w:r w:rsidR="00EC55AE">
        <w:rPr>
          <w:rStyle w:val="Hyperlink"/>
          <w:sz w:val="24"/>
          <w:lang w:val="hu-HU"/>
        </w:rPr>
        <w:fldChar w:fldCharType="end"/>
      </w:r>
      <w:r w:rsidRPr="00F62082">
        <w:rPr>
          <w:sz w:val="24"/>
          <w:lang w:val="hu-H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6208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6208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6208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34, 0135, 0137, 0138 és 0140/2024"/>
    <w:docVar w:name="dvlangue" w:val="HU"/>
    <w:docVar w:name="dvnumam" w:val="0"/>
    <w:docVar w:name="dvpe" w:val="764.114"/>
    <w:docVar w:name="dvtitre" w:val="Az Európai Parlament 2024.  ...-i állásfoglalása a 2758. sz. ENSZ-határozatnak a Kínai Népköztársaság általi félreértelmezéséről és Tajvan körüli folyamatos katonai provokációiról(2024/2891(RSP))"/>
  </w:docVars>
  <w:rsids>
    <w:rsidRoot w:val="003A44F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A44FC"/>
    <w:rsid w:val="003E15D4"/>
    <w:rsid w:val="00411CCE"/>
    <w:rsid w:val="0041666E"/>
    <w:rsid w:val="00421060"/>
    <w:rsid w:val="00471C19"/>
    <w:rsid w:val="004729E5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C6DB8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127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C55AE"/>
    <w:rsid w:val="00ED169E"/>
    <w:rsid w:val="00ED4235"/>
    <w:rsid w:val="00EE442B"/>
    <w:rsid w:val="00F04346"/>
    <w:rsid w:val="00F075DC"/>
    <w:rsid w:val="00F149E9"/>
    <w:rsid w:val="00F5134D"/>
    <w:rsid w:val="00F62082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042BC3"/>
  <w15:chartTrackingRefBased/>
  <w15:docId w15:val="{C54184EF-FF64-47F3-9266-9C04ACA7F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AC6DB8"/>
    <w:pPr>
      <w:spacing w:after="240"/>
      <w:ind w:left="567" w:hanging="567"/>
    </w:pPr>
  </w:style>
  <w:style w:type="paragraph" w:customStyle="1" w:styleId="EPComma">
    <w:name w:val="EPComma"/>
    <w:basedOn w:val="Normal"/>
    <w:rsid w:val="00AC6DB8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AC6DB8"/>
    <w:rPr>
      <w:sz w:val="24"/>
      <w:lang w:val="hu-HU"/>
    </w:rPr>
  </w:style>
  <w:style w:type="character" w:styleId="Hyperlink">
    <w:name w:val="Hyperlink"/>
    <w:basedOn w:val="DefaultParagraphFont"/>
    <w:rsid w:val="00AC6DB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7196B3-9B06-442D-94DB-B1460BBEAC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3262</Words>
  <Characters>23278</Characters>
  <Application>Microsoft Office Word</Application>
  <DocSecurity>0</DocSecurity>
  <Lines>193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ILLY_D_relec</dc:creator>
  <cp:keywords/>
  <cp:lastModifiedBy>SALAT Adriana</cp:lastModifiedBy>
  <cp:revision>2</cp:revision>
  <cp:lastPrinted>2004-11-19T15:42:00Z</cp:lastPrinted>
  <dcterms:created xsi:type="dcterms:W3CDTF">2024-10-24T10:45:00Z</dcterms:created>
  <dcterms:modified xsi:type="dcterms:W3CDTF">2024-10-24T10:45:00Z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B10-0134, 0135, 0137, 0138 és 0140/2024</vt:lpwstr>
  </property>
  <property fmtid="{D5CDD505-2E9C-101B-9397-08002B2CF9AE}" pid="4" name="&lt;Type&gt;">
    <vt:lpwstr>RR</vt:lpwstr>
  </property>
</Properties>
</file>