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05F" w:rsidTr="0010095E">
        <w:trPr>
          <w:trHeight w:hRule="exact" w:val="1418"/>
        </w:trPr>
        <w:tc>
          <w:tcPr>
            <w:tcW w:w="6804" w:type="dxa"/>
            <w:shd w:val="clear" w:color="auto" w:fill="auto"/>
            <w:vAlign w:val="center"/>
          </w:tcPr>
          <w:p w:rsidR="00751A4A" w:rsidRPr="0003605F" w:rsidRDefault="0005765F" w:rsidP="0010095E">
            <w:pPr>
              <w:pStyle w:val="EPName"/>
            </w:pPr>
            <w:r w:rsidRPr="0003605F">
              <w:t>Europos Parlamentas</w:t>
            </w:r>
          </w:p>
          <w:p w:rsidR="00751A4A" w:rsidRPr="0003605F" w:rsidRDefault="005F1B17" w:rsidP="005F1B17">
            <w:pPr>
              <w:pStyle w:val="EPTerm"/>
              <w:rPr>
                <w:rStyle w:val="HideTWBExt"/>
                <w:noProof w:val="0"/>
                <w:vanish w:val="0"/>
                <w:color w:val="auto"/>
              </w:rPr>
            </w:pPr>
            <w:r w:rsidRPr="0003605F">
              <w:t>2024</w:t>
            </w:r>
            <w:r w:rsidR="00817416" w:rsidRPr="0003605F">
              <w:t>-202</w:t>
            </w:r>
            <w:r w:rsidRPr="0003605F">
              <w:t>9</w:t>
            </w:r>
          </w:p>
        </w:tc>
        <w:tc>
          <w:tcPr>
            <w:tcW w:w="2268" w:type="dxa"/>
            <w:shd w:val="clear" w:color="auto" w:fill="auto"/>
          </w:tcPr>
          <w:p w:rsidR="00751A4A" w:rsidRPr="0003605F" w:rsidRDefault="00187494" w:rsidP="0010095E">
            <w:pPr>
              <w:pStyle w:val="EPLogo"/>
            </w:pPr>
            <w:r w:rsidRPr="000360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605F" w:rsidRDefault="00D058B8" w:rsidP="004C5D52">
      <w:pPr>
        <w:pStyle w:val="LineTop"/>
      </w:pPr>
    </w:p>
    <w:p w:rsidR="00680577" w:rsidRPr="0003605F" w:rsidRDefault="0005765F" w:rsidP="00680577">
      <w:pPr>
        <w:pStyle w:val="EPBodyTA1"/>
      </w:pPr>
      <w:r w:rsidRPr="0003605F">
        <w:t>PRIIMTI TEKSTAI</w:t>
      </w:r>
    </w:p>
    <w:p w:rsidR="00D058B8" w:rsidRPr="0003605F" w:rsidRDefault="00D058B8" w:rsidP="00D058B8">
      <w:pPr>
        <w:pStyle w:val="LineBottom"/>
      </w:pPr>
    </w:p>
    <w:p w:rsidR="0005765F" w:rsidRPr="0003605F" w:rsidRDefault="0005765F" w:rsidP="0005765F">
      <w:pPr>
        <w:pStyle w:val="ATHeading1"/>
      </w:pPr>
      <w:bookmarkStart w:id="0" w:name="TANumber"/>
      <w:r w:rsidRPr="0003605F">
        <w:t>P10_TA(2024)00</w:t>
      </w:r>
      <w:r w:rsidR="004C1F41">
        <w:t>3</w:t>
      </w:r>
      <w:r w:rsidRPr="0003605F">
        <w:t>0</w:t>
      </w:r>
      <w:bookmarkEnd w:id="0"/>
    </w:p>
    <w:p w:rsidR="0005765F" w:rsidRPr="0003605F" w:rsidRDefault="0005765F" w:rsidP="0005765F">
      <w:pPr>
        <w:pStyle w:val="ATHeading2"/>
      </w:pPr>
      <w:bookmarkStart w:id="1" w:name="title"/>
      <w:r w:rsidRPr="0003605F">
        <w:t>Klaidingai Kinijos Liaudies Respublikos interpretuojama JT rezoliucija Nr. 2758 ir nuolat šios šalies vykdomos karinės provokacijos prieš Taivaną</w:t>
      </w:r>
      <w:bookmarkEnd w:id="1"/>
    </w:p>
    <w:p w:rsidR="0005765F" w:rsidRPr="0003605F" w:rsidRDefault="0005765F" w:rsidP="0005765F">
      <w:pPr>
        <w:rPr>
          <w:i/>
          <w:vanish/>
        </w:rPr>
      </w:pPr>
      <w:r w:rsidRPr="0003605F">
        <w:rPr>
          <w:i/>
        </w:rPr>
        <w:fldChar w:fldCharType="begin"/>
      </w:r>
      <w:r w:rsidRPr="0003605F">
        <w:rPr>
          <w:i/>
        </w:rPr>
        <w:instrText xml:space="preserve"> TC"(</w:instrText>
      </w:r>
      <w:bookmarkStart w:id="2" w:name="DocNumber"/>
      <w:r w:rsidRPr="0003605F">
        <w:rPr>
          <w:i/>
        </w:rPr>
        <w:instrText>B10-0134, 0135, 0137, 0138 ir 0140/2024</w:instrText>
      </w:r>
      <w:bookmarkEnd w:id="2"/>
      <w:r w:rsidRPr="0003605F">
        <w:rPr>
          <w:i/>
        </w:rPr>
        <w:instrText xml:space="preserve">)"\l3 \n&gt; \* MERGEFORMAT </w:instrText>
      </w:r>
      <w:r w:rsidRPr="0003605F">
        <w:rPr>
          <w:i/>
        </w:rPr>
        <w:fldChar w:fldCharType="end"/>
      </w:r>
    </w:p>
    <w:p w:rsidR="0005765F" w:rsidRPr="0003605F" w:rsidRDefault="0005765F" w:rsidP="0005765F">
      <w:pPr>
        <w:rPr>
          <w:vanish/>
        </w:rPr>
      </w:pPr>
      <w:bookmarkStart w:id="3" w:name="PE"/>
      <w:r w:rsidRPr="0003605F">
        <w:rPr>
          <w:vanish/>
        </w:rPr>
        <w:t>PE764.114</w:t>
      </w:r>
      <w:bookmarkEnd w:id="3"/>
    </w:p>
    <w:p w:rsidR="0005765F" w:rsidRPr="0003605F" w:rsidRDefault="00616B56" w:rsidP="00616B56">
      <w:pPr>
        <w:pStyle w:val="ATHeading3"/>
      </w:pPr>
      <w:bookmarkStart w:id="4" w:name="Sujet"/>
      <w:r>
        <w:t xml:space="preserve">2024 m. spalio 24 d. </w:t>
      </w:r>
      <w:r w:rsidR="0005765F" w:rsidRPr="0003605F">
        <w:t>Europos Parlamento rezoliucija dėl klaidingai Kinijos Liaudies Respublikos interpretuojamos JT rezoliucijos Nr. 2758 ir nuolat šios šalies vykdomų karinių provokacijų prieš Taivaną</w:t>
      </w:r>
      <w:bookmarkEnd w:id="4"/>
      <w:r w:rsidR="0005765F" w:rsidRPr="0003605F">
        <w:t xml:space="preserve"> </w:t>
      </w:r>
      <w:bookmarkStart w:id="5" w:name="References"/>
      <w:r w:rsidR="0005765F" w:rsidRPr="0003605F">
        <w:t>(2024/2891(RSP))</w:t>
      </w:r>
      <w:bookmarkEnd w:id="5"/>
    </w:p>
    <w:p w:rsidR="00A823C4" w:rsidRPr="0003605F" w:rsidRDefault="00A823C4" w:rsidP="00A823C4">
      <w:pPr>
        <w:pStyle w:val="EPComma"/>
      </w:pPr>
      <w:bookmarkStart w:id="6" w:name="TextBodyBegin"/>
      <w:bookmarkEnd w:id="6"/>
      <w:r w:rsidRPr="0003605F">
        <w:rPr>
          <w:i/>
        </w:rPr>
        <w:t>Europos Parlamentas</w:t>
      </w:r>
      <w:r w:rsidRPr="0003605F">
        <w:t>,</w:t>
      </w:r>
    </w:p>
    <w:p w:rsidR="00A823C4" w:rsidRPr="0003605F" w:rsidRDefault="00A823C4" w:rsidP="00A823C4">
      <w:pPr>
        <w:pStyle w:val="NormalHanging12a"/>
      </w:pPr>
      <w:r w:rsidRPr="0003605F">
        <w:t>–</w:t>
      </w:r>
      <w:r w:rsidRPr="0003605F">
        <w:tab/>
        <w:t>atsižvelgdamas į savo ankstesnes rezoliucijas dėl Kinijos Liaudies Respublikos (KLR) ir Taivano,</w:t>
      </w:r>
    </w:p>
    <w:p w:rsidR="00A823C4" w:rsidRPr="0003605F" w:rsidRDefault="00A823C4" w:rsidP="00A823C4">
      <w:pPr>
        <w:pStyle w:val="NormalHanging12a"/>
      </w:pPr>
      <w:r w:rsidRPr="0003605F">
        <w:t>–</w:t>
      </w:r>
      <w:r w:rsidRPr="0003605F">
        <w:tab/>
        <w:t>atsižvelgdamas į savo 2021 m. rugsėjo 16 d. rezoliuciją dėl naujos ES ir Kinijos strategijos</w:t>
      </w:r>
      <w:r w:rsidRPr="0003605F">
        <w:rPr>
          <w:rStyle w:val="FootnoteReference"/>
        </w:rPr>
        <w:footnoteReference w:id="1"/>
      </w:r>
      <w:r w:rsidRPr="0003605F">
        <w:t>,</w:t>
      </w:r>
    </w:p>
    <w:p w:rsidR="00A823C4" w:rsidRPr="0003605F" w:rsidRDefault="00A823C4" w:rsidP="00A823C4">
      <w:pPr>
        <w:pStyle w:val="NormalHanging12a"/>
      </w:pPr>
      <w:r w:rsidRPr="0003605F">
        <w:t>–</w:t>
      </w:r>
      <w:r w:rsidRPr="0003605F">
        <w:tab/>
        <w:t>atsižvelgdamas į savo 2021 m. spalio 21 d. rekomendaciją Komisijos pirmininko pavaduotojui ir Sąjungos vyriausiajam įgaliotiniui užsienio reikalams ir saugumo politikai dėl ES ir Taivano politinių santykių ir bendradarbiavimo</w:t>
      </w:r>
      <w:r w:rsidRPr="0003605F">
        <w:rPr>
          <w:rStyle w:val="FootnoteReference"/>
        </w:rPr>
        <w:footnoteReference w:id="2"/>
      </w:r>
      <w:r w:rsidRPr="0003605F">
        <w:t>,</w:t>
      </w:r>
    </w:p>
    <w:p w:rsidR="00A823C4" w:rsidRPr="0003605F" w:rsidRDefault="00A823C4" w:rsidP="00A823C4">
      <w:pPr>
        <w:pStyle w:val="NormalHanging12a"/>
      </w:pPr>
      <w:r w:rsidRPr="0003605F">
        <w:t>–</w:t>
      </w:r>
      <w:r w:rsidRPr="0003605F">
        <w:tab/>
        <w:t>atsižvelgdamas į savo 2022 m. birželio 7 d. rezoliuciją dėl ES ir saugumo iššūkių Indijos ir Ramiojo vandenyno regione</w:t>
      </w:r>
      <w:r w:rsidRPr="0003605F">
        <w:rPr>
          <w:rStyle w:val="FootnoteReference"/>
        </w:rPr>
        <w:footnoteReference w:id="3"/>
      </w:r>
      <w:r w:rsidRPr="0003605F">
        <w:t>,</w:t>
      </w:r>
    </w:p>
    <w:p w:rsidR="00A823C4" w:rsidRPr="0003605F" w:rsidRDefault="00A823C4" w:rsidP="00A823C4">
      <w:pPr>
        <w:pStyle w:val="NormalHanging12a"/>
      </w:pPr>
      <w:r w:rsidRPr="0003605F">
        <w:t>–</w:t>
      </w:r>
      <w:r w:rsidRPr="0003605F">
        <w:tab/>
        <w:t>atsižvelgdamas į savo 2022 m. rugsėjo 15 d. rezoliuciją dėl padėties Taivano sąsiauryje</w:t>
      </w:r>
      <w:r w:rsidRPr="0003605F">
        <w:rPr>
          <w:rStyle w:val="FootnoteReference"/>
        </w:rPr>
        <w:footnoteReference w:id="4"/>
      </w:r>
      <w:r w:rsidRPr="0003605F">
        <w:t>,</w:t>
      </w:r>
    </w:p>
    <w:p w:rsidR="00A823C4" w:rsidRPr="0003605F" w:rsidRDefault="00A823C4" w:rsidP="00A823C4">
      <w:pPr>
        <w:pStyle w:val="NormalHanging12a"/>
      </w:pPr>
      <w:r w:rsidRPr="0003605F">
        <w:t>–</w:t>
      </w:r>
      <w:r w:rsidRPr="0003605F">
        <w:tab/>
        <w:t>atsižvelgdamas į savo 2023 m. gruodžio 13 d. rezoliuciją dėl ES ir Taivano santykių prekybos ir investicijų srityje</w:t>
      </w:r>
      <w:r w:rsidRPr="0003605F">
        <w:rPr>
          <w:rStyle w:val="FootnoteReference"/>
        </w:rPr>
        <w:footnoteReference w:id="5"/>
      </w:r>
      <w:r w:rsidRPr="0003605F">
        <w:t>,</w:t>
      </w:r>
    </w:p>
    <w:p w:rsidR="00A823C4" w:rsidRPr="0003605F" w:rsidRDefault="00A823C4" w:rsidP="00A823C4">
      <w:pPr>
        <w:pStyle w:val="NormalHanging12a"/>
      </w:pPr>
      <w:r w:rsidRPr="0003605F">
        <w:t>–</w:t>
      </w:r>
      <w:r w:rsidRPr="0003605F">
        <w:tab/>
        <w:t>atsižvelgdamas į 2022 m. kovo 21 d. Tarybos patvirtintą Saugumo ir gynybos strateginį kelrodį,</w:t>
      </w:r>
    </w:p>
    <w:p w:rsidR="00A823C4" w:rsidRPr="0003605F" w:rsidRDefault="00A823C4" w:rsidP="00A823C4">
      <w:pPr>
        <w:pStyle w:val="NormalHanging12a"/>
      </w:pPr>
      <w:r w:rsidRPr="0003605F">
        <w:t>–</w:t>
      </w:r>
      <w:r w:rsidRPr="0003605F">
        <w:tab/>
        <w:t xml:space="preserve">atsižvelgdamas į 2021 m. rugsėjo 16 d. Komisijos ir Sąjungos vyriausiojo įgaliotinio </w:t>
      </w:r>
      <w:r w:rsidRPr="0003605F">
        <w:lastRenderedPageBreak/>
        <w:t>užsienio reikalams ir saugumo politikai bendrą komunikatą „ES strategija dėl bendradarbiavimo Indijos ir Ramiojo vandenynų regione“ (JOIN(2021)0024),</w:t>
      </w:r>
    </w:p>
    <w:p w:rsidR="00A823C4" w:rsidRPr="0003605F" w:rsidRDefault="00A823C4" w:rsidP="00A823C4">
      <w:pPr>
        <w:pStyle w:val="NormalHanging12a"/>
      </w:pPr>
      <w:r w:rsidRPr="0003605F">
        <w:t>–</w:t>
      </w:r>
      <w:r w:rsidRPr="0003605F">
        <w:tab/>
        <w:t>atsižvelgdamas į ES „vienos Kinijos“ politiką,</w:t>
      </w:r>
    </w:p>
    <w:p w:rsidR="00A823C4" w:rsidRPr="0003605F" w:rsidRDefault="00A823C4" w:rsidP="00A823C4">
      <w:pPr>
        <w:pStyle w:val="NormalHanging12a"/>
      </w:pPr>
      <w:r w:rsidRPr="0003605F">
        <w:t>–</w:t>
      </w:r>
      <w:r w:rsidRPr="0003605F">
        <w:tab/>
        <w:t>atsižvelgdamas į 2023 m. gruodžio 7 d. ES ir Kinijos aukščiausiojo lygio susitikimą,</w:t>
      </w:r>
    </w:p>
    <w:p w:rsidR="00A823C4" w:rsidRPr="0003605F" w:rsidRDefault="00A823C4" w:rsidP="00A823C4">
      <w:pPr>
        <w:pStyle w:val="NormalHanging12a"/>
      </w:pPr>
      <w:r w:rsidRPr="0003605F">
        <w:t>–</w:t>
      </w:r>
      <w:r w:rsidRPr="0003605F">
        <w:tab/>
        <w:t>atsižvelgdamas į 2023 m. birželio 30 d. Europos Vadovų Tarybos išvadas dėl Kinijos,</w:t>
      </w:r>
    </w:p>
    <w:p w:rsidR="00A823C4" w:rsidRPr="0003605F" w:rsidRDefault="00A823C4" w:rsidP="00A823C4">
      <w:pPr>
        <w:pStyle w:val="NormalHanging12a"/>
      </w:pPr>
      <w:r w:rsidRPr="0003605F">
        <w:t>–</w:t>
      </w:r>
      <w:r w:rsidRPr="0003605F">
        <w:tab/>
        <w:t>atsižvelgdamas į Užsienio reikalų komiteto 2023 m. liepos 27 d. ir Tarptautinės prekybos komiteto 2022 m. gruodžio 21 d. apsilankymus Taivane,</w:t>
      </w:r>
    </w:p>
    <w:p w:rsidR="00A823C4" w:rsidRPr="0003605F" w:rsidRDefault="00A823C4" w:rsidP="00A823C4">
      <w:pPr>
        <w:pStyle w:val="NormalHanging12a"/>
      </w:pPr>
      <w:r w:rsidRPr="0003605F">
        <w:t>–</w:t>
      </w:r>
      <w:r w:rsidRPr="0003605F">
        <w:tab/>
        <w:t>atsižvelgdamas į 2024 m. rugsėjo 1 d. Sąjungos vyriausiojo įgaliotinio užsienio reikalams ir saugumo politikai atstovo spaudai pareiškimą dėl naujausių pavojingų veiksmų Pietų Kinijos jūroje,</w:t>
      </w:r>
    </w:p>
    <w:p w:rsidR="00A823C4" w:rsidRPr="0003605F" w:rsidRDefault="00A823C4" w:rsidP="00A823C4">
      <w:pPr>
        <w:pStyle w:val="NormalHanging12a"/>
      </w:pPr>
      <w:r w:rsidRPr="0003605F">
        <w:t>–</w:t>
      </w:r>
      <w:r w:rsidRPr="0003605F">
        <w:tab/>
        <w:t>atsižvelgdamas į Sąjungos vyriausiojo įgaliotinio užsienio reikalams ir saugumo politikai atstovo spaudai pareiškimus dėl Kinijos karinių pratybų aplink Taivaną, įskaita</w:t>
      </w:r>
      <w:r w:rsidR="005C4FE8">
        <w:t>nt naujausią 2024 m. spalio 14 d</w:t>
      </w:r>
      <w:r w:rsidRPr="0003605F">
        <w:t>. pareiškimą,</w:t>
      </w:r>
    </w:p>
    <w:p w:rsidR="00A823C4" w:rsidRPr="0003605F" w:rsidRDefault="00A823C4" w:rsidP="00A823C4">
      <w:pPr>
        <w:pStyle w:val="NormalHanging12a"/>
      </w:pPr>
      <w:r w:rsidRPr="0003605F">
        <w:t>–</w:t>
      </w:r>
      <w:r w:rsidRPr="0003605F">
        <w:tab/>
        <w:t>atsižvelgdamas į 2023 m. balandžio 18 d. ir 2022 m. rugpjūčio 3 d. G7 užsienio reikalų ministrų pareiškimus dėl taikos ir stabilumo abipus Taivano sąsiaurio išsaugojimo,</w:t>
      </w:r>
    </w:p>
    <w:p w:rsidR="00A823C4" w:rsidRPr="0003605F" w:rsidRDefault="00A823C4" w:rsidP="00A823C4">
      <w:pPr>
        <w:pStyle w:val="NormalHanging12a"/>
      </w:pPr>
      <w:r w:rsidRPr="0003605F">
        <w:t>–</w:t>
      </w:r>
      <w:r w:rsidRPr="0003605F">
        <w:tab/>
        <w:t>atsižvelgdamas į 2024 m. rugsėjo 23 d. G7 užsienio reikalų ministrų susitikimo pirmininko pareiškimą,</w:t>
      </w:r>
      <w:bookmarkStart w:id="7" w:name="_GoBack"/>
      <w:bookmarkEnd w:id="7"/>
    </w:p>
    <w:p w:rsidR="00A823C4" w:rsidRPr="0003605F" w:rsidRDefault="00A823C4" w:rsidP="00A823C4">
      <w:pPr>
        <w:pStyle w:val="NormalHanging12a"/>
      </w:pPr>
      <w:r w:rsidRPr="0003605F">
        <w:t>–</w:t>
      </w:r>
      <w:r w:rsidRPr="0003605F">
        <w:tab/>
        <w:t>atsižvelgdamas į 2024 m. spalio 19 d. G7 gynybos ministrų bendrą deklaraciją,</w:t>
      </w:r>
    </w:p>
    <w:p w:rsidR="00A823C4" w:rsidRPr="0003605F" w:rsidRDefault="00A823C4" w:rsidP="00A823C4">
      <w:pPr>
        <w:pStyle w:val="NormalHanging12a"/>
      </w:pPr>
      <w:r w:rsidRPr="0003605F">
        <w:t>–</w:t>
      </w:r>
      <w:r w:rsidRPr="0003605F">
        <w:tab/>
        <w:t>atsižvelgdamas į 2024 m. rugpjūčio 21 d. Australijos Senato priimtą skubų pasiūlymą dėl Taivano,</w:t>
      </w:r>
    </w:p>
    <w:p w:rsidR="00A823C4" w:rsidRPr="0003605F" w:rsidRDefault="00A823C4" w:rsidP="00A823C4">
      <w:pPr>
        <w:pStyle w:val="NormalHanging12a"/>
      </w:pPr>
      <w:r w:rsidRPr="0003605F">
        <w:t>–</w:t>
      </w:r>
      <w:r w:rsidRPr="0003605F">
        <w:tab/>
        <w:t>atsižvelgdamas į 1971 m. spalio 25 d. JT Generalinės Asamblėjos rezoliuciją Nr. 2758 (XXVI),</w:t>
      </w:r>
    </w:p>
    <w:p w:rsidR="00A823C4" w:rsidRPr="0003605F" w:rsidRDefault="00A823C4" w:rsidP="00A823C4">
      <w:pPr>
        <w:pStyle w:val="NormalHanging12a"/>
      </w:pPr>
      <w:r w:rsidRPr="0003605F">
        <w:t>–</w:t>
      </w:r>
      <w:r w:rsidRPr="0003605F">
        <w:tab/>
        <w:t>atsižvelgdamas į 2024 m. rugsėjo 12 d. Nyderlandų Karalystės Antrųjų Rūmų priimtą pasiūlymą dėl JT rezoliucijos Nr. 2758,</w:t>
      </w:r>
    </w:p>
    <w:p w:rsidR="00A823C4" w:rsidRPr="0003605F" w:rsidRDefault="00A823C4" w:rsidP="00A823C4">
      <w:pPr>
        <w:pStyle w:val="NormalHanging12a"/>
      </w:pPr>
      <w:r w:rsidRPr="0003605F">
        <w:t>–</w:t>
      </w:r>
      <w:r w:rsidRPr="0003605F">
        <w:tab/>
        <w:t>atsižvelgdamas į 2024 m. spalio 13 d. JAV Valstybės departamento pareiškimą spaudai,</w:t>
      </w:r>
    </w:p>
    <w:p w:rsidR="00A823C4" w:rsidRPr="0003605F" w:rsidRDefault="00A823C4" w:rsidP="00A823C4">
      <w:pPr>
        <w:pStyle w:val="NormalHanging12a"/>
      </w:pPr>
      <w:r w:rsidRPr="0003605F">
        <w:t>–</w:t>
      </w:r>
      <w:r w:rsidRPr="0003605F">
        <w:tab/>
        <w:t>atsižvelgdamas į JT jūrų teisės konvenciją (UNCLOS),</w:t>
      </w:r>
    </w:p>
    <w:p w:rsidR="00A823C4" w:rsidRPr="0003605F" w:rsidRDefault="00A823C4" w:rsidP="00A823C4">
      <w:pPr>
        <w:pStyle w:val="NormalHanging12a"/>
      </w:pPr>
      <w:r w:rsidRPr="0003605F">
        <w:t>–</w:t>
      </w:r>
      <w:r w:rsidRPr="0003605F">
        <w:tab/>
        <w:t>atsižvelgdamas į 1992 m. gegužės 9 d. priimtos JT bendrosios klimato kaitos konvencijos (UNFCCC) 7 straipsnį,</w:t>
      </w:r>
    </w:p>
    <w:p w:rsidR="00A823C4" w:rsidRPr="0003605F" w:rsidRDefault="00A823C4" w:rsidP="00A823C4">
      <w:pPr>
        <w:pStyle w:val="NormalHanging12a"/>
      </w:pPr>
      <w:r w:rsidRPr="0003605F">
        <w:t>–</w:t>
      </w:r>
      <w:r w:rsidRPr="0003605F">
        <w:tab/>
        <w:t>atsižvelgdamas į Tarptautinės civilinės aviacijos organizacijos (ICAO) asamblėjos nuolatinių darbo tvarkos taisyklių 5 straipsnį,</w:t>
      </w:r>
    </w:p>
    <w:p w:rsidR="00A823C4" w:rsidRPr="0003605F" w:rsidRDefault="00A823C4" w:rsidP="00A823C4">
      <w:pPr>
        <w:pStyle w:val="NormalHanging12a"/>
      </w:pPr>
      <w:r w:rsidRPr="0003605F">
        <w:t>–</w:t>
      </w:r>
      <w:r w:rsidRPr="0003605F">
        <w:tab/>
        <w:t>atsižvelgdamas į Tarptautinės kriminalinės policijos organizacijos (Interpolo) konstitucijos 4 straipsnį,</w:t>
      </w:r>
    </w:p>
    <w:p w:rsidR="00A823C4" w:rsidRPr="0003605F" w:rsidRDefault="00A823C4" w:rsidP="00A823C4">
      <w:pPr>
        <w:pStyle w:val="NormalHanging12a"/>
      </w:pPr>
      <w:r w:rsidRPr="0003605F">
        <w:t>–</w:t>
      </w:r>
      <w:r w:rsidRPr="0003605F">
        <w:tab/>
        <w:t>atsižvelgdamas į Pasaulio sveikatos organizacijos (PSO) konstitucijos 8 straipsnį ir 18 straipsnio h punktą,</w:t>
      </w:r>
    </w:p>
    <w:p w:rsidR="00A823C4" w:rsidRPr="0003605F" w:rsidRDefault="00A823C4" w:rsidP="00A823C4">
      <w:pPr>
        <w:pStyle w:val="NormalHanging12a"/>
      </w:pPr>
      <w:r w:rsidRPr="0003605F">
        <w:lastRenderedPageBreak/>
        <w:t>–</w:t>
      </w:r>
      <w:r w:rsidRPr="0003605F">
        <w:tab/>
        <w:t>atsižvelgdamas į Darbo tvarkos taisyklių 136 straipsnio 2 ir 4 dalis,</w:t>
      </w:r>
    </w:p>
    <w:p w:rsidR="00A823C4" w:rsidRPr="0003605F" w:rsidRDefault="00A823C4" w:rsidP="00A823C4">
      <w:pPr>
        <w:pStyle w:val="NormalHanging12a"/>
      </w:pPr>
      <w:r w:rsidRPr="0003605F">
        <w:t>A.</w:t>
      </w:r>
      <w:r w:rsidRPr="0003605F">
        <w:tab/>
        <w:t>kadangi 1971 m. spalio 25 d. JT Generalinė Asamblėja priėmė JT rezoliuciją Nr. 2758, pagal kurią vietoj Kinijos Respublikos (Taivano) buvo oficialiai pripažinta Kinijos Liaudies Respublika (KLR); kadangi šiuo metu Taivanas, nors ir nebūdamas Jungtinių Tautų narys, palaiko diplomatinius santykius su 11 iš 193 Jungtinių Tautų valstybių narių, taip pat su Šventuoju Sostu;</w:t>
      </w:r>
    </w:p>
    <w:p w:rsidR="00A823C4" w:rsidRPr="0003605F" w:rsidRDefault="00A823C4" w:rsidP="00A823C4">
      <w:pPr>
        <w:pStyle w:val="NormalHanging12a"/>
      </w:pPr>
      <w:r w:rsidRPr="0003605F">
        <w:t>B.</w:t>
      </w:r>
      <w:r w:rsidRPr="0003605F">
        <w:tab/>
        <w:t>kadangi ES ir Taivanas yra panašiai mąstantys partneriai, kurie vadovaujasi bendromis laisvės, demokratijos, žmogaus teisių ir teisės viršenybės vertybėmis; kadangi Taivanas yra dinamiška demokratija, kurios pilietinė visuomenė klesti; kadangi 2024 m. sausio 13 d. Taivane buvo surengti taikūs ir gerai organizuoti rinkimai;</w:t>
      </w:r>
    </w:p>
    <w:p w:rsidR="00A823C4" w:rsidRPr="0003605F" w:rsidRDefault="00A823C4" w:rsidP="00A823C4">
      <w:pPr>
        <w:pStyle w:val="NormalHanging12a"/>
      </w:pPr>
      <w:r w:rsidRPr="0003605F">
        <w:t>C.</w:t>
      </w:r>
      <w:r w:rsidRPr="0003605F">
        <w:tab/>
        <w:t>kadangi priėmus JT rezoliuciją Nr. 2758 Taivanas prarado galimybę dalyvauti daugiašaliuose forumuose, pvz., PSO;</w:t>
      </w:r>
    </w:p>
    <w:p w:rsidR="00A823C4" w:rsidRPr="0003605F" w:rsidRDefault="00A823C4" w:rsidP="00A823C4">
      <w:pPr>
        <w:pStyle w:val="NormalHanging12a"/>
      </w:pPr>
      <w:r w:rsidRPr="0003605F">
        <w:t>D.</w:t>
      </w:r>
      <w:r w:rsidRPr="0003605F">
        <w:tab/>
        <w:t>kadangi Taivanas niekada nebuvo Kinijos Liaudies Respublikos dalis; kadangi Kinijos Respublika buvo sukurta 1912 m., o Kinijos Liaudies Respublika – 1949 m.;</w:t>
      </w:r>
    </w:p>
    <w:p w:rsidR="00A823C4" w:rsidRPr="0003605F" w:rsidRDefault="00A823C4" w:rsidP="00A823C4">
      <w:pPr>
        <w:pStyle w:val="NormalHanging12a"/>
      </w:pPr>
      <w:r w:rsidRPr="0003605F">
        <w:t>E.</w:t>
      </w:r>
      <w:r w:rsidRPr="0003605F">
        <w:tab/>
        <w:t xml:space="preserve">kadangi JT rezoliucijoje Nr. 2758 buvo sprendžiamas Kinijos Liaudies Respublikos statuso klausimas, tačiau nebuvo nustatyta, kad KLR turi suverenitetą Taivano atžvilgiu, taip pat nepriimtas joks sprendimas dėl galimybės ateityje priimti Taivaną į JT ar bet kurią kitą tarptautinę organizaciją; kadangi vis dėlto KLR ir toliau klaidingai interpretuoja JT rezoliuciją Nr. 2758, siekdama neleisti Taivanui prasmingai dalyvauti tarptautinėse organizacijose ir siekdama vienašališkai pakeisti </w:t>
      </w:r>
      <w:r w:rsidRPr="0003605F">
        <w:rPr>
          <w:i/>
          <w:iCs/>
        </w:rPr>
        <w:t>status quo</w:t>
      </w:r>
      <w:r w:rsidRPr="0003605F">
        <w:t>; kadangi šie veiksmai išryškina KLR užmojį pakeisti esamą daugiašalę tarptautinę tvarką bei pažeisti tarptautinę teisę ir gali būti laikomi sisteminės konkurencijos išraiška;</w:t>
      </w:r>
    </w:p>
    <w:p w:rsidR="00A823C4" w:rsidRPr="0003605F" w:rsidRDefault="00A823C4" w:rsidP="00A823C4">
      <w:pPr>
        <w:pStyle w:val="NormalHanging12a"/>
      </w:pPr>
      <w:r w:rsidRPr="0003605F">
        <w:t>F.</w:t>
      </w:r>
      <w:r w:rsidRPr="0003605F">
        <w:tab/>
        <w:t xml:space="preserve">kadangi ES ir toliau laikosi savo „vienos Kinijos“ politikos, kuri skiriasi nuo Kinijos Liaudies Respublikos taikomo „vienos Kinijos“ principo; kadangi ilgalaikė ES pozicija yra remti </w:t>
      </w:r>
      <w:r w:rsidRPr="0003605F">
        <w:rPr>
          <w:i/>
          <w:iCs/>
        </w:rPr>
        <w:t>status quo</w:t>
      </w:r>
      <w:r w:rsidRPr="0003605F">
        <w:t xml:space="preserve"> ir taikų nesutarimų abipus Taivano sąsiaurio sprendimą, kartu skatinant dialogą ir konstruktyvų bendradarbiavimą;</w:t>
      </w:r>
    </w:p>
    <w:p w:rsidR="00A823C4" w:rsidRPr="0003605F" w:rsidRDefault="00A823C4" w:rsidP="00A823C4">
      <w:pPr>
        <w:pStyle w:val="NormalHanging12a"/>
      </w:pPr>
      <w:r w:rsidRPr="0003605F">
        <w:t>G.</w:t>
      </w:r>
      <w:r w:rsidRPr="0003605F">
        <w:tab/>
        <w:t>kadangi savo 2024 m. rugsėjo 23 d. pareiškime G7 narės, be kita ko, pabrėžė, kad remia tai, jog Taivanas prasmingai dalyvautų tarptautinėse organizacijose ir tais atvejais, kai valstybingumas nėra būtina sąlyga, turėtų narės statusą, o kai yra – stebėtojos;</w:t>
      </w:r>
    </w:p>
    <w:p w:rsidR="00A823C4" w:rsidRPr="0003605F" w:rsidRDefault="00A823C4" w:rsidP="00A823C4">
      <w:pPr>
        <w:pStyle w:val="NormalHanging12a"/>
      </w:pPr>
      <w:r w:rsidRPr="0003605F">
        <w:t>H.</w:t>
      </w:r>
      <w:r w:rsidRPr="0003605F">
        <w:tab/>
        <w:t>kadangi parama Taivano dalyvavimui tarptautinėse organizacijose nepažeidžia ES įsipareigojimo vykdyti savo „vienos Kinijos“ politiką, kuri ir toliau išlieka ES ir Kinijos santykių politinis pagrindas;</w:t>
      </w:r>
    </w:p>
    <w:p w:rsidR="00A823C4" w:rsidRPr="0003605F" w:rsidRDefault="00A823C4" w:rsidP="00A823C4">
      <w:pPr>
        <w:pStyle w:val="NormalHanging12a"/>
      </w:pPr>
      <w:r w:rsidRPr="0003605F">
        <w:t>I.</w:t>
      </w:r>
      <w:r w:rsidRPr="0003605F">
        <w:tab/>
        <w:t>kadangi pastarąjį dešimtmetį Kinijos Liaudies Respublika nuolat stengėsi padidinti savo įtaką tarptautinėms institucijoms ir naudodamasi ja nustumti Taivaną į antrą planą bei neleisti Taivano pasų turėtojams, įskaitant žurnalistus, nevyriausybinių organizacijų darbuotojus ir politinius aktyvistus, patekti į tarptautines institucijas; kadangi KLR vykdo tarpvalstybines represijas piktnaudžiaudama ekstradicijos sutartimis ir jas naudodama prieš užsienyje esančius Taivano žmones, taip jiems keldama pavojų dėl savavališko persekiojimo ir žmogaus teisių pažeidimų;</w:t>
      </w:r>
    </w:p>
    <w:p w:rsidR="00A823C4" w:rsidRPr="0003605F" w:rsidRDefault="00A823C4" w:rsidP="00A823C4">
      <w:pPr>
        <w:pStyle w:val="NormalHanging12a"/>
      </w:pPr>
      <w:r w:rsidRPr="0003605F">
        <w:t>J.</w:t>
      </w:r>
      <w:r w:rsidRPr="0003605F">
        <w:tab/>
        <w:t xml:space="preserve">kadangi daugumos tarptautinių organizacijų, kurioms pavesta spręsti pasaulinius klausimus, įskaitant PSO, UNFCCC, Interpolą ir ICAO, įstatuose numatyta galimybė tokiems subjektams kaip Taivanas dalyvauti organizacijose nepažeidžiant valstybių </w:t>
      </w:r>
      <w:r w:rsidRPr="0003605F">
        <w:lastRenderedPageBreak/>
        <w:t>narių teisių;</w:t>
      </w:r>
    </w:p>
    <w:p w:rsidR="00A823C4" w:rsidRPr="0003605F" w:rsidRDefault="00A823C4" w:rsidP="00A823C4">
      <w:pPr>
        <w:pStyle w:val="NormalHanging12a"/>
      </w:pPr>
      <w:r w:rsidRPr="0003605F">
        <w:t>K.</w:t>
      </w:r>
      <w:r w:rsidRPr="0003605F">
        <w:tab/>
        <w:t>kadangi Taivanas nuolat demonstruoja taikų požiūrį ir norą bendradarbiauti pasauliniu mastu, stipriai padėjo pasauliui vystytis ir todėl galėtų reikšmingai prisidėti prie įvairių tarptautinių organizacijų veiklos;</w:t>
      </w:r>
    </w:p>
    <w:p w:rsidR="00A823C4" w:rsidRPr="0003605F" w:rsidRDefault="00A823C4" w:rsidP="00A823C4">
      <w:pPr>
        <w:pStyle w:val="NormalHanging12a"/>
      </w:pPr>
      <w:r w:rsidRPr="0003605F">
        <w:t>L.</w:t>
      </w:r>
      <w:r w:rsidRPr="0003605F">
        <w:tab/>
        <w:t>kadangi Kinijos Liaudies Respublika yra vienpartinė valstybė, kurią visiškai kontroliuoja ir valdo Kinijos komunistų partija;</w:t>
      </w:r>
    </w:p>
    <w:p w:rsidR="00A823C4" w:rsidRPr="0003605F" w:rsidRDefault="00A823C4" w:rsidP="00A823C4">
      <w:pPr>
        <w:pStyle w:val="NormalHanging12a"/>
      </w:pPr>
      <w:r w:rsidRPr="0003605F">
        <w:t>M.</w:t>
      </w:r>
      <w:r w:rsidRPr="0003605F">
        <w:tab/>
        <w:t xml:space="preserve">kadangi 2024 m. spalio 10 d., Taivano nacionalinę dieną, Taivano prezidentas Lai </w:t>
      </w:r>
      <w:proofErr w:type="spellStart"/>
      <w:r w:rsidRPr="0003605F">
        <w:t>Ching</w:t>
      </w:r>
      <w:proofErr w:type="spellEnd"/>
      <w:r w:rsidRPr="0003605F">
        <w:t xml:space="preserve">-te savo kalboje pareiškė, kad Kinijos Liaudies Respublika „neturi teisės atstovauti Taivanui“, ir pakartojo, kad abi šalys „nėra pavaldžios“ viena kitai; kadangi Kinijos Liaudies Respublika savo pastarojo meto karines pratybas teisino tvirtindama, kad prezidentas Lai </w:t>
      </w:r>
      <w:proofErr w:type="spellStart"/>
      <w:r w:rsidRPr="0003605F">
        <w:t>Ching</w:t>
      </w:r>
      <w:proofErr w:type="spellEnd"/>
      <w:r w:rsidRPr="0003605F">
        <w:t>-te vykdo separatistinę strategiją;</w:t>
      </w:r>
    </w:p>
    <w:p w:rsidR="00A823C4" w:rsidRPr="0003605F" w:rsidRDefault="00A823C4" w:rsidP="00A823C4">
      <w:pPr>
        <w:pStyle w:val="NormalHanging12a"/>
      </w:pPr>
      <w:r w:rsidRPr="0003605F">
        <w:t>N.</w:t>
      </w:r>
      <w:r w:rsidRPr="0003605F">
        <w:tab/>
        <w:t>kadangi 2024 m. spalio 14 d. Kinijos Liaudies Respublika pradėjo didelio masto karines pratybas „</w:t>
      </w:r>
      <w:proofErr w:type="spellStart"/>
      <w:r w:rsidRPr="0003605F">
        <w:t>Joint</w:t>
      </w:r>
      <w:proofErr w:type="spellEnd"/>
      <w:r w:rsidRPr="0003605F">
        <w:t xml:space="preserve"> Sword-2024B“, kurių metu buvo imituojama Taivano blokada; kadangi per šias pratybas aplink Taivaną aptiktas rekordinis karinių orlaivių ir laivų skaičius: 153 KLR orlaiviai, 18 karo laivų ir 17 KLR pakrančių apsaugos laivų;</w:t>
      </w:r>
    </w:p>
    <w:p w:rsidR="00A823C4" w:rsidRPr="0003605F" w:rsidRDefault="00A823C4" w:rsidP="00A823C4">
      <w:pPr>
        <w:pStyle w:val="NormalHanging12a"/>
      </w:pPr>
      <w:r w:rsidRPr="0003605F">
        <w:t>O.</w:t>
      </w:r>
      <w:r w:rsidRPr="0003605F">
        <w:tab/>
        <w:t xml:space="preserve">kadangi per pratybas keturi Kinijos Liaudies Respublikos pakrančių apsaugos dariniai patruliavo aplink salą ir trumpam įplaukė į jos ribojamus vandenis; kadangi dėl to, kad Kinijos Liaudies Respublika labai dažnai sąsiauryje dislokuoja pakrančių apsaugos pajėgas, vykdydama, jos manymu, „teisėsaugos“ misijas, nuolat daromas spaudimas Taivano valdžios institucijoms ir pavojingai didėja susidūrimų rizika, o tai yra vienas iš konkrečiausių požymių, kad KLR ketina griauti </w:t>
      </w:r>
      <w:r w:rsidRPr="0003605F">
        <w:rPr>
          <w:i/>
          <w:iCs/>
        </w:rPr>
        <w:t>status quo</w:t>
      </w:r>
      <w:r w:rsidRPr="0003605F">
        <w:t>; kadangi 2024 m. spalio 14 d. pradėtos pratybos buvo ketvirtas KLR vykdomų didelio masto karo žaidimų etapas per šiek tiek daugiau nei dvejus metus;</w:t>
      </w:r>
    </w:p>
    <w:p w:rsidR="00A823C4" w:rsidRPr="0003605F" w:rsidRDefault="00A823C4" w:rsidP="00A823C4">
      <w:pPr>
        <w:pStyle w:val="NormalHanging12a"/>
      </w:pPr>
      <w:r w:rsidRPr="0003605F">
        <w:t>P.</w:t>
      </w:r>
      <w:r w:rsidRPr="0003605F">
        <w:tab/>
        <w:t xml:space="preserve">kadangi Taivanas šią veiklą pasmerkė kaip „nepagrįstą provokaciją“ ir ji yra naujausias epizodas iš Kinijos Liaudies Respublikos prieš Taivaną vykdomų karo žaidimų serijos; kadangi šios karinės pratybos surengtos praėjus kelioms dienoms po to, kai naujasis Taivano prezidentas Lai </w:t>
      </w:r>
      <w:proofErr w:type="spellStart"/>
      <w:r w:rsidRPr="0003605F">
        <w:t>Ching</w:t>
      </w:r>
      <w:proofErr w:type="spellEnd"/>
      <w:r w:rsidRPr="0003605F">
        <w:t>-te pasakė kalbą, kurioje pažadėjo ginti Taivano suverenitetą KLR keliamų iššūkių akivaizdoje;</w:t>
      </w:r>
    </w:p>
    <w:p w:rsidR="00A823C4" w:rsidRPr="0003605F" w:rsidRDefault="00A823C4" w:rsidP="00A823C4">
      <w:pPr>
        <w:pStyle w:val="NormalHanging12a"/>
      </w:pPr>
      <w:r w:rsidRPr="0003605F">
        <w:t>Q.</w:t>
      </w:r>
      <w:r w:rsidRPr="0003605F">
        <w:tab/>
        <w:t>kadangi prieš kelis dešimtmečius numanomu abiejų Taivano sąsiaurio pusių susitarimu nustatyta vidurio linija buvo siekiama sumažinti konflikto pavojų, laikant abiejų sąsiaurio pusių karinius orlaivius saugiu atstumu ir taip užkertant kelią lemtingoms apsiskaičiavimo klaidoms; kadangi nuo 1954 m. iki 2020 m. KLR liaudies išlaisvinimo armija tik keturis kartus pažeidė vidurio liniją, tačiau tai, kad dabar įsiveržimai tapo įprasti, rodo, kad Pekinas ketina negrįžtamai pakeisti ilgą laiką galiojusius standartus;</w:t>
      </w:r>
    </w:p>
    <w:p w:rsidR="00A823C4" w:rsidRPr="0003605F" w:rsidRDefault="00A823C4" w:rsidP="00A823C4">
      <w:pPr>
        <w:pStyle w:val="NormalHanging12a"/>
      </w:pPr>
      <w:r w:rsidRPr="0003605F">
        <w:t>R.</w:t>
      </w:r>
      <w:r w:rsidRPr="0003605F">
        <w:tab/>
        <w:t>kadangi Sąjungos vyriausiojo įgaliotinio užsienio reikalams ir saugumo politikai ir JAV Valstybės departamento pranešimuose spaudai dar kartą patvirtinama, kad taika ir stabilumas Taivano sąsiauryje yra strategiškai svarbūs užtikrinant saugumą ir gerovę regione ir pasaulyje; kadangi vyriausiojo įgaliotinio pranešime primenama, kad reikia išlaikyti esamą padėtį Taivano sąsiauryje, priešinamasi bet kokiems vienašaliams veiksmams, kuriais esama padėtis būtų keičiama jėga arba prievarta, taip pat visos šalys raginamos laikytis santūrumo ir vengti bet kokių veiksmų, kurie galėtų dar labiau padidinti įtampą abiejose sąsiaurio pusėse;</w:t>
      </w:r>
    </w:p>
    <w:p w:rsidR="00A823C4" w:rsidRPr="0003605F" w:rsidRDefault="00A823C4" w:rsidP="00A823C4">
      <w:pPr>
        <w:pStyle w:val="NormalHanging12a"/>
      </w:pPr>
      <w:r w:rsidRPr="0003605F">
        <w:lastRenderedPageBreak/>
        <w:t>S.</w:t>
      </w:r>
      <w:r w:rsidRPr="0003605F">
        <w:tab/>
        <w:t>kadangi 2024 m. gegužės 23 d. Kinijos Liaudies Respublika pradėjo karines pratybas „</w:t>
      </w:r>
      <w:proofErr w:type="spellStart"/>
      <w:r w:rsidRPr="0003605F">
        <w:t>Joint</w:t>
      </w:r>
      <w:proofErr w:type="spellEnd"/>
      <w:r w:rsidRPr="0003605F">
        <w:t xml:space="preserve"> Sword-2024A“, kurios vyko praėjus vos kelioms dienoms po Lai </w:t>
      </w:r>
      <w:proofErr w:type="spellStart"/>
      <w:r w:rsidRPr="0003605F">
        <w:t>Ching</w:t>
      </w:r>
      <w:proofErr w:type="spellEnd"/>
      <w:r w:rsidRPr="0003605F">
        <w:t>-te inauguracijos naujuoju Taivano prezidentu;</w:t>
      </w:r>
    </w:p>
    <w:p w:rsidR="00A823C4" w:rsidRPr="0003605F" w:rsidRDefault="00A823C4" w:rsidP="00A823C4">
      <w:pPr>
        <w:pStyle w:val="NormalHanging12a"/>
      </w:pPr>
      <w:r w:rsidRPr="0003605F">
        <w:t>T.</w:t>
      </w:r>
      <w:r w:rsidRPr="0003605F">
        <w:tab/>
        <w:t>kadangi pastaruosius kelerius metus KLR rengė panašias karines pratybas aplink Taivaną; kadangi šios karinės pratybos tapo vis intensyvesnėmis ir buvo perkeliamos vis arčiau Taivano žemyninės dalies; kadangi per ankstesnes pratybas 2022 m. rugpjūčio mėn. Kinijos Liaudies Respublika taip pat paleido raketas į Japonijos išskirtinę ekonominę zoną;</w:t>
      </w:r>
    </w:p>
    <w:p w:rsidR="00A823C4" w:rsidRPr="0003605F" w:rsidRDefault="00A823C4" w:rsidP="00A823C4">
      <w:pPr>
        <w:pStyle w:val="NormalHanging12a"/>
      </w:pPr>
      <w:r w:rsidRPr="0003605F">
        <w:t>U.</w:t>
      </w:r>
      <w:r w:rsidRPr="0003605F">
        <w:tab/>
        <w:t>kadangi, be karinio spaudimo, Kinijos Liaudies Respublika, siekdama pakenkti Taivano demokratinei visuomenei, jau seniai vykdo sudėtingą prieš Taivaną nukreipto užsienio vykdomo manipuliavimo informacija ir kišimosi (FIMI), įskaitant hibridinius ir kibernetinius išpuolius, strategiją;</w:t>
      </w:r>
    </w:p>
    <w:p w:rsidR="00A823C4" w:rsidRPr="0003605F" w:rsidRDefault="00A823C4" w:rsidP="00A823C4">
      <w:pPr>
        <w:pStyle w:val="NormalHanging12a"/>
      </w:pPr>
      <w:r w:rsidRPr="0003605F">
        <w:t>V.</w:t>
      </w:r>
      <w:r w:rsidRPr="0003605F">
        <w:tab/>
        <w:t xml:space="preserve">kadangi </w:t>
      </w:r>
      <w:proofErr w:type="spellStart"/>
      <w:r w:rsidRPr="0003605F">
        <w:t>Xi</w:t>
      </w:r>
      <w:proofErr w:type="spellEnd"/>
      <w:r w:rsidRPr="0003605F">
        <w:t xml:space="preserve"> </w:t>
      </w:r>
      <w:proofErr w:type="spellStart"/>
      <w:r w:rsidRPr="0003605F">
        <w:t>Jinpingo</w:t>
      </w:r>
      <w:proofErr w:type="spellEnd"/>
      <w:r w:rsidRPr="0003605F">
        <w:t xml:space="preserve"> vadovaujama Kinijos Liaudies Respublika yra pareiškusi, kad neatsisakys jėgos naudojimo siekdama susivienijimo su Taivanu;</w:t>
      </w:r>
    </w:p>
    <w:p w:rsidR="00A823C4" w:rsidRPr="0003605F" w:rsidRDefault="00A823C4" w:rsidP="00A823C4">
      <w:pPr>
        <w:pStyle w:val="NormalHanging12a"/>
      </w:pPr>
      <w:r w:rsidRPr="0003605F">
        <w:t>W.</w:t>
      </w:r>
      <w:r w:rsidRPr="0003605F">
        <w:tab/>
        <w:t>kadangi 2005 m. KLR neatsiskyrimo įstatyme numatyta, kad siekiant to, ką KLR vadina „susivienijimu“ su Taivanu, gali būti naudojamos netaikios priemonės, kurių taikymo pradžios kriterijai yra neaiškūs; kadangi tokie kariniai veiksmai kelia didelę grėsmę viso regiono saugumui ir stabilumui ir gali turėti skaudžių pasekmių visame pasaulyje; kadangi ES ir JAV vykdomas atgrasymas yra strategiškai svarbus, kad KLR būtų įtikinta nesiimti jokių vienašalių veiksmų prieš Taivaną;</w:t>
      </w:r>
    </w:p>
    <w:p w:rsidR="00A823C4" w:rsidRPr="0003605F" w:rsidRDefault="00A823C4" w:rsidP="00A823C4">
      <w:pPr>
        <w:pStyle w:val="NormalHanging12a"/>
      </w:pPr>
      <w:r w:rsidRPr="0003605F">
        <w:t>X.</w:t>
      </w:r>
      <w:r w:rsidRPr="0003605F">
        <w:tab/>
        <w:t>kadangi vis agresyvesnis KLR elgesys, visų pirma jos kaimyninėse šalyse, pvz., Taivano sąsiauryje ir Pietų Kinijos jūroje, kelia pavojų regioniniam ir pasauliniam saugumui; kadangi nuo 2019 m. KLR vis dažniau pažeidinėja Taivano oro gynybos atpažinimo zoną; kadangi KLR agresyviai elgiasi didelėse Indijos ir Ramiojo vandenynų regiono teritorijose ir taiko įvairaus masto karinę ar ekonominę prievartą, dėl kurios kilo ginčų su kaimyninėmis šalimis, pvz., Japonija, Indija, Filipinais ir Australija;</w:t>
      </w:r>
    </w:p>
    <w:p w:rsidR="00A823C4" w:rsidRPr="0003605F" w:rsidRDefault="00A823C4" w:rsidP="00A823C4">
      <w:pPr>
        <w:pStyle w:val="NormalHanging12a"/>
      </w:pPr>
      <w:r w:rsidRPr="0003605F">
        <w:t>Y.</w:t>
      </w:r>
      <w:r w:rsidRPr="0003605F">
        <w:tab/>
        <w:t>kadangi ES pasmerkė pavojingus Kinijos pakrančių apsaugos laivų veiksmus prieš teisėtas Filipinų jūrų operacijas Pietų Kinijos jūroje 2024 m. rugpjūčio 31 d.; kadangi šis incidentas yra naujausias epizodas iš virtinės veiksmų, kuriais keliamas pavojus žmogaus gyvybės apsaugai jūroje ir pažeidžiama teisė laisvai vykdyti laivybą ir naudotis oro erdve laikantis tarptautinės teisės; kadangi jūrų saugumas ir laivybos laisvė turi būti užtikrinami vadovaujantis tarptautine teise, visų pirma UNCLOS;</w:t>
      </w:r>
    </w:p>
    <w:p w:rsidR="00A823C4" w:rsidRPr="0003605F" w:rsidRDefault="00A823C4" w:rsidP="00A823C4">
      <w:pPr>
        <w:pStyle w:val="NormalHanging12a"/>
        <w:rPr>
          <w:shd w:val="clear" w:color="auto" w:fill="FFFFFF"/>
        </w:rPr>
      </w:pPr>
      <w:r w:rsidRPr="0003605F">
        <w:t>Z.</w:t>
      </w:r>
      <w:r w:rsidRPr="0003605F">
        <w:tab/>
        <w:t>kadangi KLR remia Rusijos agresijos karą prieš Ukrainą, visų pirma eksportuodama į Rusiją dvejopo naudojimo prekes ir nuolat įtraukdama KLR įsikūrusias bendroves į sankcijų vengimą ir jų apėjimą;</w:t>
      </w:r>
    </w:p>
    <w:p w:rsidR="00A823C4" w:rsidRPr="0003605F" w:rsidRDefault="00A823C4" w:rsidP="00A823C4">
      <w:pPr>
        <w:pStyle w:val="NormalHanging12a"/>
      </w:pPr>
      <w:r w:rsidRPr="0003605F">
        <w:t>AA.</w:t>
      </w:r>
      <w:r w:rsidRPr="0003605F">
        <w:tab/>
        <w:t>kadangi KLR, kaip nuolatinė JT Saugumo Tarybos narė, privalo siekti taikos ir stabilumo regione, visų pirma Taivano sąsiauryje;</w:t>
      </w:r>
    </w:p>
    <w:p w:rsidR="00A823C4" w:rsidRPr="0003605F" w:rsidRDefault="00A823C4" w:rsidP="00A823C4">
      <w:pPr>
        <w:pStyle w:val="NormalHanging12a"/>
      </w:pPr>
      <w:r w:rsidRPr="0003605F">
        <w:t>AB.</w:t>
      </w:r>
      <w:r w:rsidRPr="0003605F">
        <w:tab/>
        <w:t>kadangi ES ir jos valstybės narės, įgyvendindamos savo 2021 m. strategiją dėl bendradarbiavimo Indijos ir Ramiojo vandenynų regione, suaktyvino savo veiklą regione, be kita ko, padidindamos kai kurių valstybių narių karines pajėgas ir toliau plukdydamos karinius laivus per Taivano sąsiaurį;</w:t>
      </w:r>
    </w:p>
    <w:p w:rsidR="00A823C4" w:rsidRPr="0003605F" w:rsidRDefault="00A823C4" w:rsidP="00A823C4">
      <w:pPr>
        <w:pStyle w:val="NormalHanging12a"/>
      </w:pPr>
      <w:r w:rsidRPr="0003605F">
        <w:lastRenderedPageBreak/>
        <w:t>AC.</w:t>
      </w:r>
      <w:r w:rsidRPr="0003605F">
        <w:tab/>
        <w:t>kadangi prekybos požiūriu Taivanas užima strategiškai svarbią vietą, visų pirma aukštųjų technologijų tiekimo grandinėse; kadangi Taivano sąsiauris yra pagrindinis maršrutas laivams, plaukiantiems iš Kinijos, Japonijos, Pietų Korėjos ir Taivano į Europą; kadangi Taivanas dominuoja puslaidininkių gamybos rinkose, nes jo gamintojai pagamina apie 50 proc. puslaidininkių produkcijos pasaulyje; kadangi ES strategijoje dėl bendradarbiavimo Indijos ir Ramiojo vandenynų regione raginama stiprinti bendradarbiavimą su Taivanu prekybos ir investicijų srityje;</w:t>
      </w:r>
    </w:p>
    <w:p w:rsidR="00A823C4" w:rsidRPr="0003605F" w:rsidRDefault="00A823C4" w:rsidP="00A823C4">
      <w:pPr>
        <w:pStyle w:val="NormalHanging12a"/>
      </w:pPr>
      <w:r w:rsidRPr="0003605F">
        <w:t>AD.</w:t>
      </w:r>
      <w:r w:rsidRPr="0003605F">
        <w:tab/>
        <w:t>kadangi ES yra ketvirta pagal prekybos apimtį Taivano partnerė po Kinijos Liaudies Respublikos, Jungtinių Valstijų ir Japonijos; kadangi 2022 m. Taivanas buvo 12 pagal prekybos apimtį ES partneris; kadangi ES yra didžiausias Taivano tiesioginių užsienio investicijų šaltinis; kadangi Taivano investicijos ES tebėra mažesnės už galimą lygį;</w:t>
      </w:r>
    </w:p>
    <w:p w:rsidR="00A823C4" w:rsidRPr="0003605F" w:rsidRDefault="00A823C4" w:rsidP="00A823C4">
      <w:pPr>
        <w:pStyle w:val="NormalHanging12a"/>
      </w:pPr>
      <w:r w:rsidRPr="0003605F">
        <w:t>AE.</w:t>
      </w:r>
      <w:r w:rsidRPr="0003605F">
        <w:tab/>
        <w:t>kadangi Australijos Senato ir Nyderlandų Atstovų Rūmų nariai neseniai priėmė pasiūlymus dėl to, kad KLR iškraipo JT rezoliuciją Nr. 2758, ir paragino remti aktyvesnį Taivano dalyvavimą daugiašalėse organizacijose;</w:t>
      </w:r>
    </w:p>
    <w:p w:rsidR="00A823C4" w:rsidRPr="0003605F" w:rsidRDefault="00A823C4" w:rsidP="00A823C4">
      <w:pPr>
        <w:pStyle w:val="NormalHanging12a"/>
      </w:pPr>
      <w:r w:rsidRPr="0003605F">
        <w:t>1.</w:t>
      </w:r>
      <w:r w:rsidRPr="0003605F">
        <w:tab/>
        <w:t>pakartoja, kad Taivanas yra pagrindinis ES partneris ir panašiai mąstantis demokratinis draugas Indijos ir Ramiojo vandenynų regione; giria Taivaną ir Taivano žmones už jų tvirtą demokratiją ir gyvybingą pilietinę visuomenę, kurias dar kartą paliudijo taikūs ir gerai organizuoti 2024 m. sausio 13 d. rinkimai;</w:t>
      </w:r>
    </w:p>
    <w:p w:rsidR="00A823C4" w:rsidRPr="0003605F" w:rsidRDefault="00A823C4" w:rsidP="00A823C4">
      <w:pPr>
        <w:pStyle w:val="NormalHanging12a"/>
      </w:pPr>
      <w:r w:rsidRPr="0003605F">
        <w:t>2.</w:t>
      </w:r>
      <w:r w:rsidRPr="0003605F">
        <w:tab/>
        <w:t>prieštarauja Kinijos Liaudies Respublika nuolatiniam JT rezoliucijos Nr. 2758 iškraipymui ir jos pastangoms blokuoti Taivano dalyvavimą daugiašalėse organizacijose; ragina ES ir jos valstybes nares remti prasmingą Taivano dalyvavimą atitinkamose tarptautinėse organizacijose, pvz., PSO, ICAO, INTERPOL ir UNFCCC; taip pat ragina JT sekretoriatą suteikti Taivano piliečiams ir žurnalistams teisę patekti į JT patalpas vizitams, susitikimams ir naujienų rinkimui;</w:t>
      </w:r>
    </w:p>
    <w:p w:rsidR="00A823C4" w:rsidRPr="0003605F" w:rsidRDefault="00A823C4" w:rsidP="00A823C4">
      <w:pPr>
        <w:pStyle w:val="NormalHanging12a"/>
      </w:pPr>
      <w:r w:rsidRPr="0003605F">
        <w:t>3.</w:t>
      </w:r>
      <w:r w:rsidRPr="0003605F">
        <w:tab/>
        <w:t xml:space="preserve">griežtai smerkia 2024 m. spalio 14 d. KLR surengtas nepagrįstas karines pratybas, jos nuolatines karines provokacijas prieš Taivaną ir nuolatinį pajėgų telkimą, dėl kurio keičiasi galios pusiausvyra Indijos ir Ramiojo vandenynų regione, ir pakartoja, kad griežtai nepritaria bet kokiam vienašaliam </w:t>
      </w:r>
      <w:r w:rsidRPr="0003605F">
        <w:rPr>
          <w:i/>
          <w:iCs/>
        </w:rPr>
        <w:t>status quo</w:t>
      </w:r>
      <w:r w:rsidRPr="0003605F">
        <w:t xml:space="preserve"> Taivano sąsiauryje pakeitimui; giria Taivano valdžios institucijų savitvardą ir drausmingą reakciją ir ragina ES ir Taivano partnerius reguliariai keistis informacija atitinkamais saugumo klausimais;</w:t>
      </w:r>
    </w:p>
    <w:p w:rsidR="00A823C4" w:rsidRPr="0003605F" w:rsidRDefault="00A823C4" w:rsidP="00A823C4">
      <w:pPr>
        <w:pStyle w:val="NormalHanging12a"/>
      </w:pPr>
      <w:r w:rsidRPr="0003605F">
        <w:t>4.</w:t>
      </w:r>
      <w:r w:rsidRPr="0003605F">
        <w:tab/>
        <w:t xml:space="preserve">dar kartą patvirtina, kad yra tvirtai įsipareigojęs išlaikyti </w:t>
      </w:r>
      <w:r w:rsidRPr="0003605F">
        <w:rPr>
          <w:i/>
          <w:iCs/>
        </w:rPr>
        <w:t>status quo</w:t>
      </w:r>
      <w:r w:rsidRPr="0003605F">
        <w:t xml:space="preserve"> Taivano sąsiauryje; pabrėžia, kad bet koks bandymas vienašališkai pakeisti </w:t>
      </w:r>
      <w:r w:rsidRPr="0003605F">
        <w:rPr>
          <w:i/>
          <w:iCs/>
        </w:rPr>
        <w:t>status quo</w:t>
      </w:r>
      <w:r w:rsidRPr="0003605F">
        <w:t xml:space="preserve"> Taivano sąsiauryje, visų pirma naudojant jėgą ar prievartą, bus nepriimtinas ir į jį bus reaguojama ryžtingai ir griežtai;</w:t>
      </w:r>
    </w:p>
    <w:p w:rsidR="00A823C4" w:rsidRPr="0003605F" w:rsidRDefault="00A823C4" w:rsidP="00A823C4">
      <w:pPr>
        <w:pStyle w:val="NormalHanging12a"/>
      </w:pPr>
      <w:r w:rsidRPr="0003605F">
        <w:t>5.</w:t>
      </w:r>
      <w:r w:rsidRPr="0003605F">
        <w:tab/>
        <w:t>pabrėžia, kad JT rezoliucijoje Nr. 2758 nėra laikomasi jokios pozicijos dėl Taivano; griežtai atmeta Kinijos Liaudies Respublikos bandymus iškreipti istoriją ir tarptautines taisykles ir jiems prieštarauja;</w:t>
      </w:r>
    </w:p>
    <w:p w:rsidR="00A823C4" w:rsidRPr="0003605F" w:rsidRDefault="00A823C4" w:rsidP="00A823C4">
      <w:pPr>
        <w:pStyle w:val="NormalHanging12a"/>
      </w:pPr>
      <w:r w:rsidRPr="0003605F">
        <w:t>6.</w:t>
      </w:r>
      <w:r w:rsidRPr="0003605F">
        <w:tab/>
        <w:t>pakartoja ES įsipareigojimą laikytis „Vienos Kinijos“ politikos, kuri yra ES ir Kinijos santykių politinis pagrindas; primena, kad ES ir Kinijos strategijoje pabrėžiama, jog konstruktyviais abiejose sąsiaurio pusėse esančių šalių santykiais siekiama skatinti taiką ir saugumą visame Azijos ir Ramiojo vandenyno regione ir kad ES remia iniciatyvas, kuriomis siekiama skatinti dialogą ir stiprinti pasitikėjimą;</w:t>
      </w:r>
    </w:p>
    <w:p w:rsidR="00A823C4" w:rsidRPr="0003605F" w:rsidRDefault="00A823C4" w:rsidP="00A823C4">
      <w:pPr>
        <w:pStyle w:val="NormalHanging12a"/>
      </w:pPr>
      <w:r w:rsidRPr="0003605F">
        <w:lastRenderedPageBreak/>
        <w:t>7.</w:t>
      </w:r>
      <w:r w:rsidRPr="0003605F">
        <w:tab/>
        <w:t xml:space="preserve">pabrėžia, kad Taivane žmonės patys demokratiškai sprendžia, kaip jie nori gyventi, ir kad </w:t>
      </w:r>
      <w:r w:rsidRPr="0003605F">
        <w:rPr>
          <w:i/>
          <w:iCs/>
        </w:rPr>
        <w:t>status quo</w:t>
      </w:r>
      <w:r w:rsidRPr="0003605F">
        <w:t xml:space="preserve"> Taivano sąsiauryje negali būti vienašališkai keičiamas naudojant jėgą ar grasinant ja;</w:t>
      </w:r>
    </w:p>
    <w:p w:rsidR="00A823C4" w:rsidRPr="0003605F" w:rsidRDefault="00A823C4" w:rsidP="00A823C4">
      <w:pPr>
        <w:pStyle w:val="NormalHanging12a"/>
      </w:pPr>
      <w:r w:rsidRPr="0003605F">
        <w:t>8.</w:t>
      </w:r>
      <w:r w:rsidRPr="0003605F">
        <w:tab/>
        <w:t xml:space="preserve">dar kartą griežtai smerkia Kinijos prezidento </w:t>
      </w:r>
      <w:proofErr w:type="spellStart"/>
      <w:r w:rsidRPr="0003605F">
        <w:t>Xi</w:t>
      </w:r>
      <w:proofErr w:type="spellEnd"/>
      <w:r w:rsidRPr="0003605F">
        <w:t xml:space="preserve"> </w:t>
      </w:r>
      <w:proofErr w:type="spellStart"/>
      <w:r w:rsidRPr="0003605F">
        <w:t>Jinpingo</w:t>
      </w:r>
      <w:proofErr w:type="spellEnd"/>
      <w:r w:rsidRPr="0003605F">
        <w:t xml:space="preserve"> pareiškimus, kad Kinijos Liaudies Respublika niekada neatsisakys teisės panaudoti jėgą Taivano atžvilgiu; pabrėžia, kad KLR jėgos ar grasinimų naudojimas ar kitos griežtos prievartos priemonės, naudojamos siekiant suvienijimo, yra nesuderinami su tarptautine teise; reiškia didelį susirūpinimą dėl to, kad Kinijos Liaudies Respublika naudoja priešišką dezinformaciją, kad sumažintų pasitikėjimą Taivano demokratija ir valdymu; pakartoja savo ankstesnius </w:t>
      </w:r>
      <w:proofErr w:type="spellStart"/>
      <w:r w:rsidRPr="0003605F">
        <w:t>raginimus</w:t>
      </w:r>
      <w:proofErr w:type="spellEnd"/>
      <w:r w:rsidRPr="0003605F">
        <w:t xml:space="preserve"> ES ir jos valstybėms narėms bendradarbiauti su tarptautiniais partneriais padedant išlaikyti demokratiją Taivane, kad ji būtų apsaugota nuo užsienio kišimosi ir grėsmių; pabrėžia, kad tik demokratiškai išrinkta Taivano vyriausybė gali atstovauti Taivano žmonėms tarptautinėje arenoje;</w:t>
      </w:r>
    </w:p>
    <w:p w:rsidR="00A823C4" w:rsidRPr="0003605F" w:rsidRDefault="00A823C4" w:rsidP="00A823C4">
      <w:pPr>
        <w:pStyle w:val="NormalHanging12a"/>
      </w:pPr>
      <w:r w:rsidRPr="0003605F">
        <w:t>9.</w:t>
      </w:r>
      <w:r w:rsidRPr="0003605F">
        <w:tab/>
        <w:t xml:space="preserve">smerkia sistemingus KLR pilkosios zonos karinius veiksmus, įskaitant kibernetines ir dezinformacijos kampanijas prieš Taivaną, ir primygtinai ragina KLR nedelsiant sustabdyti šią veiklą; atsižvelgdamas į tai, ragina toliau plėtoti ES ir Taivano bendradarbiavimą siekiant stiprinti struktūrizuotą bendradarbiavimą kovos su dezinformacija ir užsienio kišimusi srityje; palankiai vertina ryšių palaikymo pareigūno paskyrimą Europos ekonomikos ir prekybos biurą Taivane, kad jis koordinuotų bendras kovos su dezinformacija ir kišimusi pastangas, nes tai pirmas svarbus žingsnis siekiant glaudesnio ES ir Taivano bendradarbiavimo, ir ragina ES toliau stiprinti bendradarbiavimą su Taivanu šioje svarbioje srityje; žavisi Taivano žmonių drąsa ir proporcinga bei oria Taivano valdžios institucijų ir institucijų reakcija į intensyvėjančius Kinijos </w:t>
      </w:r>
      <w:proofErr w:type="spellStart"/>
      <w:r w:rsidRPr="0003605F">
        <w:t>grasinimus</w:t>
      </w:r>
      <w:proofErr w:type="spellEnd"/>
      <w:r w:rsidRPr="0003605F">
        <w:t xml:space="preserve"> ir veiksmus;</w:t>
      </w:r>
    </w:p>
    <w:p w:rsidR="00A823C4" w:rsidRPr="0003605F" w:rsidRDefault="00A823C4" w:rsidP="00A823C4">
      <w:pPr>
        <w:pStyle w:val="NormalHanging12a"/>
        <w:rPr>
          <w:bCs/>
        </w:rPr>
      </w:pPr>
      <w:r w:rsidRPr="0003605F">
        <w:t>10.</w:t>
      </w:r>
      <w:r w:rsidRPr="0003605F">
        <w:tab/>
        <w:t>griežtai nepritaria Kinijos Liaudies Respublikos ekonominei prievartai prieš Taivaną ir kitas šalis, taip pat prieš ES valstybes nares, ir pabrėžia, kad tokia praktika yra ne tik neteisėta pagal Pasaulio prekybos organizacijos taisykles, bet ir turi pražūtingą poveikį Kinijos reputacijai visame pasaulyje ir dar labiau sumažins pasitikėjimą Kinija kaip atsakinga veikėja; pabrėžia, kad ES ir jos valstybės narės turi nepriklausomą teisę plėtoti santykius su Taivanu vadovaujantis savo interesais ir bendromis demokratijos ir žmogaus teisių vertybėmis be užsienio kišimosi; ragina ES ir valstybių narių misijas užsienyje kovoti su piktavališka KLR verslo praktika ir suteikti jai alternatyvų, ypač globaliuosiuose Pietuose;</w:t>
      </w:r>
    </w:p>
    <w:p w:rsidR="00A823C4" w:rsidRPr="0003605F" w:rsidRDefault="00A823C4" w:rsidP="00A823C4">
      <w:pPr>
        <w:pStyle w:val="NormalHanging12a"/>
      </w:pPr>
      <w:r w:rsidRPr="0003605F">
        <w:t>11.</w:t>
      </w:r>
      <w:r w:rsidRPr="0003605F">
        <w:tab/>
        <w:t>yra labai susirūpinęs dėl 2024 m. birželio mėn. Aukščiausiojo liaudies teismo, Aukščiausiosios liaudies prokuratūros, Viešojo saugumo ir valstybės saugumo ministerijų bei Teisingumo ministerijos bendrai paskelbtų taip vadinamų gairių, kaip bausti „užkietėjusius Taivano nepriklausomybės separatistus“ už atsiskyrimo nusikaltimų vykdymą ir separatizmo kurstymą, pagal kurias už atsiskyrimo nusikaltimą galėtų būti taikomos griežtos bausmės, įskaitant mirties bausmę; griežtai smerkia tai, kad 2024 m. rugsėjo mėn. vienas Taivano aktyvistas buvo nuteistas devyneriems metams kalėjimo po to, kai 2022 m. jis buvo suimtas Kinijos Liaudies Respublikoje, taip pat nuolatinį Taivano žmonių, dirbančių ir gyvenančių Kinijos Liaudies Respublikoje, persekiojimą;</w:t>
      </w:r>
    </w:p>
    <w:p w:rsidR="00A823C4" w:rsidRPr="0003605F" w:rsidRDefault="00A823C4" w:rsidP="00A823C4">
      <w:pPr>
        <w:pStyle w:val="NormalHanging12a"/>
      </w:pPr>
      <w:r w:rsidRPr="0003605F">
        <w:t>12.</w:t>
      </w:r>
      <w:r w:rsidRPr="0003605F">
        <w:tab/>
        <w:t xml:space="preserve">yra labai susirūpinęs dėl padėties Rytų ir Pietų Kinijos jūrose; primena, kad svarbu gerbti tarptautinę teisę, įskaitant UNCLOS ir visų pirma jos nuostatas dėl įsipareigojimo ginčus spręsti taikiomis priemonėmis ir laivybos bei naudojimosi oro erdve laisvės </w:t>
      </w:r>
      <w:r w:rsidRPr="0003605F">
        <w:lastRenderedPageBreak/>
        <w:t xml:space="preserve">išlaikymo; ragina visas valstybes, kurios to nepadarė, skubiai ratifikuoti UNCLOS; ragina ES ir jos valstybes nares sustiprinti savo jūrinius </w:t>
      </w:r>
      <w:proofErr w:type="spellStart"/>
      <w:r w:rsidRPr="0003605F">
        <w:t>pajėgumus</w:t>
      </w:r>
      <w:proofErr w:type="spellEnd"/>
      <w:r w:rsidRPr="0003605F">
        <w:t xml:space="preserve"> regione; primena KLR apie jos, kaip nuolatinės JT Saugumo Tarybos narės, pareigą laikytis tarptautinės teisės ir pabrėžia pareigą ginčus spręsti taikiai;</w:t>
      </w:r>
    </w:p>
    <w:p w:rsidR="00A823C4" w:rsidRPr="0003605F" w:rsidRDefault="00A823C4" w:rsidP="00A823C4">
      <w:pPr>
        <w:pStyle w:val="NormalHanging12a"/>
      </w:pPr>
      <w:r w:rsidRPr="0003605F">
        <w:t>13.</w:t>
      </w:r>
      <w:r w:rsidRPr="0003605F">
        <w:tab/>
        <w:t xml:space="preserve">dar kartą patvirtina gilų susirūpinimą dėl didėjančių Kinijos karinių investicijų ir </w:t>
      </w:r>
      <w:proofErr w:type="spellStart"/>
      <w:r w:rsidRPr="0003605F">
        <w:t>pajėgumų</w:t>
      </w:r>
      <w:proofErr w:type="spellEnd"/>
      <w:r w:rsidRPr="0003605F">
        <w:t xml:space="preserve">; reiškia didelį susirūpinimą dėl atnaujinto Kinijos ir Rusijos įsipareigojimo toliau stiprinti karinius tarpusavio ryšius ir smerkia tai, kad Kinija tiekia komponentus ir įrangą Maskvos karinei pramonei; palankiai vertina Tarybos sprendimą taikyti sankcijas Kinijos įmonėms už Rusijos karo prieš Ukrainą rėmimą; smerkia Rusijos ir KLR partnerystę „be ribų“; palankiai vertina didinamus JAV įsipareigojimus ir didinamas karines pajėgas Indijos ir Ramiojo vandenynų regione; pakartoja savo </w:t>
      </w:r>
      <w:proofErr w:type="spellStart"/>
      <w:r w:rsidRPr="0003605F">
        <w:t>raginimus</w:t>
      </w:r>
      <w:proofErr w:type="spellEnd"/>
      <w:r w:rsidRPr="0003605F">
        <w:t xml:space="preserve"> koordinuotai stiprinti ES ir JAV bendradarbiavimą saugumo klausimais, be kita ko vykdant transatlantinį parlamentinį dialogą;</w:t>
      </w:r>
    </w:p>
    <w:p w:rsidR="00A823C4" w:rsidRPr="0003605F" w:rsidRDefault="00A823C4" w:rsidP="00A823C4">
      <w:pPr>
        <w:pStyle w:val="NormalHanging12a"/>
      </w:pPr>
      <w:r w:rsidRPr="0003605F">
        <w:t>14.</w:t>
      </w:r>
      <w:r w:rsidRPr="0003605F">
        <w:tab/>
        <w:t>labai palankiai vertina glaudų Taivano bendradarbiavimą ir prisijungimą prie ES ir JAV reaguojant į Rusijos karą prieš Ukrainą bei sankcijų skyrimą reaguojant į šį akivaizdų tarptautinės teisės pažeidimą; primena, kad Taivanas teikė pagalbą sprendžiant humanitarinę krizę, kilusią dėl Rusijos agresijos karo prieš Ukrainą, ir kad jis palaiko ryšius su Ukrainos vyriausybe ir šalimis, priimančiomis Ukrainos pabėgėlius, ir jas remia;</w:t>
      </w:r>
    </w:p>
    <w:p w:rsidR="00A823C4" w:rsidRPr="0003605F" w:rsidRDefault="00A823C4" w:rsidP="00A823C4">
      <w:pPr>
        <w:pStyle w:val="NormalHanging12a"/>
      </w:pPr>
      <w:r w:rsidRPr="0003605F">
        <w:t>15.</w:t>
      </w:r>
      <w:r w:rsidRPr="0003605F">
        <w:tab/>
        <w:t xml:space="preserve">pabrėžia, kad įvairūs Kinijos Liaudies Respublikos veiksmai kognityvinio ir teisinio karo srityje pamažu naikina </w:t>
      </w:r>
      <w:r w:rsidRPr="0003605F">
        <w:rPr>
          <w:i/>
          <w:iCs/>
        </w:rPr>
        <w:t>status quo</w:t>
      </w:r>
      <w:r w:rsidRPr="0003605F">
        <w:t>, taip pat intensyvėja „pilkosios zonos“ veikla, kuria siekiama apeiti aptikimą, galiojančius įstatymus ir reagavimo ribas; ragina ES nustatyti raudonąsias linijas ir užtikrinti jų laikymąsi pasitelkiant savo sankcijų, įskaitant sektorines sankcijas, rinkinį prieš hibridinę veiklą ir kibernetines grėsmes, taip pat koordinuoti griežtas diplomatines ir ekonomines atgrasymo priemones su panašiai mąstančiais partneriais;</w:t>
      </w:r>
    </w:p>
    <w:p w:rsidR="00A823C4" w:rsidRPr="0003605F" w:rsidRDefault="00A823C4" w:rsidP="00A823C4">
      <w:pPr>
        <w:pStyle w:val="NormalHanging12a"/>
      </w:pPr>
      <w:r w:rsidRPr="0003605F">
        <w:t>16.</w:t>
      </w:r>
      <w:r w:rsidRPr="0003605F">
        <w:tab/>
        <w:t>reiškia padėką už Taivano pagalbą ir paramą COVID-19 pandemijos metu;</w:t>
      </w:r>
    </w:p>
    <w:p w:rsidR="00A823C4" w:rsidRPr="0003605F" w:rsidRDefault="00A823C4" w:rsidP="00A823C4">
      <w:pPr>
        <w:pStyle w:val="NormalHanging12a"/>
      </w:pPr>
      <w:r w:rsidRPr="0003605F">
        <w:t>17.</w:t>
      </w:r>
      <w:r w:rsidRPr="0003605F">
        <w:tab/>
        <w:t>pripažįsta, koks svarbus Taivanas užtikrinant pasaulines tiekimo grandines, visų pirma aukštųjų technologijų sektoriuje, kuriame Taivanas yra pirmaujantis puslaidininkių gamintojas, ir ragina ES bei jos valstybes nares glaudžiau bendradarbiauti su Taivanu;</w:t>
      </w:r>
    </w:p>
    <w:p w:rsidR="00A823C4" w:rsidRPr="0003605F" w:rsidRDefault="00A823C4" w:rsidP="00A823C4">
      <w:pPr>
        <w:pStyle w:val="NormalHanging12a"/>
      </w:pPr>
      <w:r w:rsidRPr="0003605F">
        <w:t>18.</w:t>
      </w:r>
      <w:r w:rsidRPr="0003605F">
        <w:tab/>
        <w:t>ragina Komisiją nedelsiant pradėti įgyvendinti parengiamąsias priemones deryboms dėl dvišalio investicijų susitarimo ir kitų rūšių susitarimų su Taivanu; pabrėžia bendradarbiavimo galimybes tiesioginių užsienio investicijų tikrinimo politikos srityje ir kovojant su ekonomine prievarta ir atsakomaisiais veiksmais;</w:t>
      </w:r>
    </w:p>
    <w:p w:rsidR="00A823C4" w:rsidRPr="0003605F" w:rsidRDefault="00A823C4" w:rsidP="00A823C4">
      <w:pPr>
        <w:pStyle w:val="NormalHanging12a"/>
      </w:pPr>
      <w:r w:rsidRPr="0003605F">
        <w:t>19.</w:t>
      </w:r>
      <w:r w:rsidRPr="0003605F">
        <w:tab/>
        <w:t>palankiai vertina tai, kad kelios ES šalys, įskaitant Prancūziją, Nyderlandus ir Vokietiją, dažniau rengia laivybos laisvės pratybas; pažymi, kad ši veikla atitinka tarptautinę teisę, ir ragina labiau bendradarbiauti ir koordinuoti veiksmus su regioniniais partneriais, kad būtų padidintas laivybos laisvės operacijų skaičius regione;</w:t>
      </w:r>
    </w:p>
    <w:p w:rsidR="00A823C4" w:rsidRPr="0003605F" w:rsidRDefault="00A823C4" w:rsidP="00A823C4">
      <w:pPr>
        <w:pStyle w:val="NormalHanging12a"/>
      </w:pPr>
      <w:r w:rsidRPr="0003605F">
        <w:t>20.</w:t>
      </w:r>
      <w:r w:rsidRPr="0003605F">
        <w:tab/>
        <w:t xml:space="preserve">palankiai vertina buvusių ir esamų Taivano politikų vizitus į Europą, įskaitant neseniai, 2024 m. spalio 17 d., įvykusį buvusios Taivano prezidentės </w:t>
      </w:r>
      <w:proofErr w:type="spellStart"/>
      <w:r w:rsidRPr="0003605F">
        <w:t>Tsai</w:t>
      </w:r>
      <w:proofErr w:type="spellEnd"/>
      <w:r w:rsidRPr="0003605F">
        <w:t xml:space="preserve"> </w:t>
      </w:r>
      <w:proofErr w:type="spellStart"/>
      <w:r w:rsidRPr="0003605F">
        <w:t>Ing-wen</w:t>
      </w:r>
      <w:proofErr w:type="spellEnd"/>
      <w:r w:rsidRPr="0003605F">
        <w:t xml:space="preserve"> vizitą Europos Parlamente; be to, palankiai vertina tolesnius savo Parlamento narių ir Taivano atstovų mainus ir skatina tolesnius oficialių Europos Parlamento delegacijų vizitus į Taivaną; taip pat skatina tolesnius ES ir Taivano atstovų mainus visais lygmenimis, įskaitant </w:t>
      </w:r>
      <w:r w:rsidRPr="0003605F">
        <w:lastRenderedPageBreak/>
        <w:t>politinius susitikimus ir tiesioginius žmonių ryšius;</w:t>
      </w:r>
    </w:p>
    <w:p w:rsidR="00A823C4" w:rsidRPr="0003605F" w:rsidRDefault="00A823C4" w:rsidP="00A823C4">
      <w:pPr>
        <w:pStyle w:val="NormalHanging12a"/>
      </w:pPr>
      <w:r w:rsidRPr="0003605F">
        <w:t>21.</w:t>
      </w:r>
      <w:r w:rsidRPr="0003605F">
        <w:tab/>
        <w:t>atsižvelgdamas į tai, ragina stiprinti ekonominę, mokslinę ir kultūrinę sąveiką ir mainus, be kita ko, daugiausia dėmesio skiriant jaunimui, akademinei bendruomenei, pilietinei visuomenei, sportui, kultūrai ir švietimui, taip pat miestų ir regionų partnerystei; pakartoja savo raginimą valstybėms narėms pradėti prasmingą ir struktūrinį techninį bendradarbiavimą su Taivano nacionaline priešgaisrine agentūra ir Nacionaline policijos agentūra bei vietos administravimo institucijomis civilinės saugos ir nelaimių valdymo srityje;</w:t>
      </w:r>
    </w:p>
    <w:p w:rsidR="00E365E1" w:rsidRPr="0003605F" w:rsidRDefault="00A823C4" w:rsidP="00616B56">
      <w:pPr>
        <w:ind w:left="567" w:hanging="567"/>
      </w:pPr>
      <w:r w:rsidRPr="0003605F">
        <w:t>22.</w:t>
      </w:r>
      <w:r w:rsidRPr="0003605F">
        <w:tab/>
        <w:t>paveda Pirmininkei perduoti šią rezoliuciją Tarybai, Komisijai, Sąjungos vyriausiajam įgaliotiniui užsienio reikalams ir saugumo politikai ir Komisijos pirmininko pavaduotojui bei Taivano ir Kinijos Liaudies Respublikos vyriausybėms.</w:t>
      </w:r>
      <w:bookmarkStart w:id="8" w:name="TextBodyEnd"/>
      <w:bookmarkEnd w:id="8"/>
    </w:p>
    <w:sectPr w:rsidR="00E365E1" w:rsidRPr="0003605F" w:rsidSect="000360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65F" w:rsidRPr="0003605F" w:rsidRDefault="0005765F">
      <w:r w:rsidRPr="0003605F">
        <w:separator/>
      </w:r>
    </w:p>
  </w:endnote>
  <w:endnote w:type="continuationSeparator" w:id="0">
    <w:p w:rsidR="0005765F" w:rsidRPr="0003605F" w:rsidRDefault="0005765F">
      <w:r w:rsidRPr="000360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60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60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60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65F" w:rsidRPr="0003605F" w:rsidRDefault="0005765F">
      <w:r w:rsidRPr="0003605F">
        <w:separator/>
      </w:r>
    </w:p>
  </w:footnote>
  <w:footnote w:type="continuationSeparator" w:id="0">
    <w:p w:rsidR="0005765F" w:rsidRPr="0003605F" w:rsidRDefault="0005765F">
      <w:r w:rsidRPr="0003605F">
        <w:continuationSeparator/>
      </w:r>
    </w:p>
  </w:footnote>
  <w:footnote w:id="1">
    <w:p w:rsidR="00A823C4" w:rsidRPr="0003605F" w:rsidRDefault="00A823C4" w:rsidP="0003605F">
      <w:pPr>
        <w:pStyle w:val="FootnoteText"/>
        <w:ind w:left="567" w:hanging="567"/>
        <w:rPr>
          <w:sz w:val="24"/>
          <w:lang w:val="lt-LT"/>
        </w:rPr>
      </w:pPr>
      <w:r w:rsidRPr="0003605F">
        <w:rPr>
          <w:rStyle w:val="FootnoteReference"/>
          <w:sz w:val="24"/>
          <w:lang w:val="lt-LT"/>
        </w:rPr>
        <w:footnoteRef/>
      </w:r>
      <w:r w:rsidR="0003605F" w:rsidRPr="0003605F">
        <w:rPr>
          <w:sz w:val="24"/>
          <w:lang w:val="lt-LT"/>
        </w:rPr>
        <w:t xml:space="preserve"> </w:t>
      </w:r>
      <w:r w:rsidR="0003605F" w:rsidRPr="0003605F">
        <w:rPr>
          <w:sz w:val="24"/>
          <w:lang w:val="lt-LT"/>
        </w:rPr>
        <w:tab/>
      </w:r>
      <w:r w:rsidRPr="0003605F">
        <w:rPr>
          <w:sz w:val="24"/>
          <w:lang w:val="lt-LT"/>
        </w:rPr>
        <w:t>OL C 117, 2022 3 11, p. 40.</w:t>
      </w:r>
    </w:p>
  </w:footnote>
  <w:footnote w:id="2">
    <w:p w:rsidR="00A823C4" w:rsidRPr="0003605F" w:rsidRDefault="00A823C4" w:rsidP="0003605F">
      <w:pPr>
        <w:pStyle w:val="FootnoteText"/>
        <w:ind w:left="567" w:hanging="567"/>
        <w:rPr>
          <w:sz w:val="24"/>
          <w:lang w:val="lt-LT"/>
        </w:rPr>
      </w:pPr>
      <w:r w:rsidRPr="0003605F">
        <w:rPr>
          <w:rStyle w:val="FootnoteReference"/>
          <w:sz w:val="24"/>
          <w:lang w:val="lt-LT"/>
        </w:rPr>
        <w:footnoteRef/>
      </w:r>
      <w:r w:rsidR="0003605F" w:rsidRPr="0003605F">
        <w:rPr>
          <w:sz w:val="24"/>
          <w:lang w:val="lt-LT"/>
        </w:rPr>
        <w:t xml:space="preserve"> </w:t>
      </w:r>
      <w:r w:rsidR="0003605F" w:rsidRPr="0003605F">
        <w:rPr>
          <w:sz w:val="24"/>
          <w:lang w:val="lt-LT"/>
        </w:rPr>
        <w:tab/>
      </w:r>
      <w:r w:rsidRPr="0003605F">
        <w:rPr>
          <w:sz w:val="24"/>
          <w:lang w:val="lt-LT"/>
        </w:rPr>
        <w:t>OL C 184, 2022 5 5, p. 170.</w:t>
      </w:r>
    </w:p>
  </w:footnote>
  <w:footnote w:id="3">
    <w:p w:rsidR="00A823C4" w:rsidRPr="0003605F" w:rsidRDefault="00A823C4" w:rsidP="0003605F">
      <w:pPr>
        <w:pStyle w:val="FootnoteText"/>
        <w:ind w:left="567" w:hanging="567"/>
        <w:rPr>
          <w:sz w:val="24"/>
          <w:lang w:val="lt-LT"/>
        </w:rPr>
      </w:pPr>
      <w:r w:rsidRPr="0003605F">
        <w:rPr>
          <w:rStyle w:val="FootnoteReference"/>
          <w:sz w:val="24"/>
          <w:lang w:val="lt-LT"/>
        </w:rPr>
        <w:footnoteRef/>
      </w:r>
      <w:r w:rsidR="0003605F" w:rsidRPr="0003605F">
        <w:rPr>
          <w:sz w:val="24"/>
          <w:lang w:val="lt-LT"/>
        </w:rPr>
        <w:t xml:space="preserve"> </w:t>
      </w:r>
      <w:r w:rsidR="0003605F" w:rsidRPr="0003605F">
        <w:rPr>
          <w:sz w:val="24"/>
          <w:lang w:val="lt-LT"/>
        </w:rPr>
        <w:tab/>
      </w:r>
      <w:r w:rsidRPr="0003605F">
        <w:rPr>
          <w:sz w:val="24"/>
          <w:lang w:val="lt-LT"/>
        </w:rPr>
        <w:t>OL C 493, 2022 12 27, p. 32.</w:t>
      </w:r>
    </w:p>
  </w:footnote>
  <w:footnote w:id="4">
    <w:p w:rsidR="00A823C4" w:rsidRPr="0003605F" w:rsidRDefault="00A823C4" w:rsidP="0003605F">
      <w:pPr>
        <w:pStyle w:val="FootnoteText"/>
        <w:ind w:left="567" w:hanging="567"/>
        <w:rPr>
          <w:sz w:val="24"/>
          <w:lang w:val="lt-LT"/>
        </w:rPr>
      </w:pPr>
      <w:r w:rsidRPr="0003605F">
        <w:rPr>
          <w:rStyle w:val="FootnoteReference"/>
          <w:sz w:val="24"/>
          <w:lang w:val="lt-LT"/>
        </w:rPr>
        <w:footnoteRef/>
      </w:r>
      <w:r w:rsidR="0003605F" w:rsidRPr="0003605F">
        <w:rPr>
          <w:sz w:val="24"/>
          <w:lang w:val="lt-LT"/>
        </w:rPr>
        <w:t xml:space="preserve"> </w:t>
      </w:r>
      <w:r w:rsidR="0003605F" w:rsidRPr="0003605F">
        <w:rPr>
          <w:sz w:val="24"/>
          <w:lang w:val="lt-LT"/>
        </w:rPr>
        <w:tab/>
      </w:r>
      <w:r w:rsidRPr="0003605F">
        <w:rPr>
          <w:sz w:val="24"/>
          <w:lang w:val="lt-LT"/>
        </w:rPr>
        <w:t>OL C 125, 2023 4 5, p. 149.</w:t>
      </w:r>
    </w:p>
  </w:footnote>
  <w:footnote w:id="5">
    <w:p w:rsidR="00A823C4" w:rsidRPr="0003605F" w:rsidRDefault="00A823C4" w:rsidP="0003605F">
      <w:pPr>
        <w:pStyle w:val="FootnoteText"/>
        <w:ind w:left="567" w:hanging="567"/>
        <w:rPr>
          <w:sz w:val="24"/>
          <w:lang w:val="lt-LT"/>
        </w:rPr>
      </w:pPr>
      <w:r w:rsidRPr="0003605F">
        <w:rPr>
          <w:rStyle w:val="FootnoteReference"/>
          <w:sz w:val="24"/>
          <w:lang w:val="lt-LT"/>
        </w:rPr>
        <w:footnoteRef/>
      </w:r>
      <w:r w:rsidR="0003605F" w:rsidRPr="0003605F">
        <w:rPr>
          <w:sz w:val="24"/>
          <w:lang w:val="lt-LT"/>
        </w:rPr>
        <w:t xml:space="preserve"> </w:t>
      </w:r>
      <w:r w:rsidR="0003605F" w:rsidRPr="0003605F">
        <w:rPr>
          <w:sz w:val="24"/>
          <w:lang w:val="lt-LT"/>
        </w:rPr>
        <w:tab/>
      </w:r>
      <w:r w:rsidRPr="0003605F">
        <w:rPr>
          <w:sz w:val="24"/>
          <w:lang w:val="lt-LT"/>
        </w:rPr>
        <w:t xml:space="preserve">OL C, C/2024/4174, 2024 8 2, ELI: </w:t>
      </w:r>
      <w:hyperlink r:id="rId1" w:history="1">
        <w:r w:rsidRPr="0003605F">
          <w:rPr>
            <w:rStyle w:val="Hyperlink"/>
            <w:sz w:val="24"/>
            <w:lang w:val="lt-LT"/>
          </w:rPr>
          <w:t>http://data.europa.eu/eli/C/2024/4174/oj</w:t>
        </w:r>
      </w:hyperlink>
      <w:r w:rsidRPr="0003605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60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60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60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ir 0140/2024"/>
    <w:docVar w:name="dvlangue" w:val="LT"/>
    <w:docVar w:name="dvnumam" w:val="0"/>
    <w:docVar w:name="dvpe" w:val="764.114"/>
    <w:docVar w:name="dvtitre" w:val="Europos Parlamento rezoliucija dėl klaidingai Kinijos Liaudies Respublikos interpretuojamos JT rezoliucijos Nr. 2758 ir nuolat šios šalies vykdomų karinių provokacijų prieš Taivaną(2024/2891(RSP))"/>
  </w:docVars>
  <w:rsids>
    <w:rsidRoot w:val="0005765F"/>
    <w:rsid w:val="00002272"/>
    <w:rsid w:val="0003605F"/>
    <w:rsid w:val="0005765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F41"/>
    <w:rsid w:val="004C5D52"/>
    <w:rsid w:val="004D6FA6"/>
    <w:rsid w:val="0050519A"/>
    <w:rsid w:val="005072A1"/>
    <w:rsid w:val="00514517"/>
    <w:rsid w:val="00545827"/>
    <w:rsid w:val="00560270"/>
    <w:rsid w:val="005C2568"/>
    <w:rsid w:val="005C4FE8"/>
    <w:rsid w:val="005F1B17"/>
    <w:rsid w:val="006037C0"/>
    <w:rsid w:val="00616B5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3C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77E4E"/>
  <w15:chartTrackingRefBased/>
  <w15:docId w15:val="{82C54AD8-4A49-45A4-975B-FB287D8C8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823C4"/>
    <w:pPr>
      <w:spacing w:after="240"/>
      <w:ind w:left="567" w:hanging="567"/>
    </w:pPr>
  </w:style>
  <w:style w:type="paragraph" w:customStyle="1" w:styleId="EPComma">
    <w:name w:val="EPComma"/>
    <w:basedOn w:val="Normal"/>
    <w:rsid w:val="00A823C4"/>
    <w:pPr>
      <w:spacing w:before="480" w:after="240"/>
    </w:pPr>
  </w:style>
  <w:style w:type="character" w:customStyle="1" w:styleId="NormalHanging12aChar">
    <w:name w:val="NormalHanging12a Char"/>
    <w:basedOn w:val="DefaultParagraphFont"/>
    <w:link w:val="NormalHanging12a"/>
    <w:rsid w:val="00A823C4"/>
    <w:rPr>
      <w:sz w:val="24"/>
      <w:lang w:val="lt-LT"/>
    </w:rPr>
  </w:style>
  <w:style w:type="character" w:styleId="Hyperlink">
    <w:name w:val="Hyperlink"/>
    <w:basedOn w:val="DefaultParagraphFont"/>
    <w:rsid w:val="00A823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5DD2E-95FF-4F47-855F-77129A322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3198</Words>
  <Characters>21383</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2024-11-15T08:44:00Z</dcterms:created>
  <dcterms:modified xsi:type="dcterms:W3CDTF">2024-11-15T08:44:00Z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B10-0134, 0135, 0137, 0138 ir 0140/2024</vt:lpwstr>
  </property>
  <property fmtid="{D5CDD505-2E9C-101B-9397-08002B2CF9AE}" pid="4" name="&lt;Type&gt;">
    <vt:lpwstr>RR</vt:lpwstr>
  </property>
</Properties>
</file>