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1CED" w:rsidTr="0010095E">
        <w:trPr>
          <w:trHeight w:hRule="exact" w:val="1418"/>
        </w:trPr>
        <w:tc>
          <w:tcPr>
            <w:tcW w:w="6804" w:type="dxa"/>
            <w:shd w:val="clear" w:color="auto" w:fill="auto"/>
            <w:vAlign w:val="center"/>
          </w:tcPr>
          <w:p w:rsidR="00751A4A" w:rsidRPr="00EC1CED" w:rsidRDefault="00A609FC" w:rsidP="0010095E">
            <w:pPr>
              <w:pStyle w:val="EPName"/>
            </w:pPr>
            <w:r w:rsidRPr="00EC1CED">
              <w:t>Eiropas Parlaments</w:t>
            </w:r>
          </w:p>
          <w:p w:rsidR="00751A4A" w:rsidRPr="00EC1CED" w:rsidRDefault="005F1B17" w:rsidP="005F1B17">
            <w:pPr>
              <w:pStyle w:val="EPTerm"/>
              <w:rPr>
                <w:rStyle w:val="HideTWBExt"/>
                <w:noProof w:val="0"/>
                <w:vanish w:val="0"/>
                <w:color w:val="auto"/>
              </w:rPr>
            </w:pPr>
            <w:r w:rsidRPr="00EC1CED">
              <w:t>2024</w:t>
            </w:r>
            <w:r w:rsidR="00817416" w:rsidRPr="00EC1CED">
              <w:t>-202</w:t>
            </w:r>
            <w:r w:rsidRPr="00EC1CED">
              <w:t>9</w:t>
            </w:r>
          </w:p>
        </w:tc>
        <w:tc>
          <w:tcPr>
            <w:tcW w:w="2268" w:type="dxa"/>
            <w:shd w:val="clear" w:color="auto" w:fill="auto"/>
          </w:tcPr>
          <w:p w:rsidR="00751A4A" w:rsidRPr="00EC1CED" w:rsidRDefault="00187494" w:rsidP="0010095E">
            <w:pPr>
              <w:pStyle w:val="EPLogo"/>
            </w:pPr>
            <w:r w:rsidRPr="00EC1CED">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C1CED" w:rsidRDefault="00D058B8" w:rsidP="004C5D52">
      <w:pPr>
        <w:pStyle w:val="LineTop"/>
      </w:pPr>
    </w:p>
    <w:p w:rsidR="00680577" w:rsidRPr="00EC1CED" w:rsidRDefault="00A609FC" w:rsidP="00680577">
      <w:pPr>
        <w:pStyle w:val="EPBodyTA1"/>
      </w:pPr>
      <w:r w:rsidRPr="00EC1CED">
        <w:t>PIEŅEMTIE TEKSTI</w:t>
      </w:r>
    </w:p>
    <w:p w:rsidR="00D058B8" w:rsidRPr="00EC1CED" w:rsidRDefault="00D058B8" w:rsidP="00D058B8">
      <w:pPr>
        <w:pStyle w:val="LineBottom"/>
      </w:pPr>
    </w:p>
    <w:p w:rsidR="00A609FC" w:rsidRPr="00EC1CED" w:rsidRDefault="00A609FC" w:rsidP="00A609FC">
      <w:pPr>
        <w:pStyle w:val="ATHeading1"/>
      </w:pPr>
      <w:bookmarkStart w:id="0" w:name="TANumber"/>
      <w:r w:rsidRPr="00EC1CED">
        <w:t>P10_TA(2024)00</w:t>
      </w:r>
      <w:r w:rsidR="004574CF">
        <w:t>3</w:t>
      </w:r>
      <w:r w:rsidRPr="00EC1CED">
        <w:t>0</w:t>
      </w:r>
      <w:bookmarkEnd w:id="0"/>
    </w:p>
    <w:p w:rsidR="00A609FC" w:rsidRPr="00EC1CED" w:rsidRDefault="00A609FC" w:rsidP="00A609FC">
      <w:pPr>
        <w:pStyle w:val="ATHeading2"/>
      </w:pPr>
      <w:bookmarkStart w:id="1" w:name="title"/>
      <w:r w:rsidRPr="00EC1CED">
        <w:t>Ķīnas Tautas Republikas nepareizā ANO Rezolūcijas Nr. 2758 interpretācija un tās pastāvīgās</w:t>
      </w:r>
      <w:r w:rsidR="00CF6AA6">
        <w:t xml:space="preserve"> </w:t>
      </w:r>
      <w:r w:rsidRPr="00EC1CED">
        <w:t>militārās provokācijas pie Taivānas krastiem</w:t>
      </w:r>
      <w:bookmarkEnd w:id="1"/>
    </w:p>
    <w:p w:rsidR="00A609FC" w:rsidRPr="00EC1CED" w:rsidRDefault="00CF6AA6" w:rsidP="00A609FC">
      <w:pPr>
        <w:rPr>
          <w:i/>
          <w:vanish/>
        </w:rPr>
      </w:pPr>
      <w:r w:rsidRPr="004D3497">
        <w:rPr>
          <w:i/>
        </w:rPr>
        <w:fldChar w:fldCharType="begin"/>
      </w:r>
      <w:r w:rsidRPr="004D3497">
        <w:rPr>
          <w:i/>
        </w:rPr>
        <w:instrText xml:space="preserve"> TC"(B10-0134</w:instrText>
      </w:r>
      <w:r>
        <w:rPr>
          <w:i/>
        </w:rPr>
        <w:instrText>, 0135, 0137, 0138 un 0140</w:instrText>
      </w:r>
      <w:r w:rsidRPr="004D3497">
        <w:rPr>
          <w:i/>
        </w:rPr>
        <w:instrText xml:space="preserve">/2024)"\l3 \n&gt; \* MERGEFORMAT </w:instrText>
      </w:r>
      <w:r w:rsidRPr="004D3497">
        <w:rPr>
          <w:i/>
        </w:rPr>
        <w:fldChar w:fldCharType="end"/>
      </w:r>
    </w:p>
    <w:p w:rsidR="00A609FC" w:rsidRPr="00EC1CED" w:rsidRDefault="00A609FC" w:rsidP="00A609FC">
      <w:pPr>
        <w:rPr>
          <w:vanish/>
        </w:rPr>
      </w:pPr>
      <w:bookmarkStart w:id="2" w:name="PE"/>
      <w:r w:rsidRPr="00EC1CED">
        <w:rPr>
          <w:vanish/>
        </w:rPr>
        <w:t>PE764.114</w:t>
      </w:r>
      <w:bookmarkEnd w:id="2"/>
    </w:p>
    <w:p w:rsidR="00153029" w:rsidRPr="00EC1CED" w:rsidRDefault="00A609FC" w:rsidP="00CF6AA6">
      <w:pPr>
        <w:pStyle w:val="ATHeading3"/>
      </w:pPr>
      <w:bookmarkStart w:id="3" w:name="Sujet"/>
      <w:r w:rsidRPr="00EC1CED">
        <w:t xml:space="preserve">Eiropas Parlamenta 2024. gada </w:t>
      </w:r>
      <w:r w:rsidR="00CF6AA6">
        <w:t>24</w:t>
      </w:r>
      <w:r w:rsidRPr="00EC1CED">
        <w:t xml:space="preserve">. </w:t>
      </w:r>
      <w:r w:rsidR="00CF6AA6">
        <w:t>oktobra</w:t>
      </w:r>
      <w:r w:rsidRPr="00EC1CED">
        <w:t xml:space="preserve"> rezolūcija par Ķīnas Tautas Republikas nepareizo ANO Rezolūcijas Nr. 2758 interpretāciju un tās pastāvīgajām militārajām provokācijām pie Taivānas krastiem</w:t>
      </w:r>
      <w:bookmarkEnd w:id="3"/>
      <w:r w:rsidRPr="00EC1CED">
        <w:t xml:space="preserve"> </w:t>
      </w:r>
      <w:bookmarkStart w:id="4" w:name="References"/>
      <w:r w:rsidRPr="00EC1CED">
        <w:t>(2024/2891(RSP))</w:t>
      </w:r>
      <w:bookmarkStart w:id="5" w:name="TextBodyBegin"/>
      <w:bookmarkEnd w:id="4"/>
      <w:bookmarkEnd w:id="5"/>
    </w:p>
    <w:p w:rsidR="00153029" w:rsidRPr="00EC1CED" w:rsidRDefault="00153029" w:rsidP="00153029">
      <w:pPr>
        <w:pStyle w:val="EPComma"/>
      </w:pPr>
      <w:r w:rsidRPr="00EC1CED">
        <w:rPr>
          <w:i/>
          <w:iCs/>
        </w:rPr>
        <w:t>Eiropas Parlaments</w:t>
      </w:r>
      <w:r w:rsidRPr="00EC1CED">
        <w:t>,</w:t>
      </w:r>
    </w:p>
    <w:p w:rsidR="00153029" w:rsidRPr="00EC1CED" w:rsidRDefault="00153029" w:rsidP="00153029">
      <w:pPr>
        <w:pStyle w:val="NormalHanging12a"/>
      </w:pPr>
      <w:r w:rsidRPr="00EC1CED">
        <w:t>–</w:t>
      </w:r>
      <w:r w:rsidRPr="00EC1CED">
        <w:tab/>
        <w:t>ņemot vērā Parlamenta iepriekšējās rezolūcijas par Ķīnas Tautas Republiku (ĶTR) un Taivānu,</w:t>
      </w:r>
    </w:p>
    <w:p w:rsidR="00153029" w:rsidRPr="00EC1CED" w:rsidRDefault="00153029" w:rsidP="00153029">
      <w:pPr>
        <w:pStyle w:val="NormalHanging12a"/>
      </w:pPr>
      <w:r w:rsidRPr="00EC1CED">
        <w:t>–</w:t>
      </w:r>
      <w:r w:rsidRPr="00EC1CED">
        <w:tab/>
        <w:t>ņemot vērā 2021. gada 16. septembra rezolūciju par jaunu ES stratēģiju attiecībā uz Ķīnu</w:t>
      </w:r>
      <w:r w:rsidRPr="00EC1CED">
        <w:rPr>
          <w:rStyle w:val="FootnoteReference"/>
        </w:rPr>
        <w:footnoteReference w:id="1"/>
      </w:r>
      <w:r w:rsidRPr="00EC1CED">
        <w:t>,</w:t>
      </w:r>
    </w:p>
    <w:p w:rsidR="00153029" w:rsidRPr="00EC1CED" w:rsidRDefault="00153029" w:rsidP="00153029">
      <w:pPr>
        <w:pStyle w:val="NormalHanging12a"/>
      </w:pPr>
      <w:r w:rsidRPr="00EC1CED">
        <w:t>–</w:t>
      </w:r>
      <w:r w:rsidRPr="00EC1CED">
        <w:tab/>
        <w:t>ņemot vērā 2021. gada 21. oktobra ieteikumu Komisijas priekšsēdētājas vietniekam / Savienības Augstajam pārstāvim ārlietās un drošības politikas jautājumos par ES un Taivānas politiskajām attiecībām un sadarbību</w:t>
      </w:r>
      <w:r w:rsidRPr="00EC1CED">
        <w:rPr>
          <w:rStyle w:val="FootnoteReference"/>
        </w:rPr>
        <w:footnoteReference w:id="2"/>
      </w:r>
      <w:r w:rsidRPr="00EC1CED">
        <w:t>,</w:t>
      </w:r>
    </w:p>
    <w:p w:rsidR="00153029" w:rsidRPr="00EC1CED" w:rsidRDefault="00153029" w:rsidP="00153029">
      <w:pPr>
        <w:pStyle w:val="NormalHanging12a"/>
      </w:pPr>
      <w:r w:rsidRPr="00EC1CED">
        <w:t>–</w:t>
      </w:r>
      <w:r w:rsidRPr="00EC1CED">
        <w:tab/>
        <w:t>ņemot vērā 2022. gada 7. jūnija rezolūciju par ES un drošības problēmām Indijas un Klusā okeāna reģionā</w:t>
      </w:r>
      <w:r w:rsidRPr="00EC1CED">
        <w:rPr>
          <w:rStyle w:val="FootnoteReference"/>
        </w:rPr>
        <w:footnoteReference w:id="3"/>
      </w:r>
      <w:r w:rsidRPr="00EC1CED">
        <w:t>,</w:t>
      </w:r>
    </w:p>
    <w:p w:rsidR="00153029" w:rsidRPr="00EC1CED" w:rsidRDefault="00153029" w:rsidP="00153029">
      <w:pPr>
        <w:pStyle w:val="NormalHanging12a"/>
      </w:pPr>
      <w:r w:rsidRPr="00EC1CED">
        <w:t>–</w:t>
      </w:r>
      <w:r w:rsidRPr="00EC1CED">
        <w:tab/>
        <w:t>ņemot vērā 2022. gada 15. septembra rezolūciju par stāvokli Taivānas šaurumā</w:t>
      </w:r>
      <w:r w:rsidRPr="00EC1CED">
        <w:rPr>
          <w:rStyle w:val="FootnoteReference"/>
        </w:rPr>
        <w:footnoteReference w:id="4"/>
      </w:r>
      <w:r w:rsidRPr="00EC1CED">
        <w:t>,</w:t>
      </w:r>
    </w:p>
    <w:p w:rsidR="00153029" w:rsidRPr="00EC1CED" w:rsidRDefault="00153029" w:rsidP="00153029">
      <w:pPr>
        <w:pStyle w:val="NormalHanging12a"/>
      </w:pPr>
      <w:r w:rsidRPr="00EC1CED">
        <w:t>–</w:t>
      </w:r>
      <w:r w:rsidRPr="00EC1CED">
        <w:tab/>
        <w:t>ņemot vērā 2023. gada 13. decembra rezolūciju par ES un Taivānas tirdzniecības un investīciju attiecībām</w:t>
      </w:r>
      <w:r w:rsidRPr="00EC1CED">
        <w:rPr>
          <w:rStyle w:val="FootnoteReference"/>
        </w:rPr>
        <w:footnoteReference w:id="5"/>
      </w:r>
      <w:r w:rsidRPr="00EC1CED">
        <w:t>,</w:t>
      </w:r>
    </w:p>
    <w:p w:rsidR="00153029" w:rsidRPr="00EC1CED" w:rsidRDefault="00153029" w:rsidP="00153029">
      <w:pPr>
        <w:pStyle w:val="NormalHanging12a"/>
      </w:pPr>
      <w:r w:rsidRPr="00EC1CED">
        <w:t>–</w:t>
      </w:r>
      <w:r w:rsidRPr="00EC1CED">
        <w:tab/>
        <w:t>ņemot vērā Padomes 2022. gada 21. martā apstiprināto Stratēģisko kompasu drošībai un aizsardzībai,</w:t>
      </w:r>
    </w:p>
    <w:p w:rsidR="00153029" w:rsidRPr="00EC1CED" w:rsidRDefault="00153029" w:rsidP="00153029">
      <w:pPr>
        <w:pStyle w:val="NormalHanging12a"/>
      </w:pPr>
      <w:r w:rsidRPr="00EC1CED">
        <w:t>–</w:t>
      </w:r>
      <w:r w:rsidRPr="00EC1CED">
        <w:tab/>
        <w:t xml:space="preserve">ņemot vērā Komisijas un Savienības Augstā pārstāvja ārlietās un drošības politikas </w:t>
      </w:r>
      <w:r w:rsidRPr="00EC1CED">
        <w:lastRenderedPageBreak/>
        <w:t>jautājumos 2021. gada 16. septembra kopīgo paziņojumu “ES stratēģija sadarbībai Indijas un Klusā okeāna reģionā” (JOIN(2021)0024),</w:t>
      </w:r>
    </w:p>
    <w:p w:rsidR="00153029" w:rsidRPr="00EC1CED" w:rsidRDefault="00153029" w:rsidP="00153029">
      <w:pPr>
        <w:pStyle w:val="NormalHanging12a"/>
      </w:pPr>
      <w:r w:rsidRPr="00EC1CED">
        <w:t>–</w:t>
      </w:r>
      <w:r w:rsidRPr="00EC1CED">
        <w:tab/>
        <w:t>ņemot vērā ES “vienas Ķīnas” politiku,</w:t>
      </w:r>
    </w:p>
    <w:p w:rsidR="00153029" w:rsidRPr="00EC1CED" w:rsidRDefault="00153029" w:rsidP="00153029">
      <w:pPr>
        <w:pStyle w:val="NormalHanging12a"/>
      </w:pPr>
      <w:r w:rsidRPr="00EC1CED">
        <w:t>–</w:t>
      </w:r>
      <w:r w:rsidRPr="00EC1CED">
        <w:tab/>
        <w:t>ņemot vērā ES un Ķīnas 2023. gada 7. decembra augstākā līmeņa sanāksmi,</w:t>
      </w:r>
    </w:p>
    <w:p w:rsidR="00153029" w:rsidRPr="00EC1CED" w:rsidRDefault="00153029" w:rsidP="00153029">
      <w:pPr>
        <w:pStyle w:val="NormalHanging12a"/>
      </w:pPr>
      <w:r w:rsidRPr="00EC1CED">
        <w:t>–</w:t>
      </w:r>
      <w:r w:rsidRPr="00EC1CED">
        <w:tab/>
        <w:t>ņemot vērā Eiropadomes 2023. gada 30. jūnija secinājumus par Ķīnu,</w:t>
      </w:r>
    </w:p>
    <w:p w:rsidR="00153029" w:rsidRPr="00EC1CED" w:rsidRDefault="00153029" w:rsidP="00153029">
      <w:pPr>
        <w:pStyle w:val="NormalHanging12a"/>
      </w:pPr>
      <w:r w:rsidRPr="00EC1CED">
        <w:t>–</w:t>
      </w:r>
      <w:r w:rsidRPr="00EC1CED">
        <w:tab/>
        <w:t>ņemot vērā Ārlietu komitejas 2023. gada 25.–27. jūlija un Starptautiskās tirdzniecības komitejas 2022. gada 19.–21. decembra Taivānas apmeklējumus,</w:t>
      </w:r>
    </w:p>
    <w:p w:rsidR="00153029" w:rsidRPr="00EC1CED" w:rsidRDefault="00153029" w:rsidP="00153029">
      <w:pPr>
        <w:pStyle w:val="NormalHanging12a"/>
      </w:pPr>
      <w:r w:rsidRPr="00EC1CED">
        <w:t>–</w:t>
      </w:r>
      <w:r w:rsidRPr="00EC1CED">
        <w:tab/>
        <w:t xml:space="preserve">ņemot vērā Savienības Augstā pārstāvja ārlietās un drošības politikas jautājumos </w:t>
      </w:r>
      <w:proofErr w:type="spellStart"/>
      <w:r w:rsidRPr="00EC1CED">
        <w:t>runaspersonas</w:t>
      </w:r>
      <w:proofErr w:type="spellEnd"/>
      <w:r w:rsidRPr="00EC1CED">
        <w:t xml:space="preserve"> 2024. gada 1. septembra paziņojumu par jaunākajām bīstamajām darbībām Dienvidķīnas jūrā,</w:t>
      </w:r>
    </w:p>
    <w:p w:rsidR="00153029" w:rsidRPr="00EC1CED" w:rsidRDefault="00153029" w:rsidP="00153029">
      <w:pPr>
        <w:pStyle w:val="NormalHanging12a"/>
      </w:pPr>
      <w:r w:rsidRPr="00EC1CED">
        <w:t>–</w:t>
      </w:r>
      <w:r w:rsidRPr="00EC1CED">
        <w:tab/>
        <w:t xml:space="preserve">ņemot vērā Savienības Augstā pārstāvja ārlietās un drošības politikas jautājumos </w:t>
      </w:r>
      <w:proofErr w:type="spellStart"/>
      <w:r w:rsidRPr="00EC1CED">
        <w:t>runaspersonas</w:t>
      </w:r>
      <w:proofErr w:type="spellEnd"/>
      <w:r w:rsidRPr="00EC1CED">
        <w:t xml:space="preserve"> paziņojumus par Ķīnas militārajām mācībām pie Taivānas krastiem, tostarp jaunāko 2024. gada 14. oktobra paziņojumu,</w:t>
      </w:r>
    </w:p>
    <w:p w:rsidR="00153029" w:rsidRPr="00EC1CED" w:rsidRDefault="00153029" w:rsidP="00153029">
      <w:pPr>
        <w:pStyle w:val="NormalHanging12a"/>
      </w:pPr>
      <w:r w:rsidRPr="00EC1CED">
        <w:t>–</w:t>
      </w:r>
      <w:r w:rsidRPr="00EC1CED">
        <w:tab/>
        <w:t>ņemot vērā G7 valstu ārlietu ministru 2023. gada 18. aprīļa un 2022. gada 3. augusta paziņojumus par miera un stabilitātes saglabāšanu Taivānas šaurumā,</w:t>
      </w:r>
    </w:p>
    <w:p w:rsidR="00153029" w:rsidRPr="00EC1CED" w:rsidRDefault="00153029" w:rsidP="00153029">
      <w:pPr>
        <w:pStyle w:val="NormalHanging12a"/>
      </w:pPr>
      <w:r w:rsidRPr="00EC1CED">
        <w:t>–</w:t>
      </w:r>
      <w:r w:rsidRPr="00EC1CED">
        <w:tab/>
        <w:t>ņemot vērā G7 valstu ārlietu ministru 2024. gada 23. septembra sanāksmes priekšsēdētāja paziņojumu,</w:t>
      </w:r>
    </w:p>
    <w:p w:rsidR="00153029" w:rsidRPr="00EC1CED" w:rsidRDefault="00153029" w:rsidP="00153029">
      <w:pPr>
        <w:pStyle w:val="NormalHanging12a"/>
      </w:pPr>
      <w:r w:rsidRPr="00EC1CED">
        <w:t>–</w:t>
      </w:r>
      <w:r w:rsidRPr="00EC1CED">
        <w:tab/>
        <w:t>ņemot vērā G7 valstu aizsardzības ministru 2024. gada 19. oktobra kopīgo paziņojumu,</w:t>
      </w:r>
    </w:p>
    <w:p w:rsidR="00153029" w:rsidRPr="00EC1CED" w:rsidRDefault="00153029" w:rsidP="00153029">
      <w:pPr>
        <w:pStyle w:val="NormalHanging12a"/>
      </w:pPr>
      <w:r w:rsidRPr="00EC1CED">
        <w:t>–</w:t>
      </w:r>
      <w:r w:rsidRPr="00EC1CED">
        <w:tab/>
        <w:t>ņemot vērā Austrālijas Senāta 2024. gada 21. augustā pieņemto steidzamo priekšlikumu par Taivānu,</w:t>
      </w:r>
    </w:p>
    <w:p w:rsidR="00153029" w:rsidRPr="00EC1CED" w:rsidRDefault="00153029" w:rsidP="00153029">
      <w:pPr>
        <w:pStyle w:val="NormalHanging12a"/>
      </w:pPr>
      <w:r w:rsidRPr="00EC1CED">
        <w:t>–</w:t>
      </w:r>
      <w:r w:rsidRPr="00EC1CED">
        <w:tab/>
        <w:t>ņemot vērā ANO Ģenerālās asamblejas 1971. gada 25. oktobra Rezolūciju Nr. 2758 (XXVI),</w:t>
      </w:r>
    </w:p>
    <w:p w:rsidR="00153029" w:rsidRPr="00EC1CED" w:rsidRDefault="00153029" w:rsidP="00153029">
      <w:pPr>
        <w:pStyle w:val="NormalHanging12a"/>
      </w:pPr>
      <w:r w:rsidRPr="00EC1CED">
        <w:t>–</w:t>
      </w:r>
      <w:r w:rsidRPr="00EC1CED">
        <w:tab/>
        <w:t>ņemot vērā Nīderlandes parlamenta Pārstāvju palātas 2024. gada 12. septembrī pieņemto priekšlikumu par ANO Rezolūciju Nr. 2758,</w:t>
      </w:r>
    </w:p>
    <w:p w:rsidR="00153029" w:rsidRPr="00EC1CED" w:rsidRDefault="00153029" w:rsidP="00153029">
      <w:pPr>
        <w:pStyle w:val="NormalHanging12a"/>
      </w:pPr>
      <w:r w:rsidRPr="00EC1CED">
        <w:t>–</w:t>
      </w:r>
      <w:r w:rsidRPr="00EC1CED">
        <w:tab/>
        <w:t>ņemot vērā ASV Valsts departamenta 2024. gada 13. oktobra paziņojumu presei,</w:t>
      </w:r>
    </w:p>
    <w:p w:rsidR="00153029" w:rsidRPr="00EC1CED" w:rsidRDefault="00153029" w:rsidP="00153029">
      <w:pPr>
        <w:pStyle w:val="NormalHanging12a"/>
      </w:pPr>
      <w:r w:rsidRPr="00EC1CED">
        <w:t>–</w:t>
      </w:r>
      <w:r w:rsidRPr="00EC1CED">
        <w:tab/>
        <w:t>ņemot vērā ANO Jūras tiesību konvenciju (</w:t>
      </w:r>
      <w:r w:rsidRPr="00EC1CED">
        <w:rPr>
          <w:i/>
          <w:iCs/>
        </w:rPr>
        <w:t>UNCLOS</w:t>
      </w:r>
      <w:r w:rsidR="00424AD4">
        <w:t>),</w:t>
      </w:r>
      <w:bookmarkStart w:id="6" w:name="_GoBack"/>
      <w:bookmarkEnd w:id="6"/>
    </w:p>
    <w:p w:rsidR="00153029" w:rsidRPr="00EC1CED" w:rsidRDefault="00153029" w:rsidP="00153029">
      <w:pPr>
        <w:pStyle w:val="NormalHanging12a"/>
      </w:pPr>
      <w:r w:rsidRPr="00EC1CED">
        <w:t>–</w:t>
      </w:r>
      <w:r w:rsidRPr="00EC1CED">
        <w:tab/>
        <w:t>ņemot vērā 1992. gada 9. maijā noslēgtās ANO Vispārējās konvencijas par klimata pārmaiņām (</w:t>
      </w:r>
      <w:r w:rsidRPr="00EC1CED">
        <w:rPr>
          <w:i/>
          <w:iCs/>
        </w:rPr>
        <w:t>UNFCCC</w:t>
      </w:r>
      <w:r w:rsidRPr="00EC1CED">
        <w:t>) 7. pantu,</w:t>
      </w:r>
    </w:p>
    <w:p w:rsidR="00153029" w:rsidRPr="00EC1CED" w:rsidRDefault="00153029" w:rsidP="00153029">
      <w:pPr>
        <w:pStyle w:val="NormalHanging12a"/>
      </w:pPr>
      <w:r w:rsidRPr="00EC1CED">
        <w:t>–</w:t>
      </w:r>
      <w:r w:rsidRPr="00EC1CED">
        <w:tab/>
        <w:t>ņemot vērā Starptautiskās Civilās aviācijas organizācijas (</w:t>
      </w:r>
      <w:r w:rsidRPr="00EC1CED">
        <w:rPr>
          <w:i/>
          <w:iCs/>
        </w:rPr>
        <w:t>ICAO</w:t>
      </w:r>
      <w:r w:rsidRPr="00EC1CED">
        <w:t>) asamblejas Reglamenta 5. pantu,</w:t>
      </w:r>
    </w:p>
    <w:p w:rsidR="00153029" w:rsidRPr="00EC1CED" w:rsidRDefault="00153029" w:rsidP="00153029">
      <w:pPr>
        <w:pStyle w:val="NormalHanging12a"/>
      </w:pPr>
      <w:r w:rsidRPr="00EC1CED">
        <w:t>–</w:t>
      </w:r>
      <w:r w:rsidRPr="00EC1CED">
        <w:tab/>
        <w:t>ņemot vērā Starptautiskās Kriminālpolicijas organizācijas (INTERPOL) Statūtu 4. pantu,</w:t>
      </w:r>
    </w:p>
    <w:p w:rsidR="00153029" w:rsidRPr="00EC1CED" w:rsidRDefault="00153029" w:rsidP="00153029">
      <w:pPr>
        <w:pStyle w:val="NormalHanging12a"/>
      </w:pPr>
      <w:r w:rsidRPr="00EC1CED">
        <w:t>–</w:t>
      </w:r>
      <w:r w:rsidRPr="00EC1CED">
        <w:tab/>
        <w:t>ņemot vērā Pasaules Veselības organizācijas (PVO) Statūtu 8. pantu un 18. panta h) punktu,</w:t>
      </w:r>
    </w:p>
    <w:p w:rsidR="00153029" w:rsidRPr="00EC1CED" w:rsidRDefault="00153029" w:rsidP="00153029">
      <w:pPr>
        <w:pStyle w:val="NormalHanging12a"/>
      </w:pPr>
      <w:r w:rsidRPr="00EC1CED">
        <w:lastRenderedPageBreak/>
        <w:t>–</w:t>
      </w:r>
      <w:r w:rsidRPr="00EC1CED">
        <w:tab/>
        <w:t>ņemot vērā Reglamenta 136. panta 2. un 4. punktu,</w:t>
      </w:r>
    </w:p>
    <w:p w:rsidR="00153029" w:rsidRPr="00EC1CED" w:rsidRDefault="00153029" w:rsidP="00153029">
      <w:pPr>
        <w:pStyle w:val="NormalHanging12a"/>
      </w:pPr>
      <w:r w:rsidRPr="00EC1CED">
        <w:t>A.</w:t>
      </w:r>
      <w:r w:rsidRPr="00EC1CED">
        <w:tab/>
        <w:t>tā kā ANO Ģenerālā asambleja 1971. gada 25. oktobrī pieņēma ANO Rezolūciju Nr. 2758, ar ko tiek oficiāli atzīta Ķīnas Tautas Republika (ĶTR), savukārt Ķīnas Republika (Taivāna) iepriekšējo statusu zaudē; tā kā Taivāna, lai gan nav Apvienoto Nāciju Organizācijas locekle, pašlaik uztur diplomātiskas attiecības ar 11 no 193 ANO dalībvalstīm, kā arī ar Svēto Krēslu;</w:t>
      </w:r>
    </w:p>
    <w:p w:rsidR="00153029" w:rsidRPr="00EC1CED" w:rsidRDefault="00153029" w:rsidP="00153029">
      <w:pPr>
        <w:pStyle w:val="NormalHanging12a"/>
      </w:pPr>
      <w:r w:rsidRPr="00EC1CED">
        <w:t>B.</w:t>
      </w:r>
      <w:r w:rsidRPr="00EC1CED">
        <w:tab/>
        <w:t>tā kā ES un Taivāna ir līdzīgi domājoši partneri, kuriem ir kopīgas vērtības — brīvība, demokrātija, cilvēktiesības un tiesiskums; tā kā Taivāna ir dinamiska demokrātija ar plaukstošu pilsonisko sabiedrību; tā kā Taivānā 2024. gada 13. janvārī notika mierīgas un labi organizētas vēlēšanas;</w:t>
      </w:r>
    </w:p>
    <w:p w:rsidR="00153029" w:rsidRPr="00EC1CED" w:rsidRDefault="00153029" w:rsidP="00153029">
      <w:pPr>
        <w:pStyle w:val="NormalHanging12a"/>
      </w:pPr>
      <w:r w:rsidRPr="00EC1CED">
        <w:t>C.</w:t>
      </w:r>
      <w:r w:rsidRPr="00EC1CED">
        <w:tab/>
        <w:t>tā kā pēc ANO Rezolūcijas Nr. 2758 pieņemšanas Taivāna zaudēja tiesības piedalīties daudzpusējos forumos, piemēram, PVO;</w:t>
      </w:r>
    </w:p>
    <w:p w:rsidR="00153029" w:rsidRPr="00EC1CED" w:rsidRDefault="00153029" w:rsidP="00153029">
      <w:pPr>
        <w:pStyle w:val="NormalHanging12a"/>
      </w:pPr>
      <w:r w:rsidRPr="00EC1CED">
        <w:t>D.</w:t>
      </w:r>
      <w:r w:rsidRPr="00EC1CED">
        <w:tab/>
        <w:t>tā kā Taivāna nekad nav bijusi daļa no ĶTR; tā kā Ķīnas Republika tika nodibināta 1912. gadā un ĶTR — 1949. gadā;</w:t>
      </w:r>
    </w:p>
    <w:p w:rsidR="00153029" w:rsidRPr="00EC1CED" w:rsidRDefault="00153029" w:rsidP="00153029">
      <w:pPr>
        <w:pStyle w:val="NormalHanging12a"/>
      </w:pPr>
      <w:r w:rsidRPr="00EC1CED">
        <w:t>E.</w:t>
      </w:r>
      <w:r w:rsidRPr="00EC1CED">
        <w:tab/>
        <w:t xml:space="preserve">tā kā ANO Rezolūcija Nr. 2758 attiecas uz ĶTR statusu, taču tajā nav noteikts, ka ĶTR būtu suverenitāte pār Taivānu, nedz arī spriests par Taivānas turpmāku iekļaušanu ANO vai jebkādā citā starptautiskā organizācijā; tā kā ĶTR tomēr turpina nepareizi interpretēt ANO Rezolūciju Nr. 2758, lai bloķētu Taivānas jēgpilnu dalību starptautiskās organizācijās un vienpusēji mainītu </w:t>
      </w:r>
      <w:r w:rsidRPr="00EC1CED">
        <w:rPr>
          <w:i/>
          <w:iCs/>
        </w:rPr>
        <w:t>status </w:t>
      </w:r>
      <w:proofErr w:type="spellStart"/>
      <w:r w:rsidRPr="00EC1CED">
        <w:rPr>
          <w:i/>
          <w:iCs/>
        </w:rPr>
        <w:t>quo</w:t>
      </w:r>
      <w:proofErr w:type="spellEnd"/>
      <w:r w:rsidRPr="00EC1CED">
        <w:t>; tā kā šīs darbības ir apliecinājums ĶTR centieniem mainīt pašreizējo daudzpusējo starptautisko kārtību un vājināt starptautiskās tiesības un tās var uzskatīt par sistēmiskas sāncensības izpausmi;</w:t>
      </w:r>
    </w:p>
    <w:p w:rsidR="00153029" w:rsidRPr="00EC1CED" w:rsidRDefault="00153029" w:rsidP="00153029">
      <w:pPr>
        <w:pStyle w:val="NormalHanging12a"/>
      </w:pPr>
      <w:r w:rsidRPr="00EC1CED">
        <w:t>F.</w:t>
      </w:r>
      <w:r w:rsidRPr="00EC1CED">
        <w:tab/>
        <w:t xml:space="preserve">tā kā ES turpina ievērot savu “vienas Ķīnas” politiku, kas ir atšķirīga no ĶTR “vienas Ķīnas” principa; tā kā ES izsenis ieņemtā nostāja ir bijusi atbalstīt </w:t>
      </w:r>
      <w:r w:rsidRPr="00EC1CED">
        <w:rPr>
          <w:i/>
          <w:iCs/>
        </w:rPr>
        <w:t xml:space="preserve">status </w:t>
      </w:r>
      <w:proofErr w:type="spellStart"/>
      <w:r w:rsidRPr="00EC1CED">
        <w:rPr>
          <w:i/>
          <w:iCs/>
        </w:rPr>
        <w:t>quo</w:t>
      </w:r>
      <w:proofErr w:type="spellEnd"/>
      <w:r w:rsidRPr="00EC1CED">
        <w:t xml:space="preserve"> un meklēt miermīlīgu atrisinājumu domstarpībām Taivānas šaurumā, vienlaikus veicinot dialogu un konstruktīvu iesaisti;</w:t>
      </w:r>
    </w:p>
    <w:p w:rsidR="00153029" w:rsidRPr="00EC1CED" w:rsidRDefault="00153029" w:rsidP="00153029">
      <w:pPr>
        <w:pStyle w:val="NormalHanging12a"/>
      </w:pPr>
      <w:r w:rsidRPr="00EC1CED">
        <w:t>G.</w:t>
      </w:r>
      <w:r w:rsidRPr="00EC1CED">
        <w:tab/>
        <w:t>tā kā G7 valstis 2024. gada 23. septembra paziņojumā cita starpā uzsvēra savu atbalstu Taivānas jēgpilnai dalībai starptautiskās organizācijās locekles statusā, ja valsts statuss nav priekšnosacījums šādai dalībai, un novērotājas vai vieses statusā, ja ir;</w:t>
      </w:r>
    </w:p>
    <w:p w:rsidR="00153029" w:rsidRPr="00EC1CED" w:rsidRDefault="00153029" w:rsidP="00153029">
      <w:pPr>
        <w:pStyle w:val="NormalHanging12a"/>
      </w:pPr>
      <w:r w:rsidRPr="00EC1CED">
        <w:t>H.</w:t>
      </w:r>
      <w:r w:rsidRPr="00EC1CED">
        <w:tab/>
        <w:t>tā kā atbalsts Taivānas dalībai starptautiskās organizācijās neapdraud ES apņemšanos īstenot “vienas Ķīnas” politiku, kas joprojām ir ES un Ķīnas politisko attiecību pamatā;</w:t>
      </w:r>
    </w:p>
    <w:p w:rsidR="00153029" w:rsidRPr="00EC1CED" w:rsidRDefault="00153029" w:rsidP="00153029">
      <w:pPr>
        <w:pStyle w:val="NormalHanging12a"/>
      </w:pPr>
      <w:r w:rsidRPr="00EC1CED">
        <w:t>I.</w:t>
      </w:r>
      <w:r w:rsidRPr="00EC1CED">
        <w:tab/>
        <w:t xml:space="preserve">tā kā pēdējo desmit gadu laikā ĶTR ir pastāvīgi mēģinājusi palielināt savu ietekmi uz starptautiskajām institūcijām un to izmantojusi, lai </w:t>
      </w:r>
      <w:proofErr w:type="spellStart"/>
      <w:r w:rsidRPr="00EC1CED">
        <w:t>marginalizētu</w:t>
      </w:r>
      <w:proofErr w:type="spellEnd"/>
      <w:r w:rsidRPr="00EC1CED">
        <w:t xml:space="preserve"> Taivānu un liegtu Taivānas pasu turētājiem, tai skaitā žurnālistiem, nevalstisko organizāciju darbiniekiem un politiskajiem aktīvistiem, piekļūt starptautiskajām institūcijām; tā kā ĶTR īsteno transnacionālas represijas, ļaunprātīgi izmantojot izdošanas līgumus, lai vērstos pret Taivānas pilsoņiem ārvalstīs un tādējādi pakļautu viņus patvaļīgas vajāšanas un cilvēktiesību pārkāpumu riskam;</w:t>
      </w:r>
    </w:p>
    <w:p w:rsidR="00153029" w:rsidRPr="00EC1CED" w:rsidRDefault="00153029" w:rsidP="00153029">
      <w:pPr>
        <w:pStyle w:val="NormalHanging12a"/>
      </w:pPr>
      <w:r w:rsidRPr="00EC1CED">
        <w:t>J.</w:t>
      </w:r>
      <w:r w:rsidRPr="00EC1CED">
        <w:tab/>
        <w:t xml:space="preserve">tā kā vairākumā gadījumu to starptautisko organizāciju (tai skaitā PVO, </w:t>
      </w:r>
      <w:r w:rsidRPr="00EC1CED">
        <w:rPr>
          <w:i/>
          <w:iCs/>
        </w:rPr>
        <w:t>UNFCCC</w:t>
      </w:r>
      <w:r w:rsidRPr="00EC1CED">
        <w:t xml:space="preserve">, INTERPOL un </w:t>
      </w:r>
      <w:r w:rsidRPr="00EC1CED">
        <w:rPr>
          <w:i/>
          <w:iCs/>
        </w:rPr>
        <w:t>ICAO</w:t>
      </w:r>
      <w:r w:rsidRPr="00EC1CED">
        <w:t>) statūtos, kuru uzdevums ir risināt globālus jautājumus, ir paredzētas iespējas tādām struktūrām kā Taivāna iesaistīties šajās organizācijās, neaizskarot dalībvalstu tiesības;</w:t>
      </w:r>
    </w:p>
    <w:p w:rsidR="00153029" w:rsidRPr="00EC1CED" w:rsidRDefault="00153029" w:rsidP="00153029">
      <w:pPr>
        <w:pStyle w:val="NormalHanging12a"/>
      </w:pPr>
      <w:r w:rsidRPr="00EC1CED">
        <w:lastRenderedPageBreak/>
        <w:t>K.</w:t>
      </w:r>
      <w:r w:rsidRPr="00EC1CED">
        <w:tab/>
        <w:t>tā kā Taivāna ir konsekventi demonstrējusi miermīlīgu un uz sadarbību vērstu attieksmi pasaules mērogā un sniegusi ievērojamu atbalstu pasaules norisēs, un tādējādi varētu dot arī lielu ieguldījumu dažādu starptautisko organizāciju darbā;</w:t>
      </w:r>
    </w:p>
    <w:p w:rsidR="00153029" w:rsidRPr="00EC1CED" w:rsidRDefault="00153029" w:rsidP="00153029">
      <w:pPr>
        <w:pStyle w:val="NormalHanging12a"/>
      </w:pPr>
      <w:r w:rsidRPr="00EC1CED">
        <w:t>L.</w:t>
      </w:r>
      <w:r w:rsidRPr="00EC1CED">
        <w:tab/>
        <w:t xml:space="preserve">tā kā ĶTR ir </w:t>
      </w:r>
      <w:proofErr w:type="spellStart"/>
      <w:r w:rsidRPr="00EC1CED">
        <w:t>vienpartijas</w:t>
      </w:r>
      <w:proofErr w:type="spellEnd"/>
      <w:r w:rsidRPr="00EC1CED">
        <w:t xml:space="preserve"> valsts, kuru pilnībā kontrolē un vada Ķīnas Komunistiskā partija;</w:t>
      </w:r>
    </w:p>
    <w:p w:rsidR="00153029" w:rsidRPr="00EC1CED" w:rsidRDefault="00153029" w:rsidP="00153029">
      <w:pPr>
        <w:pStyle w:val="NormalHanging12a"/>
      </w:pPr>
      <w:r w:rsidRPr="00EC1CED">
        <w:t>M.</w:t>
      </w:r>
      <w:r w:rsidRPr="00EC1CED">
        <w:tab/>
        <w:t xml:space="preserve">tā kā Taivānas prezidents </w:t>
      </w:r>
      <w:r w:rsidRPr="00EC1CED">
        <w:rPr>
          <w:i/>
          <w:iCs/>
        </w:rPr>
        <w:t xml:space="preserve">Lai </w:t>
      </w:r>
      <w:proofErr w:type="spellStart"/>
      <w:r w:rsidRPr="00EC1CED">
        <w:rPr>
          <w:i/>
          <w:iCs/>
        </w:rPr>
        <w:t>Ching</w:t>
      </w:r>
      <w:proofErr w:type="spellEnd"/>
      <w:r w:rsidRPr="00EC1CED">
        <w:rPr>
          <w:i/>
          <w:iCs/>
        </w:rPr>
        <w:t>-te</w:t>
      </w:r>
      <w:r w:rsidRPr="00EC1CED">
        <w:t xml:space="preserve">, uzstājoties ar runu 2024. gada 10. oktobrī, proti, Taivānas Nacionālajā dienā, paziņoja, ka ĶTR nav tiesību pārstāvēt Taivānu, un atkārtoti norādīja, ka neviena no abām pusēm nav pakārtota otrai; tā kā ĶTR savas nesenās militārās mācības pamatoja ar apgalvojumu, ka prezidents </w:t>
      </w:r>
      <w:r w:rsidRPr="00EC1CED">
        <w:rPr>
          <w:i/>
          <w:iCs/>
        </w:rPr>
        <w:t xml:space="preserve">Lai </w:t>
      </w:r>
      <w:proofErr w:type="spellStart"/>
      <w:r w:rsidRPr="00EC1CED">
        <w:rPr>
          <w:i/>
          <w:iCs/>
        </w:rPr>
        <w:t>Ching</w:t>
      </w:r>
      <w:proofErr w:type="spellEnd"/>
      <w:r w:rsidRPr="00EC1CED">
        <w:rPr>
          <w:i/>
          <w:iCs/>
        </w:rPr>
        <w:t>-te</w:t>
      </w:r>
      <w:r w:rsidRPr="00EC1CED">
        <w:t xml:space="preserve"> īsteno separātistu stratēģiju;</w:t>
      </w:r>
    </w:p>
    <w:p w:rsidR="00153029" w:rsidRPr="00EC1CED" w:rsidRDefault="00153029" w:rsidP="00153029">
      <w:pPr>
        <w:pStyle w:val="NormalHanging12a"/>
      </w:pPr>
      <w:r w:rsidRPr="00EC1CED">
        <w:t>N.</w:t>
      </w:r>
      <w:r w:rsidRPr="00EC1CED">
        <w:tab/>
        <w:t>tā kā 2024. gada 14. oktobrī ĶTR sāka plaša mēroga militārās mācības “</w:t>
      </w:r>
      <w:proofErr w:type="spellStart"/>
      <w:r w:rsidRPr="00EC1CED">
        <w:t>Joint</w:t>
      </w:r>
      <w:proofErr w:type="spellEnd"/>
      <w:r w:rsidRPr="00EC1CED">
        <w:t xml:space="preserve"> Sword-2024B”, kurās tika simulēta Taivānas blokāde; tā kā šo mācību laikā Taivānas apkārtnē tika pamanīti 153 ĶTR gaisa kuģi, 18 karakuģi un 17 ĶTR krasta apsardzes kuģi un tas ir rekordliels skaits;</w:t>
      </w:r>
    </w:p>
    <w:p w:rsidR="00153029" w:rsidRPr="00EC1CED" w:rsidRDefault="00153029" w:rsidP="00153029">
      <w:pPr>
        <w:pStyle w:val="NormalHanging12a"/>
      </w:pPr>
      <w:r w:rsidRPr="00EC1CED">
        <w:t>O.</w:t>
      </w:r>
      <w:r w:rsidRPr="00EC1CED">
        <w:tab/>
        <w:t xml:space="preserve">tā kā šo mācību laikā četras ĶTR krasta apsardzes vienības patrulēja tuvu salai un uz īsu brīdi ienāca tās aizliegtajos ūdeņos; tā kā ĶTR ļoti bieži veiktā krasta apsardzes izvietošana Taivānas šaurumā, ko tā dēvē par tiesībaizsardzības misijām, rada pastāvīgu spiedienu uz Taivānas iestādēm un bīstami palielina sadursmju risku, tādējādi ļoti konkrēti paužot Ķīnas nodomu graut </w:t>
      </w:r>
      <w:r w:rsidRPr="00EC1CED">
        <w:rPr>
          <w:i/>
          <w:iCs/>
        </w:rPr>
        <w:t xml:space="preserve">status </w:t>
      </w:r>
      <w:proofErr w:type="spellStart"/>
      <w:r w:rsidRPr="00EC1CED">
        <w:rPr>
          <w:i/>
          <w:iCs/>
        </w:rPr>
        <w:t>quo</w:t>
      </w:r>
      <w:proofErr w:type="spellEnd"/>
      <w:r w:rsidRPr="00EC1CED">
        <w:t>; tā kā 2024. gada 14. oktobrī sāktās mācības bija ĶTR liela mēroga kara spēļu ceturtā kārta nedaudz vairāk nekā divu gadu laikā;</w:t>
      </w:r>
    </w:p>
    <w:p w:rsidR="00153029" w:rsidRPr="00EC1CED" w:rsidRDefault="00153029" w:rsidP="00153029">
      <w:pPr>
        <w:pStyle w:val="NormalHanging12a"/>
      </w:pPr>
      <w:r w:rsidRPr="00EC1CED">
        <w:t>P.</w:t>
      </w:r>
      <w:r w:rsidRPr="00EC1CED">
        <w:tab/>
        <w:t xml:space="preserve">tā kā Taivāna nosodīja šo rīcību kā nepamatotu provokāciju un tā ir jaunākais piemērs kara spēlēm, ko ĶTR izvērš pret Taivānu; tā kā šīs militārās mācības notika dažas dienas pēc tam, kad Taivānas jaunais prezidents </w:t>
      </w:r>
      <w:r w:rsidRPr="00EC1CED">
        <w:rPr>
          <w:i/>
          <w:iCs/>
        </w:rPr>
        <w:t xml:space="preserve">Lai </w:t>
      </w:r>
      <w:proofErr w:type="spellStart"/>
      <w:r w:rsidRPr="00EC1CED">
        <w:rPr>
          <w:i/>
          <w:iCs/>
        </w:rPr>
        <w:t>Ching</w:t>
      </w:r>
      <w:proofErr w:type="spellEnd"/>
      <w:r w:rsidRPr="00EC1CED">
        <w:rPr>
          <w:i/>
          <w:iCs/>
        </w:rPr>
        <w:t>-te</w:t>
      </w:r>
      <w:r w:rsidRPr="00EC1CED">
        <w:t xml:space="preserve"> teica runu, svinīgi apsoloties aizsargāt Taivānas suverenitāti, saskaroties ar ĶTR radītajām problēmām;</w:t>
      </w:r>
    </w:p>
    <w:p w:rsidR="00153029" w:rsidRPr="00EC1CED" w:rsidRDefault="00153029" w:rsidP="00153029">
      <w:pPr>
        <w:pStyle w:val="NormalHanging12a"/>
      </w:pPr>
      <w:r w:rsidRPr="00EC1CED">
        <w:t>Q.</w:t>
      </w:r>
      <w:r w:rsidRPr="00EC1CED">
        <w:tab/>
        <w:t>tā kā viduslīnija, kas noteikta ar gadu desmitiem senu klusējot izteiktu vienošanos starp Taivānas šauruma abām pusēm, bija paredzēta konflikta riska samazināšanai, turot drošā attālumā militārās lidmašīnas no abām šī šauruma pusēm un tādējādi nodrošinot, ka kļūdaini aprēķini nebeidzas fatāli; tā kā ĶTR Tautas atbrīvošanas armija laikā no 1954. gada līdz 2020. gadam tikai četras reizes ir pārkāpusi šo viduslīniju, bet tagad notiekošā regulārā pārkāpšana liecina par Pekinas nodomu neatgriezeniski pārskatīt sen pastāvošus atskaites punktus;</w:t>
      </w:r>
    </w:p>
    <w:p w:rsidR="00153029" w:rsidRPr="00EC1CED" w:rsidRDefault="00153029" w:rsidP="00153029">
      <w:pPr>
        <w:pStyle w:val="NormalHanging12a"/>
      </w:pPr>
      <w:r w:rsidRPr="00EC1CED">
        <w:t>R.</w:t>
      </w:r>
      <w:r w:rsidRPr="00EC1CED">
        <w:tab/>
        <w:t xml:space="preserve">tā kā Savienības Augstā pārstāvja ārlietās un drošības politikas jautājumos un ASV Valsts departamenta paziņojumos presei ir atkārtoti apstiprināta miera un stabilitātes Taivānas šaurumā stratēģiskā nozīme reģionālās un globālās drošības un labklājības ziņā; tā kā Augstā pārstāvja paziņojumā ir atgādināts par nepieciešamību saglabāt </w:t>
      </w:r>
      <w:r w:rsidRPr="00EC1CED">
        <w:rPr>
          <w:i/>
          <w:iCs/>
        </w:rPr>
        <w:t xml:space="preserve">status </w:t>
      </w:r>
      <w:proofErr w:type="spellStart"/>
      <w:r w:rsidRPr="00EC1CED">
        <w:rPr>
          <w:i/>
          <w:iCs/>
        </w:rPr>
        <w:t>quo</w:t>
      </w:r>
      <w:proofErr w:type="spellEnd"/>
      <w:r w:rsidRPr="00EC1CED">
        <w:t xml:space="preserve"> Taivānas šaurumā un pausti iebildumi pret jebkādām vienpusējām darbībām nolūkā ar spēku vai piespiešanu mainīt </w:t>
      </w:r>
      <w:r w:rsidRPr="00EC1CED">
        <w:rPr>
          <w:i/>
          <w:iCs/>
        </w:rPr>
        <w:t xml:space="preserve">status </w:t>
      </w:r>
      <w:proofErr w:type="spellStart"/>
      <w:r w:rsidRPr="00EC1CED">
        <w:rPr>
          <w:i/>
          <w:iCs/>
        </w:rPr>
        <w:t>quo</w:t>
      </w:r>
      <w:proofErr w:type="spellEnd"/>
      <w:r w:rsidRPr="00EC1CED">
        <w:t>, kā arī visas puses aicinātas ievērot savaldību un izvairīties no jebkādām darbībām, kas varētu vēl vairāk saasināt spriedzi Taivānas šaurumā;</w:t>
      </w:r>
    </w:p>
    <w:p w:rsidR="00153029" w:rsidRPr="00EC1CED" w:rsidRDefault="00153029" w:rsidP="00153029">
      <w:pPr>
        <w:pStyle w:val="NormalHanging12a"/>
      </w:pPr>
      <w:r w:rsidRPr="00EC1CED">
        <w:t>S.</w:t>
      </w:r>
      <w:r w:rsidRPr="00EC1CED">
        <w:tab/>
        <w:t>tā kā 2024. gada 23. maijā ĶTR sāka militāras mācības “</w:t>
      </w:r>
      <w:proofErr w:type="spellStart"/>
      <w:r w:rsidRPr="00EC1CED">
        <w:t>Joint</w:t>
      </w:r>
      <w:proofErr w:type="spellEnd"/>
      <w:r w:rsidRPr="00EC1CED">
        <w:t xml:space="preserve"> Sword-2024A”, proti, tikai dažas dienas pēc Taivānas jaunā prezidenta </w:t>
      </w:r>
      <w:r w:rsidRPr="00EC1CED">
        <w:rPr>
          <w:i/>
          <w:iCs/>
        </w:rPr>
        <w:t xml:space="preserve">Lai </w:t>
      </w:r>
      <w:proofErr w:type="spellStart"/>
      <w:r w:rsidRPr="00EC1CED">
        <w:rPr>
          <w:i/>
          <w:iCs/>
        </w:rPr>
        <w:t>Ching</w:t>
      </w:r>
      <w:proofErr w:type="spellEnd"/>
      <w:r w:rsidRPr="00EC1CED">
        <w:rPr>
          <w:i/>
          <w:iCs/>
        </w:rPr>
        <w:t>-te</w:t>
      </w:r>
      <w:r w:rsidRPr="00EC1CED">
        <w:t xml:space="preserve"> inaugurācijas;</w:t>
      </w:r>
    </w:p>
    <w:p w:rsidR="00153029" w:rsidRPr="00EC1CED" w:rsidRDefault="00153029" w:rsidP="00153029">
      <w:pPr>
        <w:pStyle w:val="NormalHanging12a"/>
      </w:pPr>
      <w:r w:rsidRPr="00EC1CED">
        <w:lastRenderedPageBreak/>
        <w:t>T.</w:t>
      </w:r>
      <w:r w:rsidRPr="00EC1CED">
        <w:tab/>
        <w:t>tā kā ĶTR dažos pēdējos gados ir rīkojusi citas līdzīgas militārās mācības Taivānas tuvumā; tā kā šo militāro mācību intensitāte ir pieaugusi un tās tiek rīkotas aizvien tuvāk un tuvāk Taivānas cietzemes teritorijai; tā kā iepriekšējās mācībās, kas norisinājās 2022. gada augustā, ĶTR arī tika raidījusi raķetes Japānas ekskluzīvajā ekonomikas zonā;</w:t>
      </w:r>
    </w:p>
    <w:p w:rsidR="00153029" w:rsidRPr="00EC1CED" w:rsidRDefault="00153029" w:rsidP="00153029">
      <w:pPr>
        <w:pStyle w:val="NormalHanging12a"/>
      </w:pPr>
      <w:r w:rsidRPr="00EC1CED">
        <w:t>U.</w:t>
      </w:r>
      <w:r w:rsidRPr="00EC1CED">
        <w:tab/>
        <w:t xml:space="preserve">tā kā papildus militārajam spiedienam ĶTR jau ilgi ir īstenojusi sarežģītu stratēģiju ar mērķi graut Taivānas demokrātisko sabiedrību, vēršoties pret Taivānu ar ārvalstu īstenotu informācijas manipulāciju un iejaukšanos, arī </w:t>
      </w:r>
      <w:proofErr w:type="spellStart"/>
      <w:r w:rsidRPr="00EC1CED">
        <w:t>hibrīduzbrukumiem</w:t>
      </w:r>
      <w:proofErr w:type="spellEnd"/>
      <w:r w:rsidRPr="00EC1CED">
        <w:t xml:space="preserve"> un kiberuzbrukumiem;</w:t>
      </w:r>
    </w:p>
    <w:p w:rsidR="00153029" w:rsidRPr="00EC1CED" w:rsidRDefault="00153029" w:rsidP="00153029">
      <w:pPr>
        <w:pStyle w:val="NormalHanging12a"/>
      </w:pPr>
      <w:r w:rsidRPr="00EC1CED">
        <w:t>V.</w:t>
      </w:r>
      <w:r w:rsidRPr="00EC1CED">
        <w:tab/>
        <w:t xml:space="preserve">tā kā ĶTR līderis </w:t>
      </w:r>
      <w:proofErr w:type="spellStart"/>
      <w:r w:rsidRPr="00EC1CED">
        <w:rPr>
          <w:i/>
          <w:iCs/>
        </w:rPr>
        <w:t>Xi</w:t>
      </w:r>
      <w:proofErr w:type="spellEnd"/>
      <w:r w:rsidRPr="00EC1CED">
        <w:rPr>
          <w:i/>
          <w:iCs/>
        </w:rPr>
        <w:t xml:space="preserve"> </w:t>
      </w:r>
      <w:proofErr w:type="spellStart"/>
      <w:r w:rsidRPr="00EC1CED">
        <w:rPr>
          <w:i/>
          <w:iCs/>
        </w:rPr>
        <w:t>Jinping</w:t>
      </w:r>
      <w:proofErr w:type="spellEnd"/>
      <w:r w:rsidRPr="00EC1CED">
        <w:t xml:space="preserve"> ir paziņojis, ka Ķīna neatteiksies no spēka pielietošanas centienos apvienoties ar Taivānu;</w:t>
      </w:r>
    </w:p>
    <w:p w:rsidR="00153029" w:rsidRPr="00EC1CED" w:rsidRDefault="00153029" w:rsidP="00153029">
      <w:pPr>
        <w:pStyle w:val="NormalHanging12a"/>
      </w:pPr>
      <w:r w:rsidRPr="00EC1CED">
        <w:t>W.</w:t>
      </w:r>
      <w:r w:rsidRPr="00EC1CED">
        <w:tab/>
        <w:t>tā kā ĶTR 2005. gada tiesību akts par atdalīšanās aizliegumu paredz arī nemiermīlīgu līdzekļu piemērošanu neskaidri definētos gadījumos, lai panāktu to, ko ĶTR dēvē par apvienošanos ar Taivānu; tā kā šādas militārās darbības rada nopietnus draudus visa reģiona drošībai un stabilitātei un var izraisīt smagas globālas sekas, tā kā ES un ASV īstenotajai atturēšanai ir stratēģiska nozīme, lai nepieļautu nekādu ĶTR vienpusēju rīcību pret Taivānu;</w:t>
      </w:r>
    </w:p>
    <w:p w:rsidR="00153029" w:rsidRPr="00EC1CED" w:rsidRDefault="00153029" w:rsidP="00153029">
      <w:pPr>
        <w:pStyle w:val="NormalHanging12a"/>
      </w:pPr>
      <w:r w:rsidRPr="00EC1CED">
        <w:t>X.</w:t>
      </w:r>
      <w:r w:rsidRPr="00EC1CED">
        <w:tab/>
        <w:t xml:space="preserve">tā kā ĶTR aizvien agresīvākā rīcība, jo īpaši </w:t>
      </w:r>
      <w:proofErr w:type="spellStart"/>
      <w:r w:rsidRPr="00EC1CED">
        <w:t>kaimiņreģionos</w:t>
      </w:r>
      <w:proofErr w:type="spellEnd"/>
      <w:r w:rsidRPr="00EC1CED">
        <w:t>, piemēram, Taivānas šaurumā un Dienvidķīnas jūrā, apdraud reģionālo un globālo drošību; tā kā kopš 2019. gada ĶTR aizvien regulārāk ir pārkāpusi Taivānas pretgaisa aizsardzības identifikācijas zonu; tā kā ĶTR ir veikusi agresīvas darbības plašās Indijas un Klusā okeāna reģiona teritorijās un izmantojusi dažādas intensitātes militāru vai ekonomisku spiedienu, kas novedis pie strīdiem ar kaimiņvalstīm, piemēram, Japānu, Indiju, Filipīnām un Austrāliju,</w:t>
      </w:r>
    </w:p>
    <w:p w:rsidR="00153029" w:rsidRPr="00EC1CED" w:rsidRDefault="00153029" w:rsidP="00153029">
      <w:pPr>
        <w:pStyle w:val="NormalHanging12a"/>
      </w:pPr>
      <w:r w:rsidRPr="00EC1CED">
        <w:t>Y.</w:t>
      </w:r>
      <w:r w:rsidRPr="00EC1CED">
        <w:tab/>
        <w:t xml:space="preserve">tā kā ES ir nosodījusi Ķīnas krasta apsardzes kuģu bīstamās darbības pret Filipīnu veiktām likumīgām jūras operācijām Dienvidķīnas jūrā 2024. gada 31. augustā; tā kā šis incidents ir jaunākais piemērs darbībām, kas apdraud cilvēku dzīvības aizsardzību jūrā un pārkāpj tiesības uz kuģošanas un pārlidojumu brīvību saskaņā ar starptautiskajām tiesībām; tā kā drošība jūrā un kuģošanas brīvība ir jāgarantē saskaņā ar starptautiskajām tiesībām un jo īpaši </w:t>
      </w:r>
      <w:r w:rsidRPr="00EC1CED">
        <w:rPr>
          <w:i/>
          <w:iCs/>
        </w:rPr>
        <w:t>UNCLOS</w:t>
      </w:r>
      <w:r w:rsidRPr="00EC1CED">
        <w:t>;</w:t>
      </w:r>
    </w:p>
    <w:p w:rsidR="00153029" w:rsidRPr="00EC1CED" w:rsidRDefault="00153029" w:rsidP="00153029">
      <w:pPr>
        <w:pStyle w:val="NormalHanging12a"/>
        <w:rPr>
          <w:shd w:val="clear" w:color="auto" w:fill="FFFFFF"/>
        </w:rPr>
      </w:pPr>
      <w:r w:rsidRPr="00EC1CED">
        <w:t>Z.</w:t>
      </w:r>
      <w:r w:rsidRPr="00EC1CED">
        <w:tab/>
        <w:t>tā kā ĶTR atbalsta Krieviju tās agresijas karā pret Ukrainu, jo īpaši eksportējot uz Krieviju divējāda lietojuma preces un pastāvīgi iesaistot ĶTR uzņēmumus sankciju apiešanā;</w:t>
      </w:r>
    </w:p>
    <w:p w:rsidR="00153029" w:rsidRPr="00EC1CED" w:rsidRDefault="00153029" w:rsidP="00153029">
      <w:pPr>
        <w:pStyle w:val="NormalHanging12a"/>
      </w:pPr>
      <w:r w:rsidRPr="00EC1CED">
        <w:t>AA.</w:t>
      </w:r>
      <w:r w:rsidRPr="00EC1CED">
        <w:tab/>
        <w:t>tā kā ĶTR kā ANO Drošības padomes pastāvīgā locekle ir atbildīga par miera un stabilitātes nodrošināšanu reģionā un jo īpaši Taivānas šaurumā;</w:t>
      </w:r>
    </w:p>
    <w:p w:rsidR="00153029" w:rsidRPr="00EC1CED" w:rsidRDefault="00153029" w:rsidP="00153029">
      <w:pPr>
        <w:pStyle w:val="NormalHanging12a"/>
      </w:pPr>
      <w:r w:rsidRPr="00EC1CED">
        <w:t>AB.</w:t>
      </w:r>
      <w:r w:rsidRPr="00EC1CED">
        <w:tab/>
        <w:t>tā kā ES un tās dalībvalstis, īstenojot 2021. gada stratēģiju sadarbībai Indijas un Klusā okeāna reģionā, ir pastiprinājušas savu klātbūtni reģionā, tostarp palielinot dažu dalībvalstu militāro klātbūtni un nodrošinot militāro kuģu regulāru satiksmi caur Taivānas šaurumu;</w:t>
      </w:r>
    </w:p>
    <w:p w:rsidR="00153029" w:rsidRPr="00EC1CED" w:rsidRDefault="00153029" w:rsidP="00153029">
      <w:pPr>
        <w:pStyle w:val="NormalHanging12a"/>
      </w:pPr>
      <w:r w:rsidRPr="00EC1CED">
        <w:t>AC.</w:t>
      </w:r>
      <w:r w:rsidRPr="00EC1CED">
        <w:tab/>
        <w:t xml:space="preserve">tā kā situācija Taivānā ir stratēģiski svarīga no tirdzniecības viedokļa, jo īpaši attiecībā uz augsto tehnoloģiju piegādes ķēdēm; tā kā Taivānas šaurums ir galvenais maršruts kuģiem, kas no Ķīnas, Japānas, Dienvidkorejas un Taivānas dodas uz Eiropu; tā kā </w:t>
      </w:r>
      <w:r w:rsidRPr="00EC1CED">
        <w:lastRenderedPageBreak/>
        <w:t>Taivāna dominē pusvadītāju ražošanas tirgos, tās uzņēmumiem saražojot aptuveni 50 % no visas pusvadītāju produkcijas pasaulē; tā kā ES stratēģijā sadarbībai Indijas un Klusā okeāna reģionā ir aicināts palielināt sadarbību ar Taivānu tirdzniecības un investīciju jomā;</w:t>
      </w:r>
    </w:p>
    <w:p w:rsidR="00153029" w:rsidRPr="00EC1CED" w:rsidRDefault="00153029" w:rsidP="00153029">
      <w:pPr>
        <w:pStyle w:val="NormalHanging12a"/>
      </w:pPr>
      <w:r w:rsidRPr="00EC1CED">
        <w:t>AD.</w:t>
      </w:r>
      <w:r w:rsidRPr="00EC1CED">
        <w:tab/>
        <w:t>tā kā ES ir Taivānas ceturtā lielākā tirdzniecības partnere pēc ĶTR, Amerikas Savienotajām Valstīm un Japānas; tā kā 2022. gadā Taivāna bija ES 12. lielākā tirdzniecības partnere; tā kā ES ir lielākais ārvalstu tiešo investīciju avots Taivānā; tā kā Taivānas investīciju līmenis Eiropas Savienībā joprojām ir zemāks, nekā tas varētu būt;</w:t>
      </w:r>
    </w:p>
    <w:p w:rsidR="00153029" w:rsidRPr="00EC1CED" w:rsidRDefault="00153029" w:rsidP="00153029">
      <w:pPr>
        <w:pStyle w:val="NormalHanging12a"/>
      </w:pPr>
      <w:r w:rsidRPr="00EC1CED">
        <w:t>AE.</w:t>
      </w:r>
      <w:r w:rsidRPr="00EC1CED">
        <w:tab/>
        <w:t>tā kā Austrālijas Senāta un Nīderlandes Pārstāvju palātas deputāti nesen pieņēma priekšlikumus attiecībā uz ĶTR sagrozīto ANO Rezolūcijas Nr. 2758 interpretāciju un aicināja atbalstīt Taivānas plašāku līdzdalību daudzpusējās organizācijās,</w:t>
      </w:r>
    </w:p>
    <w:p w:rsidR="00153029" w:rsidRPr="00EC1CED" w:rsidRDefault="00153029" w:rsidP="00153029">
      <w:pPr>
        <w:pStyle w:val="NormalHanging12a"/>
      </w:pPr>
      <w:r w:rsidRPr="00EC1CED">
        <w:t>1.</w:t>
      </w:r>
      <w:r w:rsidRPr="00EC1CED">
        <w:tab/>
        <w:t>atkārtoti norāda, ka Taivāna ir svarīga ES partnere un līdzīgi domājoša demokrātiska sabiedrotā Indijas un Klusā okeāna reģionā; uzteic Taivānu un tās iedzīvotājus par stabilo demokrātiju un dinamisko pilsonisko sabiedrību, ko vēlreiz apliecināja miermīlīgās un labi organizētās vēlēšanas 2024. gada 13. janvārī;</w:t>
      </w:r>
    </w:p>
    <w:p w:rsidR="00153029" w:rsidRPr="00EC1CED" w:rsidRDefault="00153029" w:rsidP="00153029">
      <w:pPr>
        <w:pStyle w:val="NormalHanging12a"/>
      </w:pPr>
      <w:r w:rsidRPr="00EC1CED">
        <w:t>2.</w:t>
      </w:r>
      <w:r w:rsidRPr="00EC1CED">
        <w:tab/>
        <w:t xml:space="preserve">iebilst pret ĶTR nepārtraukto ANO Rezolūcijas Nr. 2758 sagrozīšanu un tās mēģinājumiem bloķēt Taivānas dalību daudzpusējās organizācijās; aicina ES un tās dalībvalstis atbalstīt Taivānas jēgpilnu līdzdalību attiecīgajās starptautiskajās organizācijās, piemēram, PVO, </w:t>
      </w:r>
      <w:r w:rsidRPr="00EC1CED">
        <w:rPr>
          <w:i/>
          <w:iCs/>
        </w:rPr>
        <w:t>ICAO</w:t>
      </w:r>
      <w:r w:rsidRPr="00EC1CED">
        <w:t xml:space="preserve">, Interpolā un </w:t>
      </w:r>
      <w:r w:rsidRPr="00EC1CED">
        <w:rPr>
          <w:i/>
          <w:iCs/>
        </w:rPr>
        <w:t>UNFCCC</w:t>
      </w:r>
      <w:r w:rsidRPr="00EC1CED">
        <w:t xml:space="preserve">; turklāt aicina ANO Sekretariātu piešķirt Taivānas </w:t>
      </w:r>
      <w:proofErr w:type="spellStart"/>
      <w:r w:rsidRPr="00EC1CED">
        <w:t>valstspiederīgajiem</w:t>
      </w:r>
      <w:proofErr w:type="spellEnd"/>
      <w:r w:rsidRPr="00EC1CED">
        <w:t xml:space="preserve"> un žurnālistiem tiesības piekļūt ANO telpām apmeklējumu, piedalīšanās sanāksmēs un ziņu vākšanas vajadzībām;</w:t>
      </w:r>
    </w:p>
    <w:p w:rsidR="00153029" w:rsidRPr="00EC1CED" w:rsidRDefault="00153029" w:rsidP="00153029">
      <w:pPr>
        <w:pStyle w:val="NormalHanging12a"/>
      </w:pPr>
      <w:r w:rsidRPr="00EC1CED">
        <w:t>3.</w:t>
      </w:r>
      <w:r w:rsidRPr="00EC1CED">
        <w:tab/>
        <w:t xml:space="preserve">stingri nosoda ĶTR 2024. gada 14. oktobra nepamatotās militārās mācības, nepārtrauktās militārās provokācijas pret Taivānu un pastāvīgo militāro spēju palielināšanu, kas maina varas līdzsvaru Indijas un Klusā okeāna reģionā, un vēlreiz stingri iebilst pret jebkādām vienpusējām </w:t>
      </w:r>
      <w:r w:rsidRPr="00EC1CED">
        <w:rPr>
          <w:i/>
          <w:iCs/>
        </w:rPr>
        <w:t xml:space="preserve">status </w:t>
      </w:r>
      <w:proofErr w:type="spellStart"/>
      <w:r w:rsidRPr="00EC1CED">
        <w:rPr>
          <w:i/>
          <w:iCs/>
        </w:rPr>
        <w:t>quo</w:t>
      </w:r>
      <w:proofErr w:type="spellEnd"/>
      <w:r w:rsidRPr="00EC1CED">
        <w:t xml:space="preserve"> izmaiņām Taivānas šaurumā; atzinīgi vērtē Taivānas iestāžu savaldību un disciplinēto reakciju un aicina ES un tās Taivānas partnerus regulāri apmainīties ar informāciju par attiecīgajiem drošības jautājumiem;</w:t>
      </w:r>
    </w:p>
    <w:p w:rsidR="00153029" w:rsidRPr="00EC1CED" w:rsidRDefault="00153029" w:rsidP="00153029">
      <w:pPr>
        <w:pStyle w:val="NormalHanging12a"/>
      </w:pPr>
      <w:r w:rsidRPr="00EC1CED">
        <w:t>4.</w:t>
      </w:r>
      <w:r w:rsidRPr="00EC1CED">
        <w:tab/>
        <w:t xml:space="preserve">atkārtoti apstiprina stingru apņemšanos uzturēt </w:t>
      </w:r>
      <w:r w:rsidRPr="00EC1CED">
        <w:rPr>
          <w:i/>
          <w:iCs/>
        </w:rPr>
        <w:t xml:space="preserve">status </w:t>
      </w:r>
      <w:proofErr w:type="spellStart"/>
      <w:r w:rsidRPr="00EC1CED">
        <w:rPr>
          <w:i/>
          <w:iCs/>
        </w:rPr>
        <w:t>quo</w:t>
      </w:r>
      <w:proofErr w:type="spellEnd"/>
      <w:r w:rsidRPr="00EC1CED">
        <w:t xml:space="preserve"> Taivānas šaurumā; uzsver, ka neviens mēģinājums vienpusēji mainīt </w:t>
      </w:r>
      <w:r w:rsidRPr="00EC1CED">
        <w:rPr>
          <w:i/>
          <w:iCs/>
        </w:rPr>
        <w:t xml:space="preserve">status </w:t>
      </w:r>
      <w:proofErr w:type="spellStart"/>
      <w:r w:rsidRPr="00EC1CED">
        <w:rPr>
          <w:i/>
          <w:iCs/>
        </w:rPr>
        <w:t>quo</w:t>
      </w:r>
      <w:proofErr w:type="spellEnd"/>
      <w:r w:rsidRPr="00EC1CED">
        <w:t xml:space="preserve"> Taivānas šaurumā, jo īpaši ar spēku vai piespiešanu, netiks akceptēts un ka tam sekos apņēmīga un stingra pretreakcija;</w:t>
      </w:r>
    </w:p>
    <w:p w:rsidR="00153029" w:rsidRPr="00EC1CED" w:rsidRDefault="00153029" w:rsidP="00153029">
      <w:pPr>
        <w:pStyle w:val="NormalHanging12a"/>
      </w:pPr>
      <w:r w:rsidRPr="00EC1CED">
        <w:t>5.</w:t>
      </w:r>
      <w:r w:rsidRPr="00EC1CED">
        <w:tab/>
        <w:t>uzsver, ka ANO Rezolūcijā Nr. 2758 nav pausta nostāja attiecībā uz Taivānu; stingri noraida un nepieņem ĶTR mēģinājumus sagrozīt vēsturi un starptautiskos noteikumus;</w:t>
      </w:r>
    </w:p>
    <w:p w:rsidR="00153029" w:rsidRPr="00EC1CED" w:rsidRDefault="00153029" w:rsidP="00153029">
      <w:pPr>
        <w:pStyle w:val="NormalHanging12a"/>
      </w:pPr>
      <w:r w:rsidRPr="00EC1CED">
        <w:t>6.</w:t>
      </w:r>
      <w:r w:rsidRPr="00EC1CED">
        <w:tab/>
        <w:t>atkārtoti uzsver ES apņemšanos īstenot “vienas Ķīnas” politiku kā ES un Ķīnas attiecību politisko pamatu; atgādina – ES stratēģijā attiecībā uz Ķīnu ir uzsvērts, ka konstruktīvas savstarpējās attiecības starp Ķīnu un Taivānu palīdz veicināt mieru un drošību visā Āzijas un Klusā okeāna reģionā un ka ES atbalsta iniciatīvas, kas vērstas uz dialogu un uzticības veidošanu;</w:t>
      </w:r>
    </w:p>
    <w:p w:rsidR="00153029" w:rsidRPr="00EC1CED" w:rsidRDefault="00153029" w:rsidP="00153029">
      <w:pPr>
        <w:pStyle w:val="NormalHanging12a"/>
      </w:pPr>
      <w:r w:rsidRPr="00EC1CED">
        <w:t>7.</w:t>
      </w:r>
      <w:r w:rsidRPr="00EC1CED">
        <w:tab/>
        <w:t xml:space="preserve">uzsver, ka Taivānā iedzīvotājiem ir tiesības demokrātiski lemt par to, kā viņi vēlas dzīvot, un ka </w:t>
      </w:r>
      <w:r w:rsidRPr="00EC1CED">
        <w:rPr>
          <w:i/>
          <w:iCs/>
        </w:rPr>
        <w:t xml:space="preserve">status </w:t>
      </w:r>
      <w:proofErr w:type="spellStart"/>
      <w:r w:rsidRPr="00EC1CED">
        <w:rPr>
          <w:i/>
          <w:iCs/>
        </w:rPr>
        <w:t>quo</w:t>
      </w:r>
      <w:proofErr w:type="spellEnd"/>
      <w:r w:rsidRPr="00EC1CED">
        <w:t xml:space="preserve"> Taivānas šaurumā nedrīkst mainīt vienpusēji, izmantojot vardarbību vai draudot ar to;</w:t>
      </w:r>
    </w:p>
    <w:p w:rsidR="00153029" w:rsidRPr="00EC1CED" w:rsidRDefault="00153029" w:rsidP="00153029">
      <w:pPr>
        <w:pStyle w:val="NormalHanging12a"/>
      </w:pPr>
      <w:r w:rsidRPr="00EC1CED">
        <w:t>8.</w:t>
      </w:r>
      <w:r w:rsidRPr="00EC1CED">
        <w:tab/>
        <w:t xml:space="preserve">vēlreiz stingri nosoda Ķīnas prezidenta </w:t>
      </w:r>
      <w:proofErr w:type="spellStart"/>
      <w:r w:rsidRPr="00EC1CED">
        <w:rPr>
          <w:i/>
          <w:iCs/>
        </w:rPr>
        <w:t>Xi</w:t>
      </w:r>
      <w:proofErr w:type="spellEnd"/>
      <w:r w:rsidRPr="00EC1CED">
        <w:rPr>
          <w:i/>
          <w:iCs/>
        </w:rPr>
        <w:t xml:space="preserve"> </w:t>
      </w:r>
      <w:proofErr w:type="spellStart"/>
      <w:r w:rsidRPr="00EC1CED">
        <w:rPr>
          <w:i/>
          <w:iCs/>
        </w:rPr>
        <w:t>Jinping</w:t>
      </w:r>
      <w:proofErr w:type="spellEnd"/>
      <w:r w:rsidRPr="00EC1CED">
        <w:t xml:space="preserve"> paziņojumus, ka ĶTR nekad </w:t>
      </w:r>
      <w:r w:rsidRPr="00EC1CED">
        <w:lastRenderedPageBreak/>
        <w:t>neatteiksies no tiesībām izmantot spēku pret Taivānu; uzsver, ka spēka, draudu un citu stingru piespiedu pasākumu izmantošana no ĶTR puses, lai panāktu apvienošanos, nav saderīga ar starptautiskajām tiesībām; pauž nopietnas bažas par to, ka ĶTR izmanto naidīgu dezinformāciju, lai mazinātu uzticēšanos Taivānas demokrātijai un valsts pārvaldei; atkārtoti aicina ES un tās dalībvalstis sadarboties ar starptautiskajiem partneriem, lai palīdzētu uzturēt demokrātiju Taivānā un pasargātu to no ārvalstu iejaukšanās un apdraudējumiem; uzsver, ka tikai demokrātiski ievēlēta Taivānas valdība var pārstāvēt Taivānas tautu starptautiskajā arēnā;</w:t>
      </w:r>
    </w:p>
    <w:p w:rsidR="00153029" w:rsidRPr="00EC1CED" w:rsidRDefault="00153029" w:rsidP="00153029">
      <w:pPr>
        <w:pStyle w:val="NormalHanging12a"/>
      </w:pPr>
      <w:r w:rsidRPr="00EC1CED">
        <w:t>9.</w:t>
      </w:r>
      <w:r w:rsidRPr="00EC1CED">
        <w:tab/>
        <w:t xml:space="preserve">nosoda ĶTR sistemātiskās “pelēkās zonas” militārās darbības, cita starpā pret Taivānu vērstās </w:t>
      </w:r>
      <w:proofErr w:type="spellStart"/>
      <w:r w:rsidRPr="00EC1CED">
        <w:t>kiberkampaņas</w:t>
      </w:r>
      <w:proofErr w:type="spellEnd"/>
      <w:r w:rsidRPr="00EC1CED">
        <w:t xml:space="preserve"> un dezinformācijas kampaņas, un mudina ĶTR šīs darbības nekavējoties apturēt; šajā sakarībā aicina vēl vairāk padziļināt ES un Taivānas sadarbību, lai uzlabotu strukturālo sadarbību dezinformācijas un ārvalstu iejaukšanās apkarošanā; atzinīgi vērtē sadarbības koordinatora norīkošanu Eiropas Ekonomikas un tirdzniecības birojā Taivānā, lai koordinētu kopīgos centienus cīņā pret dezinformāciju un iejaukšanos, kā pirmo svarīgo soli ceļā uz ciešāku ES un Taivānas sadarbību un aicina ES turpināt padziļināt sadarbību ar Taivānu šajā svarīgajā jomā; atzinīgi vērtē Taivānas tautas drosmi un Taivānas iestāžu un iestāžu samērīgo un </w:t>
      </w:r>
      <w:proofErr w:type="spellStart"/>
      <w:r w:rsidRPr="00EC1CED">
        <w:t>cieņpilno</w:t>
      </w:r>
      <w:proofErr w:type="spellEnd"/>
      <w:r w:rsidRPr="00EC1CED">
        <w:t xml:space="preserve"> reakciju uz draudu un darbību pastiprināšanos no Ķīnas puses;</w:t>
      </w:r>
    </w:p>
    <w:p w:rsidR="00153029" w:rsidRPr="00EC1CED" w:rsidRDefault="00153029" w:rsidP="00153029">
      <w:pPr>
        <w:pStyle w:val="NormalHanging12a"/>
        <w:rPr>
          <w:bCs/>
        </w:rPr>
      </w:pPr>
      <w:r w:rsidRPr="00EC1CED">
        <w:t>10.</w:t>
      </w:r>
      <w:r w:rsidRPr="00EC1CED">
        <w:tab/>
        <w:t>stingri iebilst pret ĶTR ekonomisko spiedienu uz Taivānu un citām valstīm, kā arī uz ES dalībvalstīm un uzsver, ka šāda prakse ir ne tikai nelikumīga saskaņā ar Pasaules Tirdzniecības organizācijas noteikumiem, bet arī grauj ĶTR reputāciju visā pasaulē un vēl vairāk mazinās uzticēšanos ĶTR kā atbildīgai dalībniecei; uzsver ES un tās dalībvalstu suverēnās tiesības veidot attiecības ar Taivānu saskaņā ar savām interesēm un kopīgajām demokrātijas un cilvēktiesību vērtībām bez ārvalstu iejaukšanās; aicina ES un dalībvalstu misijas ārvalstīs vērsties pret ļaunprātīgu ĶTR uzņēmējdarbības praksi un nodrošināt tai alternatīvas, jo īpaši globālajos dienvidos;</w:t>
      </w:r>
    </w:p>
    <w:p w:rsidR="00153029" w:rsidRPr="00EC1CED" w:rsidRDefault="00153029" w:rsidP="00153029">
      <w:pPr>
        <w:pStyle w:val="NormalHanging12a"/>
      </w:pPr>
      <w:r w:rsidRPr="00EC1CED">
        <w:t>11.</w:t>
      </w:r>
      <w:r w:rsidRPr="00EC1CED">
        <w:tab/>
        <w:t>pauž dziļas bažas par to, ka ir pieņemtas tā dēvētās pamatnostādnes attiecībā uz “radikālu Taivānas separātistu” sodīšanu par noziegumiem saistībā ar atdalīšanos un musināšanu uz to, kuras Augstākā tautas tiesa, Augstākā tautas prokuratūra, Sabiedriskās drošības ministrija, Valsts drošības ministrija un Tieslietu ministrija kopīgi izziņoja 2024. gada jūnijā un kuru rezultātā par noziegumiem, kas saistīti ar atdalīšanos, varētu piespriest smagus sodus un pat nāvessodu;  stingri nosoda to, ka 2024. gada septembrī Taivānas aktīvistam tika piespriests deviņu gadu cietumsods pēc tam, kad viņš tika arestēts ĶTR 2022. gadā, un pauž nožēlu arī par pastāvīgo vajāšanu, kas vērsta pret Taivānas iedzīvotājiem, kuri strādā un dzīvo ĶTR;</w:t>
      </w:r>
    </w:p>
    <w:p w:rsidR="00153029" w:rsidRPr="00EC1CED" w:rsidRDefault="00153029" w:rsidP="00153029">
      <w:pPr>
        <w:pStyle w:val="NormalHanging12a"/>
      </w:pPr>
      <w:r w:rsidRPr="00EC1CED">
        <w:t>12.</w:t>
      </w:r>
      <w:r w:rsidRPr="00EC1CED">
        <w:tab/>
        <w:t xml:space="preserve">pauž nopietnas bažas par situāciju Austrumķīnas un Dienvidķīnas jūrā; atkārtoti uzsver to, cik svarīgi ir ievērot starptautiskās tiesības, tostarp </w:t>
      </w:r>
      <w:r w:rsidRPr="00EC1CED">
        <w:rPr>
          <w:i/>
          <w:iCs/>
        </w:rPr>
        <w:t>UNCLOS</w:t>
      </w:r>
      <w:r w:rsidRPr="00EC1CED">
        <w:t xml:space="preserve"> un jo īpaši tās noteikumus par pienākumu izšķirt strīdus miermīlīgā ceļā un par kuģošanas un pārlidojumu brīvības saglabāšanu; aicina visas valstis, kas to nav vēl izdarījušas, nekavējoties ratificēt </w:t>
      </w:r>
      <w:r w:rsidRPr="00EC1CED">
        <w:rPr>
          <w:i/>
          <w:iCs/>
        </w:rPr>
        <w:t>UNCLOS</w:t>
      </w:r>
      <w:r w:rsidRPr="00EC1CED">
        <w:t>; aicina ES un tās dalībvalstis palielināt savu jūras spēku spējas reģionā; atgādina ĶTR par tās kā ANO Drošības padomes pastāvīgās locekles pienākumiem ievērot starptautiskās tiesības un uzsver pienākumu strīdus atrisināt miermīlīgā ceļā;</w:t>
      </w:r>
    </w:p>
    <w:p w:rsidR="00153029" w:rsidRPr="00EC1CED" w:rsidRDefault="00153029" w:rsidP="00153029">
      <w:pPr>
        <w:pStyle w:val="NormalHanging12a"/>
      </w:pPr>
      <w:r w:rsidRPr="00EC1CED">
        <w:t>13.</w:t>
      </w:r>
      <w:r w:rsidRPr="00EC1CED">
        <w:tab/>
        <w:t xml:space="preserve">atkārtoti pauž dziļas bažas par Ķīnas pieaugošajām investīcijām un spējām militārajā jomā; pauž nopietnas bažas par Ķīnas un Krievijas no jauna izteikto apņemšanos vēl vairāk stiprināt savas militārās saites un nosoda to, ka Ķīna piegādā sastāvdaļas un </w:t>
      </w:r>
      <w:r w:rsidRPr="00EC1CED">
        <w:lastRenderedPageBreak/>
        <w:t>ekipējumu Maskavas militārajai rūpniecībai; atzinīgi vērtē Padomes lēmumu piemērot sankcijas Ķīnas uzņēmumiem par atbalsta sniegšanu Krievijai tās karā pret Ukrainu; pauž nožēlu par Krievijas un ĶTR “neierobežotajām” partnerattiecībām; atzinīgi vērtē Amerikas Savienoto Valstu pieaugošo apņēmību un militāro klātbūtni Indijas un Klusā okeāna reģionā; atkārtoti aicina īstenot koordinētu pieeju, lai padziļinātu ES un ASV sadarbību drošības jautājumos, tostarp izmantojot transatlantisko parlamentāro dialogu;</w:t>
      </w:r>
    </w:p>
    <w:p w:rsidR="00153029" w:rsidRPr="00EC1CED" w:rsidRDefault="00153029" w:rsidP="00153029">
      <w:pPr>
        <w:pStyle w:val="NormalHanging12a"/>
      </w:pPr>
      <w:r w:rsidRPr="00EC1CED">
        <w:t>14.</w:t>
      </w:r>
      <w:r w:rsidRPr="00EC1CED">
        <w:tab/>
        <w:t>ļoti atzinīgi vērtē Taivānas ciešo sadarbību un politikas saskaņošanu ar ES un Amerikas Savienotajām Valstīm, reaģējot uz Krievijas karu pret Ukrainu, un sankciju noteikšanu, reaģējot uz šo starptautisko tiesību klajo pārkāpumu; atgādina par Taivānas palīdzību Krievijas agresijas kara pret Ukrainu izraisītās humanitārās krīzes novēršanā, kā arī par Taivānas pastāvīgo apņēmību un atbalsta sniegšanu Ukrainas valdībai un valstīm, kas uzņem Ukrainas bēgļus;</w:t>
      </w:r>
    </w:p>
    <w:p w:rsidR="00153029" w:rsidRPr="00EC1CED" w:rsidRDefault="00153029" w:rsidP="00153029">
      <w:pPr>
        <w:pStyle w:val="NormalHanging12a"/>
      </w:pPr>
      <w:r w:rsidRPr="00EC1CED">
        <w:t>15.</w:t>
      </w:r>
      <w:r w:rsidRPr="00EC1CED">
        <w:tab/>
        <w:t xml:space="preserve">uzsver, ka dažādās ĶTR darbības kognitīvā un juridiskā kara jomā pamazām vājina </w:t>
      </w:r>
      <w:r w:rsidRPr="00EC1CED">
        <w:rPr>
          <w:i/>
          <w:iCs/>
        </w:rPr>
        <w:t xml:space="preserve">status </w:t>
      </w:r>
      <w:proofErr w:type="spellStart"/>
      <w:r w:rsidRPr="00EC1CED">
        <w:rPr>
          <w:i/>
          <w:iCs/>
        </w:rPr>
        <w:t>quo</w:t>
      </w:r>
      <w:proofErr w:type="spellEnd"/>
      <w:r w:rsidRPr="00EC1CED">
        <w:t xml:space="preserve"> un vienlaikus pastiprina pelēkajā zonā esošās darbības, kuru mērķis ir nepieļaut faktu atklāšanu, apiet spēkā esošos tiesību aktus un pārkāpt reaģēšanas robežas; prasa ES noteikt un uzturēt savas sarkanās līnijas, izmantojot pret </w:t>
      </w:r>
      <w:proofErr w:type="spellStart"/>
      <w:r w:rsidRPr="00EC1CED">
        <w:t>hibrīddarbībām</w:t>
      </w:r>
      <w:proofErr w:type="spellEnd"/>
      <w:r w:rsidRPr="00EC1CED">
        <w:t xml:space="preserve"> un </w:t>
      </w:r>
      <w:proofErr w:type="spellStart"/>
      <w:r w:rsidRPr="00EC1CED">
        <w:t>kiberdraudiem</w:t>
      </w:r>
      <w:proofErr w:type="spellEnd"/>
      <w:r w:rsidRPr="00EC1CED">
        <w:t xml:space="preserve"> vērstu sankciju instrumentu kopumu, kas cita starpā ietver nozaru sankcijas, un saskaņot ar līdzīgi domājošiem partneriem stingrus diplomātiskos un ekonomiskos atturēšanas pasākumus;</w:t>
      </w:r>
    </w:p>
    <w:p w:rsidR="00153029" w:rsidRPr="00EC1CED" w:rsidRDefault="00153029" w:rsidP="00153029">
      <w:pPr>
        <w:pStyle w:val="NormalHanging12a"/>
      </w:pPr>
      <w:r w:rsidRPr="00EC1CED">
        <w:t>16.</w:t>
      </w:r>
      <w:r w:rsidRPr="00EC1CED">
        <w:tab/>
        <w:t>pauž pateicību Taivānai par tās sniegto palīdzību un atbalstu Covid-19 pandēmijas laikā;</w:t>
      </w:r>
    </w:p>
    <w:p w:rsidR="00153029" w:rsidRPr="00EC1CED" w:rsidRDefault="00153029" w:rsidP="00153029">
      <w:pPr>
        <w:pStyle w:val="NormalHanging12a"/>
      </w:pPr>
      <w:r w:rsidRPr="00EC1CED">
        <w:t>17.</w:t>
      </w:r>
      <w:r w:rsidRPr="00EC1CED">
        <w:tab/>
        <w:t>atzīst Taivānas nozīmi globālo piegādes ķēžu nodrošināšanā, jo īpaši augsto tehnoloģiju nozarē, kur Taivāna ir vadošā pusvadītāju ražotāja, un aicina ES un tās dalībvalstis ciešāk sadarboties ar Taivānu;</w:t>
      </w:r>
    </w:p>
    <w:p w:rsidR="00153029" w:rsidRPr="00EC1CED" w:rsidRDefault="00153029" w:rsidP="00153029">
      <w:pPr>
        <w:pStyle w:val="NormalHanging12a"/>
      </w:pPr>
      <w:r w:rsidRPr="00EC1CED">
        <w:t>18.</w:t>
      </w:r>
      <w:r w:rsidRPr="00EC1CED">
        <w:tab/>
        <w:t>aicina Komisiju nekavējoties sākt sagatavošanas pasākumus sarunām par divpusēju investīciju nolīgumu vai citu veidu nolīgumiem ar Taivānu; uzsver sadarbības potenciālu ārvalstu tiešo investīciju izvērtēšanā un cīņā pret ekonomisko piespiešanu un represīviem pasākumiem;</w:t>
      </w:r>
    </w:p>
    <w:p w:rsidR="00153029" w:rsidRPr="00EC1CED" w:rsidRDefault="00153029" w:rsidP="00153029">
      <w:pPr>
        <w:pStyle w:val="NormalHanging12a"/>
      </w:pPr>
      <w:r w:rsidRPr="00EC1CED">
        <w:t>19.</w:t>
      </w:r>
      <w:r w:rsidRPr="00EC1CED">
        <w:tab/>
        <w:t>atzinīgi vērtē to, ka ir palielinājies kuģošanas brīvības operāciju skaits, kurās iesaistītas vairākas ES valstis, tostarp Francija, Nīderlande un Vācija; norāda, ka šīs darbības notiek saskaņā ar starptautiskajām tiesībām, un prasa pastiprināt sadarbību un koordināciju ar reģionālajiem partneriem, lai palielinātu kuģošanas brīvības operāciju skaitu šajā reģionā;</w:t>
      </w:r>
    </w:p>
    <w:p w:rsidR="00153029" w:rsidRPr="00EC1CED" w:rsidRDefault="00153029" w:rsidP="00153029">
      <w:pPr>
        <w:pStyle w:val="NormalHanging12a"/>
      </w:pPr>
      <w:r w:rsidRPr="00EC1CED">
        <w:t>20.</w:t>
      </w:r>
      <w:r w:rsidRPr="00EC1CED">
        <w:tab/>
        <w:t xml:space="preserve">atzinīgi vērtē bijušo un pašreizējo Taivānas politiķu vizītes Eiropā, tajā skaitā bijušās prezidentes </w:t>
      </w:r>
      <w:proofErr w:type="spellStart"/>
      <w:r w:rsidRPr="00EC1CED">
        <w:rPr>
          <w:i/>
          <w:iCs/>
        </w:rPr>
        <w:t>Tsai</w:t>
      </w:r>
      <w:proofErr w:type="spellEnd"/>
      <w:r w:rsidRPr="00EC1CED">
        <w:rPr>
          <w:i/>
          <w:iCs/>
        </w:rPr>
        <w:t xml:space="preserve"> </w:t>
      </w:r>
      <w:proofErr w:type="spellStart"/>
      <w:r w:rsidRPr="00EC1CED">
        <w:rPr>
          <w:i/>
          <w:iCs/>
        </w:rPr>
        <w:t>Ing-wen</w:t>
      </w:r>
      <w:proofErr w:type="spellEnd"/>
      <w:r w:rsidRPr="00EC1CED">
        <w:t xml:space="preserve"> neseno vizīti Eiropas Parlamentā 2024. gada 17. oktobrī; turklāt atzinīgi vērtē viedokļu apmaiņu starp Eiropas Parlamenta deputātiem un Taivānu un mudina EP oficiālās delegācijas arī turpmāk apmeklēt Taivānu; mudina arī turpināt viedokļu apmaiņu starp ES un Taivānu visos līmeņos, cita starpā rīkojot politiskas sanāksmes un uzturot tiešus personiskus kontaktus;</w:t>
      </w:r>
    </w:p>
    <w:p w:rsidR="00153029" w:rsidRPr="00EC1CED" w:rsidRDefault="00153029" w:rsidP="00153029">
      <w:pPr>
        <w:pStyle w:val="NormalHanging12a"/>
      </w:pPr>
      <w:r w:rsidRPr="00EC1CED">
        <w:t>21.</w:t>
      </w:r>
      <w:r w:rsidRPr="00EC1CED">
        <w:tab/>
        <w:t xml:space="preserve">šajā sakarībā mudina pastiprināt mijiedarbību un viedokļu apmaiņu ekonomikas, zinātnes un kultūras jomā, īpašu uzmanību cita starpā pievēršot jauniešiem, akadēmiskajām aprindām, pilsoniskajai sabiedrībai, sportam, kultūrai un izglītībai, kā arī pilsētu un reģionu savstarpējām partnerībām; atkārtoti aicina dalībvalstis iesaistīties </w:t>
      </w:r>
      <w:r w:rsidRPr="00EC1CED">
        <w:lastRenderedPageBreak/>
        <w:t>jēgpilnā un strukturālā tehniskajā sadarbībā ar Taivānas Valsts ugunsdzēsības aģentūru un Valsts Policijas aģentūru, kā arī ar vietējām pārvaldes iestādēm civilās aizsardzības un katastrofu pārvarēšanas jomā;</w:t>
      </w:r>
    </w:p>
    <w:p w:rsidR="00153029" w:rsidRPr="00EC1CED" w:rsidRDefault="00153029" w:rsidP="00153029">
      <w:pPr>
        <w:pStyle w:val="NormalHanging12a"/>
      </w:pPr>
      <w:r w:rsidRPr="00EC1CED">
        <w:t>22.</w:t>
      </w:r>
      <w:r w:rsidRPr="00EC1CED">
        <w:tab/>
        <w:t>uzdod priekšsēdētājai šo rezolūciju nosūtīt Padomei, Komisijai, Komisijas priekšsēdētājas vietniekam / ES Augstajam pārstāvim ārlietās un drošības politikas jautājumos un Ķīnas Tautas Republikas un Taivānas valdībām.</w:t>
      </w:r>
    </w:p>
    <w:p w:rsidR="00E365E1" w:rsidRPr="00EC1CED" w:rsidRDefault="00E365E1" w:rsidP="00A609FC">
      <w:bookmarkStart w:id="7" w:name="TextBodyEnd"/>
      <w:bookmarkEnd w:id="7"/>
    </w:p>
    <w:sectPr w:rsidR="00E365E1" w:rsidRPr="00EC1CED" w:rsidSect="00EC1CE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9FC" w:rsidRPr="00EC1CED" w:rsidRDefault="00A609FC">
      <w:r w:rsidRPr="00EC1CED">
        <w:separator/>
      </w:r>
    </w:p>
  </w:endnote>
  <w:endnote w:type="continuationSeparator" w:id="0">
    <w:p w:rsidR="00A609FC" w:rsidRPr="00EC1CED" w:rsidRDefault="00A609FC">
      <w:r w:rsidRPr="00EC1C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1CE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1CE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1C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9FC" w:rsidRPr="00EC1CED" w:rsidRDefault="00A609FC">
      <w:r w:rsidRPr="00EC1CED">
        <w:separator/>
      </w:r>
    </w:p>
  </w:footnote>
  <w:footnote w:type="continuationSeparator" w:id="0">
    <w:p w:rsidR="00A609FC" w:rsidRPr="00EC1CED" w:rsidRDefault="00A609FC">
      <w:r w:rsidRPr="00EC1CED">
        <w:continuationSeparator/>
      </w:r>
    </w:p>
  </w:footnote>
  <w:footnote w:id="1">
    <w:p w:rsidR="00153029" w:rsidRPr="00EC1CED" w:rsidRDefault="00153029" w:rsidP="00EC1CED">
      <w:pPr>
        <w:pStyle w:val="FootnoteText"/>
        <w:ind w:left="567" w:hanging="567"/>
        <w:rPr>
          <w:sz w:val="24"/>
          <w:lang w:val="lv-LV"/>
        </w:rPr>
      </w:pPr>
      <w:r w:rsidRPr="00EC1CED">
        <w:rPr>
          <w:rStyle w:val="FootnoteReference"/>
          <w:sz w:val="24"/>
          <w:lang w:val="lv-LV"/>
        </w:rPr>
        <w:footnoteRef/>
      </w:r>
      <w:r w:rsidR="00EC1CED" w:rsidRPr="00EC1CED">
        <w:rPr>
          <w:sz w:val="24"/>
          <w:lang w:val="lv-LV"/>
        </w:rPr>
        <w:t xml:space="preserve"> </w:t>
      </w:r>
      <w:r w:rsidR="00EC1CED" w:rsidRPr="00EC1CED">
        <w:rPr>
          <w:sz w:val="24"/>
          <w:lang w:val="lv-LV"/>
        </w:rPr>
        <w:tab/>
      </w:r>
      <w:r w:rsidRPr="00EC1CED">
        <w:rPr>
          <w:sz w:val="24"/>
          <w:lang w:val="lv-LV"/>
        </w:rPr>
        <w:t>OV C 117, 11.3.2022., 40. lpp.</w:t>
      </w:r>
    </w:p>
  </w:footnote>
  <w:footnote w:id="2">
    <w:p w:rsidR="00153029" w:rsidRPr="00EC1CED" w:rsidRDefault="00153029" w:rsidP="00EC1CED">
      <w:pPr>
        <w:pStyle w:val="FootnoteText"/>
        <w:ind w:left="567" w:hanging="567"/>
        <w:rPr>
          <w:sz w:val="24"/>
          <w:lang w:val="lv-LV"/>
        </w:rPr>
      </w:pPr>
      <w:r w:rsidRPr="00EC1CED">
        <w:rPr>
          <w:rStyle w:val="FootnoteReference"/>
          <w:sz w:val="24"/>
          <w:lang w:val="lv-LV"/>
        </w:rPr>
        <w:footnoteRef/>
      </w:r>
      <w:r w:rsidR="00EC1CED" w:rsidRPr="00EC1CED">
        <w:rPr>
          <w:sz w:val="24"/>
          <w:lang w:val="lv-LV"/>
        </w:rPr>
        <w:t xml:space="preserve"> </w:t>
      </w:r>
      <w:r w:rsidR="00EC1CED" w:rsidRPr="00EC1CED">
        <w:rPr>
          <w:sz w:val="24"/>
          <w:lang w:val="lv-LV"/>
        </w:rPr>
        <w:tab/>
      </w:r>
      <w:r w:rsidRPr="00EC1CED">
        <w:rPr>
          <w:sz w:val="24"/>
          <w:lang w:val="lv-LV"/>
        </w:rPr>
        <w:t>OV C 184, 5.5.2022., 170. lpp.</w:t>
      </w:r>
    </w:p>
  </w:footnote>
  <w:footnote w:id="3">
    <w:p w:rsidR="00153029" w:rsidRPr="00EC1CED" w:rsidRDefault="00153029" w:rsidP="00EC1CED">
      <w:pPr>
        <w:pStyle w:val="FootnoteText"/>
        <w:ind w:left="567" w:hanging="567"/>
        <w:rPr>
          <w:sz w:val="24"/>
          <w:lang w:val="lv-LV"/>
        </w:rPr>
      </w:pPr>
      <w:r w:rsidRPr="00EC1CED">
        <w:rPr>
          <w:rStyle w:val="FootnoteReference"/>
          <w:sz w:val="24"/>
          <w:lang w:val="lv-LV"/>
        </w:rPr>
        <w:footnoteRef/>
      </w:r>
      <w:r w:rsidR="00EC1CED" w:rsidRPr="00EC1CED">
        <w:rPr>
          <w:sz w:val="24"/>
          <w:lang w:val="lv-LV"/>
        </w:rPr>
        <w:t xml:space="preserve"> </w:t>
      </w:r>
      <w:r w:rsidR="00EC1CED" w:rsidRPr="00EC1CED">
        <w:rPr>
          <w:sz w:val="24"/>
          <w:lang w:val="lv-LV"/>
        </w:rPr>
        <w:tab/>
      </w:r>
      <w:r w:rsidRPr="00EC1CED">
        <w:rPr>
          <w:sz w:val="24"/>
          <w:lang w:val="lv-LV"/>
        </w:rPr>
        <w:t>OV C 493, 27.12.2022., 32. lpp.</w:t>
      </w:r>
    </w:p>
  </w:footnote>
  <w:footnote w:id="4">
    <w:p w:rsidR="00153029" w:rsidRPr="00EC1CED" w:rsidRDefault="00153029" w:rsidP="00EC1CED">
      <w:pPr>
        <w:pStyle w:val="FootnoteText"/>
        <w:ind w:left="567" w:hanging="567"/>
        <w:rPr>
          <w:sz w:val="24"/>
          <w:lang w:val="lv-LV"/>
        </w:rPr>
      </w:pPr>
      <w:r w:rsidRPr="00EC1CED">
        <w:rPr>
          <w:rStyle w:val="FootnoteReference"/>
          <w:sz w:val="24"/>
          <w:lang w:val="lv-LV"/>
        </w:rPr>
        <w:footnoteRef/>
      </w:r>
      <w:r w:rsidR="00EC1CED" w:rsidRPr="00EC1CED">
        <w:rPr>
          <w:sz w:val="24"/>
          <w:lang w:val="lv-LV"/>
        </w:rPr>
        <w:t xml:space="preserve"> </w:t>
      </w:r>
      <w:r w:rsidR="00EC1CED" w:rsidRPr="00EC1CED">
        <w:rPr>
          <w:sz w:val="24"/>
          <w:lang w:val="lv-LV"/>
        </w:rPr>
        <w:tab/>
      </w:r>
      <w:r w:rsidRPr="00EC1CED">
        <w:rPr>
          <w:sz w:val="24"/>
          <w:lang w:val="lv-LV"/>
        </w:rPr>
        <w:t>OV C 125, 5.4.2023., 149. lpp.</w:t>
      </w:r>
    </w:p>
  </w:footnote>
  <w:footnote w:id="5">
    <w:p w:rsidR="00153029" w:rsidRPr="00EC1CED" w:rsidRDefault="00153029" w:rsidP="00EC1CED">
      <w:pPr>
        <w:pStyle w:val="FootnoteText"/>
        <w:ind w:left="567" w:hanging="567"/>
        <w:rPr>
          <w:sz w:val="24"/>
          <w:lang w:val="lv-LV"/>
        </w:rPr>
      </w:pPr>
      <w:r w:rsidRPr="00EC1CED">
        <w:rPr>
          <w:rStyle w:val="FootnoteReference"/>
          <w:sz w:val="24"/>
          <w:lang w:val="lv-LV"/>
        </w:rPr>
        <w:footnoteRef/>
      </w:r>
      <w:r w:rsidR="00EC1CED" w:rsidRPr="00EC1CED">
        <w:rPr>
          <w:sz w:val="24"/>
          <w:lang w:val="lv-LV"/>
        </w:rPr>
        <w:t xml:space="preserve"> </w:t>
      </w:r>
      <w:r w:rsidR="00EC1CED" w:rsidRPr="00EC1CED">
        <w:rPr>
          <w:sz w:val="24"/>
          <w:lang w:val="lv-LV"/>
        </w:rPr>
        <w:tab/>
      </w:r>
      <w:r w:rsidRPr="00EC1CED">
        <w:rPr>
          <w:sz w:val="24"/>
          <w:lang w:val="lv-LV"/>
        </w:rPr>
        <w:t xml:space="preserve">OV C, C/2024/4174, 2.8.2024., ELI: </w:t>
      </w:r>
      <w:hyperlink r:id="rId1" w:history="1">
        <w:r w:rsidRPr="00EC1CED">
          <w:rPr>
            <w:rStyle w:val="Hyperlink"/>
            <w:sz w:val="24"/>
            <w:lang w:val="lv-LV"/>
          </w:rPr>
          <w:t>http://data.europa.eu/eli/C/2024/4174/oj</w:t>
        </w:r>
      </w:hyperlink>
      <w:r w:rsidRPr="00EC1CED">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1CE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1CE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1C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4/2024"/>
    <w:docVar w:name="dvlangue" w:val="LV"/>
    <w:docVar w:name="dvnumam" w:val="0"/>
    <w:docVar w:name="dvpe" w:val="764.114"/>
    <w:docVar w:name="dvtitre" w:val="Eiropas Parlamenta 2024. gada XX. XXX  rezolūcija par Ķīnas Tautas Republikas nepareizo ANO Rezolūcijas Nr. 2758 interpretāciju un tās pastāvīgajām militārajām provokācijām pie Taivānas krastiem(2024/2891(RSP))"/>
  </w:docVars>
  <w:rsids>
    <w:rsidRoot w:val="00A609FC"/>
    <w:rsid w:val="00002272"/>
    <w:rsid w:val="00064002"/>
    <w:rsid w:val="000677B9"/>
    <w:rsid w:val="000831BA"/>
    <w:rsid w:val="000A42CC"/>
    <w:rsid w:val="000E7DD9"/>
    <w:rsid w:val="0010095E"/>
    <w:rsid w:val="00125B37"/>
    <w:rsid w:val="00153029"/>
    <w:rsid w:val="00187494"/>
    <w:rsid w:val="001F32AE"/>
    <w:rsid w:val="002767FF"/>
    <w:rsid w:val="002B18FE"/>
    <w:rsid w:val="002B5493"/>
    <w:rsid w:val="00343214"/>
    <w:rsid w:val="00361C00"/>
    <w:rsid w:val="00395FA1"/>
    <w:rsid w:val="003E15D4"/>
    <w:rsid w:val="00411CCE"/>
    <w:rsid w:val="0041666E"/>
    <w:rsid w:val="00421060"/>
    <w:rsid w:val="00424AD4"/>
    <w:rsid w:val="004574CF"/>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09F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6AA6"/>
    <w:rsid w:val="00D058B8"/>
    <w:rsid w:val="00D56C11"/>
    <w:rsid w:val="00D834A0"/>
    <w:rsid w:val="00D872DF"/>
    <w:rsid w:val="00D91E21"/>
    <w:rsid w:val="00DA7FCD"/>
    <w:rsid w:val="00E365E1"/>
    <w:rsid w:val="00E820A4"/>
    <w:rsid w:val="00EB006A"/>
    <w:rsid w:val="00EB4772"/>
    <w:rsid w:val="00EC1CED"/>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E77A9A"/>
  <w15:chartTrackingRefBased/>
  <w15:docId w15:val="{78BB8FFE-7D82-4D3B-8619-B7177B2D1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53029"/>
    <w:rPr>
      <w:b/>
    </w:rPr>
  </w:style>
  <w:style w:type="paragraph" w:customStyle="1" w:styleId="NormalHanging12a">
    <w:name w:val="NormalHanging12a"/>
    <w:basedOn w:val="Normal"/>
    <w:link w:val="NormalHanging12aChar"/>
    <w:rsid w:val="00153029"/>
    <w:pPr>
      <w:spacing w:after="240"/>
      <w:ind w:left="567" w:hanging="567"/>
    </w:pPr>
  </w:style>
  <w:style w:type="paragraph" w:customStyle="1" w:styleId="EPComma">
    <w:name w:val="EPComma"/>
    <w:basedOn w:val="Normal"/>
    <w:rsid w:val="00153029"/>
    <w:pPr>
      <w:spacing w:before="480" w:after="240"/>
    </w:pPr>
  </w:style>
  <w:style w:type="character" w:customStyle="1" w:styleId="NormalHanging12aChar">
    <w:name w:val="NormalHanging12a Char"/>
    <w:basedOn w:val="DefaultParagraphFont"/>
    <w:link w:val="NormalHanging12a"/>
    <w:rsid w:val="00153029"/>
    <w:rPr>
      <w:sz w:val="24"/>
      <w:lang w:val="lv-LV"/>
    </w:rPr>
  </w:style>
  <w:style w:type="character" w:styleId="Hyperlink">
    <w:name w:val="Hyperlink"/>
    <w:basedOn w:val="DefaultParagraphFont"/>
    <w:rsid w:val="00153029"/>
    <w:rPr>
      <w:color w:val="0563C1" w:themeColor="hyperlink"/>
      <w:u w:val="single"/>
    </w:rPr>
  </w:style>
  <w:style w:type="paragraph" w:styleId="BalloonText">
    <w:name w:val="Balloon Text"/>
    <w:basedOn w:val="Normal"/>
    <w:link w:val="BalloonTextChar"/>
    <w:rsid w:val="00CF6AA6"/>
    <w:rPr>
      <w:rFonts w:ascii="Segoe UI" w:hAnsi="Segoe UI" w:cs="Segoe UI"/>
      <w:sz w:val="18"/>
      <w:szCs w:val="18"/>
    </w:rPr>
  </w:style>
  <w:style w:type="character" w:customStyle="1" w:styleId="BalloonTextChar">
    <w:name w:val="Balloon Text Char"/>
    <w:basedOn w:val="DefaultParagraphFont"/>
    <w:link w:val="BalloonText"/>
    <w:rsid w:val="00CF6AA6"/>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1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187A3-B7A7-4C8C-B3D3-A26780988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3188</Words>
  <Characters>20215</Characters>
  <Application>Microsoft Office Word</Application>
  <DocSecurity>0</DocSecurity>
  <Lines>168</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2024-11-13T11:05:00Z</dcterms:created>
  <dcterms:modified xsi:type="dcterms:W3CDTF">2024-11-13T11:05:00Z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B10-0134/2024</vt:lpwstr>
  </property>
  <property fmtid="{D5CDD505-2E9C-101B-9397-08002B2CF9AE}" pid="4" name="&lt;Type&gt;">
    <vt:lpwstr>RR</vt:lpwstr>
  </property>
</Properties>
</file>