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48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4862" w:rsidRDefault="00F74261" w:rsidP="0010095E">
            <w:pPr>
              <w:pStyle w:val="EPName"/>
            </w:pPr>
            <w:r w:rsidRPr="00894862">
              <w:t>Parlament Europejski</w:t>
            </w:r>
          </w:p>
          <w:p w:rsidR="00751A4A" w:rsidRPr="008948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4862">
              <w:t>2024</w:t>
            </w:r>
            <w:r w:rsidR="00817416" w:rsidRPr="00894862">
              <w:t>-202</w:t>
            </w:r>
            <w:r w:rsidRPr="008948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4862" w:rsidRDefault="00187494" w:rsidP="0010095E">
            <w:pPr>
              <w:pStyle w:val="EPLogo"/>
            </w:pPr>
            <w:r w:rsidRPr="008948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4862" w:rsidRDefault="00D058B8" w:rsidP="004C5D52">
      <w:pPr>
        <w:pStyle w:val="LineTop"/>
      </w:pPr>
    </w:p>
    <w:p w:rsidR="00680577" w:rsidRPr="00894862" w:rsidRDefault="00F74261" w:rsidP="00680577">
      <w:pPr>
        <w:pStyle w:val="EPBodyTA1"/>
      </w:pPr>
      <w:r w:rsidRPr="00894862">
        <w:t>TEKSTY PRZYJĘTE</w:t>
      </w:r>
    </w:p>
    <w:p w:rsidR="00D058B8" w:rsidRPr="00894862" w:rsidRDefault="00D058B8" w:rsidP="00D058B8">
      <w:pPr>
        <w:pStyle w:val="LineBottom"/>
      </w:pPr>
    </w:p>
    <w:p w:rsidR="00F74261" w:rsidRPr="00894862" w:rsidRDefault="007B6EE3" w:rsidP="00F74261">
      <w:pPr>
        <w:pStyle w:val="ATHeading1"/>
      </w:pPr>
      <w:bookmarkStart w:id="0" w:name="TANumber"/>
      <w:r>
        <w:t>P10_TA(2024)003</w:t>
      </w:r>
      <w:r w:rsidR="00F74261" w:rsidRPr="00894862">
        <w:t>0</w:t>
      </w:r>
      <w:bookmarkEnd w:id="0"/>
    </w:p>
    <w:p w:rsidR="00F74261" w:rsidRPr="00894862" w:rsidRDefault="0061753F" w:rsidP="0061753F">
      <w:pPr>
        <w:pStyle w:val="ATHeading2"/>
      </w:pPr>
      <w:r w:rsidRPr="0061753F">
        <w:rPr>
          <w:bCs/>
        </w:rPr>
        <w:t>Błędne interpretowanie przez Chiny rezolucji ONZ nr 2758 oraz ciągłe prowokacje wojskowe Chin</w:t>
      </w:r>
      <w:r>
        <w:rPr>
          <w:bCs/>
        </w:rPr>
        <w:t xml:space="preserve"> </w:t>
      </w:r>
      <w:r w:rsidRPr="0061753F">
        <w:rPr>
          <w:bCs/>
        </w:rPr>
        <w:t>wokół Tajwanu</w:t>
      </w:r>
    </w:p>
    <w:p w:rsidR="00F74261" w:rsidRPr="00894862" w:rsidRDefault="00F74261" w:rsidP="00F74261">
      <w:pPr>
        <w:rPr>
          <w:i/>
          <w:vanish/>
        </w:rPr>
      </w:pPr>
      <w:r w:rsidRPr="00894862">
        <w:rPr>
          <w:i/>
        </w:rPr>
        <w:fldChar w:fldCharType="begin"/>
      </w:r>
      <w:r w:rsidRPr="00894862">
        <w:rPr>
          <w:i/>
        </w:rPr>
        <w:instrText xml:space="preserve"> TC"(</w:instrText>
      </w:r>
      <w:bookmarkStart w:id="1" w:name="DocNumber"/>
      <w:r w:rsidRPr="00894862">
        <w:rPr>
          <w:i/>
        </w:rPr>
        <w:instrText>B10-0134</w:instrText>
      </w:r>
      <w:r w:rsidR="0061753F">
        <w:rPr>
          <w:i/>
        </w:rPr>
        <w:instrText>, 0135, 0137, 0138 oraz</w:instrText>
      </w:r>
      <w:proofErr w:type="gramStart"/>
      <w:r w:rsidR="0061753F">
        <w:rPr>
          <w:i/>
        </w:rPr>
        <w:instrText xml:space="preserve"> 0140</w:instrText>
      </w:r>
      <w:r w:rsidRPr="00894862">
        <w:rPr>
          <w:i/>
        </w:rPr>
        <w:instrText>/2024</w:instrText>
      </w:r>
      <w:bookmarkEnd w:id="1"/>
      <w:r w:rsidRPr="00894862">
        <w:rPr>
          <w:i/>
        </w:rPr>
        <w:instrText>)"\l</w:instrText>
      </w:r>
      <w:proofErr w:type="gramEnd"/>
      <w:r w:rsidRPr="00894862">
        <w:rPr>
          <w:i/>
        </w:rPr>
        <w:instrText xml:space="preserve">3 \n&gt; \* MERGEFORMAT </w:instrText>
      </w:r>
      <w:r w:rsidRPr="00894862">
        <w:rPr>
          <w:i/>
        </w:rPr>
        <w:fldChar w:fldCharType="end"/>
      </w:r>
    </w:p>
    <w:p w:rsidR="00F74261" w:rsidRPr="00894862" w:rsidRDefault="00F74261" w:rsidP="00F74261">
      <w:pPr>
        <w:rPr>
          <w:vanish/>
        </w:rPr>
      </w:pPr>
      <w:bookmarkStart w:id="2" w:name="PE"/>
      <w:r w:rsidRPr="00894862">
        <w:rPr>
          <w:vanish/>
        </w:rPr>
        <w:t>PE764.114</w:t>
      </w:r>
      <w:bookmarkEnd w:id="2"/>
    </w:p>
    <w:p w:rsidR="00F74261" w:rsidRPr="00894862" w:rsidRDefault="00F74261" w:rsidP="00F74261">
      <w:pPr>
        <w:pStyle w:val="ATHeading3"/>
      </w:pPr>
      <w:bookmarkStart w:id="3" w:name="Sujet"/>
      <w:r w:rsidRPr="00894862">
        <w:t xml:space="preserve">Rezolucja Parlamentu Europejskiego z dnia </w:t>
      </w:r>
      <w:r w:rsidR="0061753F">
        <w:t>24 października</w:t>
      </w:r>
      <w:r w:rsidRPr="00894862">
        <w:t xml:space="preserve"> 2024 r. w sprawie błędnego interpretowania rezolucji ONZ nr 2758 przez Chińską Republiką Ludową oraz jej ciągłych prowokacji wojskowych wokół Tajwanu</w:t>
      </w:r>
      <w:bookmarkEnd w:id="3"/>
      <w:r w:rsidRPr="00894862">
        <w:t xml:space="preserve"> </w:t>
      </w:r>
      <w:bookmarkStart w:id="4" w:name="References"/>
      <w:r w:rsidRPr="00894862">
        <w:t>(2024/2891(RSP))</w:t>
      </w:r>
      <w:bookmarkEnd w:id="4"/>
    </w:p>
    <w:p w:rsidR="00F74261" w:rsidRPr="00894862" w:rsidRDefault="00F74261" w:rsidP="00F74261"/>
    <w:p w:rsidR="00AA500C" w:rsidRPr="00894862" w:rsidRDefault="00AA500C" w:rsidP="00AA500C">
      <w:pPr>
        <w:pStyle w:val="EPComma"/>
      </w:pPr>
      <w:bookmarkStart w:id="5" w:name="TextBodyBegin"/>
      <w:bookmarkEnd w:id="5"/>
      <w:r w:rsidRPr="00894862">
        <w:rPr>
          <w:i/>
        </w:rPr>
        <w:t>Parlament Europejski</w:t>
      </w:r>
      <w:r w:rsidRPr="00894862">
        <w:t>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swoje poprzednie rezolucje w sprawie Chińskiej Republiki Ludowej (ChRL) i Tajwanu,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swoją rezolucję z dnia 16 września 2021 r. w sprawie nowej strategii UE–Chiny</w:t>
      </w:r>
      <w:r w:rsidRPr="00894862">
        <w:rPr>
          <w:rStyle w:val="FootnoteReference"/>
        </w:rPr>
        <w:footnoteReference w:id="1"/>
      </w:r>
      <w:r w:rsidRPr="00894862">
        <w:t>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swoje zalecenie z 21 października 2021 r. dla wiceprzewodniczącego Komisji / wysokiego przedstawiciela Unii do spraw zagranicznych i polityki bezpieczeństwa w sprawie stosunków politycznych i współpracy między UE a Tajwanem</w:t>
      </w:r>
      <w:r w:rsidRPr="00894862">
        <w:rPr>
          <w:rStyle w:val="FootnoteReference"/>
        </w:rPr>
        <w:footnoteReference w:id="2"/>
      </w:r>
      <w:r w:rsidRPr="00894862">
        <w:t>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 xml:space="preserve">uwzględniając swoją rezolucję z dnia 7 czerwca 2022 r. w sprawie UE wobec zagrożeń bezpieczeństwa w regionie </w:t>
      </w:r>
      <w:proofErr w:type="spellStart"/>
      <w:r w:rsidRPr="00894862">
        <w:t>Indo</w:t>
      </w:r>
      <w:proofErr w:type="spellEnd"/>
      <w:r w:rsidRPr="00894862">
        <w:t>-Pacyfiku</w:t>
      </w:r>
      <w:r w:rsidRPr="00894862">
        <w:rPr>
          <w:rStyle w:val="FootnoteReference"/>
        </w:rPr>
        <w:footnoteReference w:id="3"/>
      </w:r>
      <w:r w:rsidRPr="00894862">
        <w:t>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swoją rezolucję z dnia 15 września 2022 r. w sprawie sytuacji w Cieśninie Tajwańskiej</w:t>
      </w:r>
      <w:r w:rsidRPr="00894862">
        <w:rPr>
          <w:rStyle w:val="FootnoteReference"/>
        </w:rPr>
        <w:footnoteReference w:id="4"/>
      </w:r>
      <w:r w:rsidRPr="00894862">
        <w:t>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swoją rezolucję z dnia 13 grudnia 2023 r. w sprawie stosunków handlowych i inwestycyjnych między UE i Tajwanem</w:t>
      </w:r>
      <w:r w:rsidRPr="00894862">
        <w:rPr>
          <w:rStyle w:val="FootnoteReference"/>
        </w:rPr>
        <w:footnoteReference w:id="5"/>
      </w:r>
      <w:r w:rsidRPr="00894862">
        <w:t>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 xml:space="preserve">uwzględniając Strategiczny kompas na rzecz bezpieczeństwa i obrony zatwierdzony </w:t>
      </w:r>
      <w:r w:rsidRPr="00894862">
        <w:lastRenderedPageBreak/>
        <w:t>przez Radę 21 marca 2022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 xml:space="preserve">uwzględniając wspólny komunikat Komisji i wysokiego przedstawiciela Unii do spraw zagranicznych i polityki bezpieczeństwa z 16 września 2021 r. zatytułowany „Unijna strategia współpracy w regionie </w:t>
      </w:r>
      <w:proofErr w:type="spellStart"/>
      <w:r w:rsidRPr="00894862">
        <w:t>Indo</w:t>
      </w:r>
      <w:proofErr w:type="spellEnd"/>
      <w:r w:rsidRPr="00894862">
        <w:t>-Pacyfiku” (JOIN(2021)0024),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unijną politykę „jednych Chin”,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szczyt UE–Chiny z 7 grudnia 2023 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konkluzje Rady Europejskiej w sprawie Chin z 30 czerwca 2023 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wizytę Komisji Spraw Zagranicznych na Tajwanie w dniach 25–27 lipca 2023 r. i Komisji Handlu Międzynarodowego w dniach 19–21 grudnia 2022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oświadczenie rzecznika wysokiego przedstawiciela Unii do spraw zagranicznych i polityki bezpieczeństwa z 1 września 2024 r. w sprawie ostatnich niebezpiecznych działań na Morzu Południowochińskim,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oświadczenia rzecznika wysokiego przedstawiciela Unii do spraw zagranicznych i polityki bezpieczeństwa w sprawie chińskich ćwiczeń wojskowych wokół Tajwanu, w tym najnowsze oświadczenie z 14 października 2024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oświadczenia ministrów spraw zagranicznych państw grupy G-7 z 18 kwietnia 2023 r. i 3 sierpnia 2022 r. w sprawie utrzymania pokoju i stabilności w Cieśninie Tajwańskiej,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oświadczenie przewodniczącego posiedzenia ministrów spraw zagranicznych państw grupy G-7 z 23 września 2024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wspólne oświadczenie ministrów obrony państw grupy G-7 z 19 października 2024 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pilną uchwałę w sprawie Tajwanu przyjętą przez australijski Senat 21 sierpnia 2024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rezoluc</w:t>
      </w:r>
      <w:r w:rsidR="001159FB">
        <w:t xml:space="preserve">ję Zgromadzenia Ogólnego ONZ </w:t>
      </w:r>
      <w:r w:rsidRPr="00894862">
        <w:t>2758 (XXVI) z 25 października 1971 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 xml:space="preserve">uwzględniając uchwałę w </w:t>
      </w:r>
      <w:r w:rsidR="001159FB">
        <w:t xml:space="preserve">sprawie rezolucji ONZ </w:t>
      </w:r>
      <w:r w:rsidRPr="00894862">
        <w:t>2758 przyjętą przez drugą izbę parlamentu Niderlandów 12 września 2024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oświadczenie prasowe Departamentu Stanu USA z 13 października 2024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Konwencję Narodów Zjednoczonych o prawie morza (UNCLOS),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art. 7 Ramowej konwencji Narodów Zjednoczonych w sprawie zmian klimatu (UNFCCC) z 9 maja 1992 r.,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art. 5 obowiązującego regulaminu Zgromadzenia Organizacji Międzynarodowego Lotnictwa Cywilnego (ICAO),</w:t>
      </w:r>
    </w:p>
    <w:p w:rsidR="00AA500C" w:rsidRPr="00894862" w:rsidRDefault="00AA500C" w:rsidP="00AA500C">
      <w:pPr>
        <w:pStyle w:val="NormalHanging12a"/>
      </w:pPr>
      <w:r w:rsidRPr="00894862">
        <w:lastRenderedPageBreak/>
        <w:t>–</w:t>
      </w:r>
      <w:r w:rsidRPr="00894862">
        <w:tab/>
        <w:t>uwzględniając art. 4 Statutu Międzynarodowej Organizacji Policji Kryminalnej (Interpol),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art. 8 i art. 18 lit. h) Konstytucji Światowej Organizacji Zdrowia (WHO),</w:t>
      </w:r>
    </w:p>
    <w:p w:rsidR="00AA500C" w:rsidRPr="00894862" w:rsidRDefault="00AA500C" w:rsidP="00AA500C">
      <w:pPr>
        <w:pStyle w:val="NormalHanging12a"/>
      </w:pPr>
      <w:r w:rsidRPr="00894862">
        <w:t>–</w:t>
      </w:r>
      <w:r w:rsidRPr="00894862">
        <w:tab/>
        <w:t>uwzględniając art. 136 ust. 2 i 4 Regulaminu,</w:t>
      </w:r>
    </w:p>
    <w:p w:rsidR="00AA500C" w:rsidRPr="00894862" w:rsidRDefault="00AA500C" w:rsidP="00AA500C">
      <w:pPr>
        <w:pStyle w:val="NormalHanging12a"/>
      </w:pPr>
      <w:r w:rsidRPr="00894862">
        <w:t>A.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rezolucja ONZ nr 2758, przyjęta przez Zgromadzenie Ogólne ONZ 25 października 1971 r., przeniosła oficjalne uznanie dyplomatyczne z Republiki Chińskiej (Tajwan) na Chińską Republikę Ludową (ChRL); mając na uwadze, że Tajwan, choć nie jest członkiem Narodów Zjednoczonych, utrzymuje obecnie stosunki dyplomatyczne z 11 spośród 193 państw członkowskich ONZ oraz ze Stolicą Apostolską;</w:t>
      </w:r>
    </w:p>
    <w:p w:rsidR="00AA500C" w:rsidRPr="00894862" w:rsidRDefault="00AA500C" w:rsidP="00AA500C">
      <w:pPr>
        <w:pStyle w:val="NormalHanging12a"/>
      </w:pPr>
      <w:r w:rsidRPr="00894862">
        <w:t>B.</w:t>
      </w:r>
      <w:r w:rsidRPr="00894862">
        <w:tab/>
        <w:t>mając na uwadze, że UE i Tajwan są partnerami o zbieżnych poglądach, podzielającymi wspólne wartości, takie jak wolność, demokracja, prawa człowieka i praworządność; mając na uwadze, że Tajwan jest dynamiczną demokracją z prężnie działającym społeczeństwem obywatelskim; mając na uwadze, że 13 stycznia 2024 r. Tajwan przeprowadził pokojowe i dobrze zorganizowane wybory;</w:t>
      </w:r>
    </w:p>
    <w:p w:rsidR="00AA500C" w:rsidRPr="00894862" w:rsidRDefault="00AA500C" w:rsidP="00AA500C">
      <w:pPr>
        <w:pStyle w:val="NormalHanging12a"/>
      </w:pPr>
      <w:r w:rsidRPr="00894862">
        <w:t>C.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po przyjęciu rezolucji ONZ nr 2758 Tajwan utracił prawo do uczestnictwa w forach wielostronnych, takich jak WHO;</w:t>
      </w:r>
    </w:p>
    <w:p w:rsidR="00AA500C" w:rsidRPr="00894862" w:rsidRDefault="00AA500C" w:rsidP="00AA500C">
      <w:pPr>
        <w:pStyle w:val="NormalHanging12a"/>
      </w:pPr>
      <w:r w:rsidRPr="00894862">
        <w:t>D.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Tajwan nigdy nie był częścią ChRL; mając na uwadze, że Republikę Chińską ustanowiono w 1912 r., a ChRL – w 1949 r.;</w:t>
      </w:r>
    </w:p>
    <w:p w:rsidR="00AA500C" w:rsidRPr="00894862" w:rsidRDefault="00AA500C" w:rsidP="00AA500C">
      <w:pPr>
        <w:pStyle w:val="NormalHanging12a"/>
      </w:pPr>
      <w:r w:rsidRPr="00894862">
        <w:t>E.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rezolucja ONZ nr 2758 odnosi się do statusu ChRL, ale nie stwierdza, że ma ona zwierzchnictwo nad Tajwanem, ani nie wyrokuje w sprawie przyszłego włączenia Tajwanu do ONZ lub innych organizacji międzynarodowych; mając jednak na uwadze, że ChRL nadal błędnie interpretuje rezolucję ONZ nr 2758, aby zablokować znaczący udział Tajwanu w organizacjach międzynarodowych i jednostronnie zmienić status quo; mając na uwadze, że działania te uwidaczniają dążenie ChRL do zmiany istniejącego wielostronnego porządku międzynarodowego i podważenia prawa międzynarodowego oraz mogą być postrzegane jako wyraz rywalizacji systemowej;</w:t>
      </w:r>
    </w:p>
    <w:p w:rsidR="00AA500C" w:rsidRPr="00894862" w:rsidRDefault="00AA500C" w:rsidP="00AA500C">
      <w:pPr>
        <w:pStyle w:val="NormalHanging12a"/>
      </w:pPr>
      <w:r w:rsidRPr="00894862">
        <w:t>F.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UE nadal prowadzi własną politykę „jednych Chin”, która różni się od zasady „jednych Chin” ChRL; mając na uwadze, że UE od wielu lat popiera status quo i opowiada się za pokojowym rozwiązaniem sporów w Cieśninie Tajwańskiej, zachęcając jednocześnie do dialogu i konstruktywnego zaangażowania;</w:t>
      </w:r>
    </w:p>
    <w:p w:rsidR="00AA500C" w:rsidRPr="00894862" w:rsidRDefault="00AA500C" w:rsidP="00AA500C">
      <w:pPr>
        <w:pStyle w:val="NormalHanging12a"/>
      </w:pPr>
      <w:r w:rsidRPr="00894862">
        <w:t>G.</w:t>
      </w:r>
      <w:r w:rsidRPr="00894862">
        <w:tab/>
        <w:t>mając na uwadze, że w oświadczeniu z 23 września 2024 r. członkowie grupy G-7 podkreślili m.in. swoje poparcie dla „konstruktywnego udziału Tajwanu w organizacjach międzynarodowych w roli członka, jeżeli status państwa nie jest warunkiem wstępnym, oraz w roli obserwatora lub gościa, jeżeli istnieje warunek państwowości”;</w:t>
      </w:r>
    </w:p>
    <w:p w:rsidR="00AA500C" w:rsidRPr="00894862" w:rsidRDefault="00AA500C" w:rsidP="00AA500C">
      <w:pPr>
        <w:pStyle w:val="NormalHanging12a"/>
      </w:pPr>
      <w:r w:rsidRPr="00894862">
        <w:t>H.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wspieranie członkostwa Tajwanu w organizacjach międzynarodowych nie podważa prowadzonej przez UE polityki „jednych Chin”, która pozostaje politycznym fundamentem stosunków między UE a Chinami;</w:t>
      </w:r>
    </w:p>
    <w:p w:rsidR="00AA500C" w:rsidRPr="00894862" w:rsidRDefault="00AA500C" w:rsidP="00AA500C">
      <w:pPr>
        <w:pStyle w:val="NormalHanging12a"/>
      </w:pPr>
      <w:r w:rsidRPr="00894862">
        <w:t>I.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w ciągu ostatniej dekady ChRL stale próbowała zwiększyć swój </w:t>
      </w:r>
      <w:r w:rsidRPr="00894862">
        <w:lastRenderedPageBreak/>
        <w:t>wpływ na instytucje międzynarodowe, aby zmarginalizować Tajwan i uniemożliwić posiadaczom tajwańskich paszportów, w tym dziennikarzom, pracownikom organizacji pozarządowych i działaczom politycznym, dostęp do instytucji międzynarodowych; mając na uwadze, że ChRL stosuje transnarodowe represje, wykorzystując traktaty o ekstradycji do ataków na Tajwańczyków za granicą i narażając ich tym samym na ryzyko arbitralnych prześladowań i naruszeń praw człowieka;</w:t>
      </w:r>
    </w:p>
    <w:p w:rsidR="00AA500C" w:rsidRPr="00894862" w:rsidRDefault="00AA500C" w:rsidP="00AA500C">
      <w:pPr>
        <w:pStyle w:val="NormalHanging12a"/>
      </w:pPr>
      <w:r w:rsidRPr="00894862">
        <w:t>J.</w:t>
      </w:r>
      <w:r w:rsidRPr="00894862">
        <w:tab/>
        <w:t>mając na uwadze, że statuty większości organizacji międzynarodowych, których zadaniem jest rozwiązywanie globalnych problemów, w tym WHO, UNFCCC, Interpolu i ICAO, umożliwiają podmiotom takim jak Tajwan uczestnictwo bez naruszania praw państw członkowskich;</w:t>
      </w:r>
    </w:p>
    <w:p w:rsidR="00AA500C" w:rsidRPr="00894862" w:rsidRDefault="00AA500C" w:rsidP="00AA500C">
      <w:pPr>
        <w:pStyle w:val="NormalHanging12a"/>
      </w:pPr>
      <w:r w:rsidRPr="00894862">
        <w:t>K.</w:t>
      </w:r>
      <w:r w:rsidRPr="00894862">
        <w:tab/>
        <w:t>mając na uwadze, że Tajwan konsekwentnie demonstruje pokojowe nastawienie i wolę współpracy na całym świecie oraz znacznie przyczynił się do rozwoju na świecie, a tym samym może wnieść znaczący wkład w prace różnych organizacji międzynarodowych;</w:t>
      </w:r>
    </w:p>
    <w:p w:rsidR="00AA500C" w:rsidRPr="00894862" w:rsidRDefault="00AA500C" w:rsidP="00AA500C">
      <w:pPr>
        <w:pStyle w:val="NormalHanging12a"/>
      </w:pPr>
      <w:r w:rsidRPr="00894862">
        <w:t>L.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ChRL jest jednopartyjnym państwem, które jest w pełni kontrolowane i zarządzane przez Komunistyczną Partię Chin;</w:t>
      </w:r>
    </w:p>
    <w:p w:rsidR="00AA500C" w:rsidRPr="00894862" w:rsidRDefault="00AA500C" w:rsidP="00AA500C">
      <w:pPr>
        <w:pStyle w:val="NormalHanging12a"/>
      </w:pPr>
      <w:r w:rsidRPr="00894862">
        <w:t>M.</w:t>
      </w:r>
      <w:r w:rsidRPr="00894862">
        <w:tab/>
        <w:t xml:space="preserve">mając na uwadze, że w przemówieniu 10 października 2024 r., który jest dniem święta narodowego na Tajwanie, prezydent Tajwanu </w:t>
      </w:r>
      <w:proofErr w:type="spellStart"/>
      <w:r w:rsidRPr="00894862">
        <w:t>Lai</w:t>
      </w:r>
      <w:proofErr w:type="spellEnd"/>
      <w:r w:rsidRPr="00894862">
        <w:t xml:space="preserve"> </w:t>
      </w:r>
      <w:proofErr w:type="spellStart"/>
      <w:r w:rsidRPr="00894862">
        <w:t>Ching</w:t>
      </w:r>
      <w:proofErr w:type="spellEnd"/>
      <w:r w:rsidRPr="00894862">
        <w:t xml:space="preserve">-te stwierdził, że ChRL „nie ma prawa do reprezentowania Tajwanu”, i podkreślił, że obie strony „nie podlegają” sobie nawzajem; mając na uwadze, że ChRL uzasadniła swoje niedawne ćwiczenia wojskowe twierdzeniem, że prezydent </w:t>
      </w:r>
      <w:proofErr w:type="spellStart"/>
      <w:r w:rsidRPr="00894862">
        <w:t>Lai</w:t>
      </w:r>
      <w:proofErr w:type="spellEnd"/>
      <w:r w:rsidRPr="00894862">
        <w:t xml:space="preserve"> </w:t>
      </w:r>
      <w:proofErr w:type="spellStart"/>
      <w:r w:rsidRPr="00894862">
        <w:t>Ching</w:t>
      </w:r>
      <w:proofErr w:type="spellEnd"/>
      <w:r w:rsidRPr="00894862">
        <w:t>-te realizuje strategię separatystyczną;</w:t>
      </w:r>
    </w:p>
    <w:p w:rsidR="00AA500C" w:rsidRPr="00894862" w:rsidRDefault="00AA500C" w:rsidP="00AA500C">
      <w:pPr>
        <w:pStyle w:val="NormalHanging12a"/>
      </w:pPr>
      <w:r w:rsidRPr="00894862">
        <w:t>N.</w:t>
      </w:r>
      <w:r w:rsidRPr="00894862">
        <w:tab/>
        <w:t>mając na uwadze, że 14 października 2024 r. ChRL rozpoczęła zakrojone na szeroką skalę ćwiczenia wojskowe pod kryptonimem Joint Sword-2024B, które symulowały blokadę Tajwanu; mając na uwadze, że podczas tych ćwiczeń w okolicach Tajwanu wykryto rekordową liczbę 153 samolotów ChRL, 18 okrętów wojennych i 17 statków straży przybrzeżnej ChRL;</w:t>
      </w:r>
    </w:p>
    <w:p w:rsidR="00AA500C" w:rsidRPr="00894862" w:rsidRDefault="00AA500C" w:rsidP="00AA500C">
      <w:pPr>
        <w:pStyle w:val="NormalHanging12a"/>
      </w:pPr>
      <w:r w:rsidRPr="00894862">
        <w:t>O.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podczas ćwiczeń cztery formacje statków straży przybrzeżnej ChRL patrolowały wyspę i na krótko wpłynęły na wody Tajwanu; mając na uwadze, że bardzo częste wysyłanie przez ChRL statków straży przybrzeżnej na wody Cieśniny Tajwańskiej, nazywane przez ChRL misjami „egzekwowania prawa”, wywiera stałą presję na władze Tajwanu i powoduje niebezpieczny wzrost ryzyka kolizji, co stanowi jedną z najbardziej konkretnych oznak wskazujących na zamiar zmiany status quo przez Chiny; mając na uwadze, że ćwiczenia rozpoczęte 14 października 2024 r. były czwartą rundą wielkoskalowych gier wojennych prowadzonych przez ChRL w ciągu nieco ponad dwóch lat;</w:t>
      </w:r>
    </w:p>
    <w:p w:rsidR="00AA500C" w:rsidRPr="00894862" w:rsidRDefault="00AA500C" w:rsidP="00AA500C">
      <w:pPr>
        <w:pStyle w:val="NormalHanging12a"/>
      </w:pPr>
      <w:r w:rsidRPr="00894862">
        <w:t>P.</w:t>
      </w:r>
      <w:r w:rsidRPr="00894862">
        <w:tab/>
        <w:t xml:space="preserve">mając na uwadze, że działania te, które Tajwan potępił jako „nieuzasadnioną prowokację”, to ostatnie z serii gier wojennych prowadzonych przez ChRL przeciwko Tajwanowi; mając na uwadze, że owe ćwiczenia wojskowe odbyły się kilka dni po tym, jak nowy prezydent Tajwanu </w:t>
      </w:r>
      <w:proofErr w:type="spellStart"/>
      <w:r w:rsidRPr="00894862">
        <w:t>Lai</w:t>
      </w:r>
      <w:proofErr w:type="spellEnd"/>
      <w:r w:rsidRPr="00894862">
        <w:t xml:space="preserve"> </w:t>
      </w:r>
      <w:proofErr w:type="spellStart"/>
      <w:r w:rsidRPr="00894862">
        <w:t>Ching</w:t>
      </w:r>
      <w:proofErr w:type="spellEnd"/>
      <w:r w:rsidRPr="00894862">
        <w:t>-te wygłosił przemówienie na temat ochrony suwerenności Tajwanu w obliczu wyzwań ze strony ChRL;</w:t>
      </w:r>
    </w:p>
    <w:p w:rsidR="00AA500C" w:rsidRPr="00894862" w:rsidRDefault="00AA500C" w:rsidP="00AA500C">
      <w:pPr>
        <w:pStyle w:val="NormalHanging12a"/>
      </w:pPr>
      <w:r w:rsidRPr="00894862">
        <w:t>Q.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linia mediany rozdzielająca Cieśninę Tajwańską na dwie części, wyznaczona kilkadziesiąt lat temu przy milczącej zgodzie, miała ograniczyć ryzyko konfliktu dzięki zagwarantowaniu bezpiecznej odległości między samolotami wojskowymi z obu stron cieśniny, a tym samym zapobiec tragicznym w skutkach </w:t>
      </w:r>
      <w:r w:rsidRPr="00894862">
        <w:lastRenderedPageBreak/>
        <w:t>błędom; mając na uwadze, że w latach 1954–2020 Armia Ludowo-Wyzwoleńcza ChRL tylko czterokrotnie naruszyła tę linię, ale obecne rutynowe przekraczanie tej linii pokazuje, że Pekin zamierza nieodwracalnie zmienić istniejące od lat punkty odniesienia;</w:t>
      </w:r>
    </w:p>
    <w:p w:rsidR="00AA500C" w:rsidRPr="00894862" w:rsidRDefault="00AA500C" w:rsidP="00AA500C">
      <w:pPr>
        <w:pStyle w:val="NormalHanging12a"/>
      </w:pPr>
      <w:r w:rsidRPr="00894862">
        <w:t>R.</w:t>
      </w:r>
      <w:r w:rsidRPr="00894862">
        <w:tab/>
        <w:t>mając na uwadze, że oświadczenia prasowe wysokiego przedstawiciela Unii do spraw zagranicznych i polityki bezpieczeństwa oraz Departamentu Stanu USA potwierdzają, że pokój i stabilność w Cieśninie Tajwańskiej mają strategiczne znaczenie dla bezpieczeństwa i dobrobytu w regionie i na świecie; mając na uwadze, że w oświadczeniu wysokiego przedstawiciela przypomniano o potrzebie zachowania status quo w Cieśninie Tajwańskiej, sprzeciwienia się wszelkim jednostronnym działaniom, które zmieniają status quo z użyciem siły lub przymusu, oraz wezwania wszystkich stron do zachowania powściągliwości i unikania działań, które mogą jeszcze bardziej eskalować napięcia w całej Cieśninie Tajwańskiej;</w:t>
      </w:r>
    </w:p>
    <w:p w:rsidR="00AA500C" w:rsidRPr="00894862" w:rsidRDefault="00AA500C" w:rsidP="00AA500C">
      <w:pPr>
        <w:pStyle w:val="NormalHanging12a"/>
      </w:pPr>
      <w:r w:rsidRPr="00894862">
        <w:t>S.</w:t>
      </w:r>
      <w:r w:rsidRPr="00894862">
        <w:tab/>
        <w:t xml:space="preserve">mając na uwadze, że 23 maja 2024 r., zaledwie kilka dni po tym, jak </w:t>
      </w:r>
      <w:proofErr w:type="spellStart"/>
      <w:r w:rsidRPr="00894862">
        <w:t>Lai</w:t>
      </w:r>
      <w:proofErr w:type="spellEnd"/>
      <w:r w:rsidRPr="00894862">
        <w:t xml:space="preserve"> </w:t>
      </w:r>
      <w:proofErr w:type="spellStart"/>
      <w:r w:rsidRPr="00894862">
        <w:t>Ching</w:t>
      </w:r>
      <w:proofErr w:type="spellEnd"/>
      <w:r w:rsidRPr="00894862">
        <w:t>-te objął stanowisko nowego prezydenta Tajwanu, ChRL rozpoczęła ćwiczenia wojskowe pod kryptonimem Joint Sword-2024A;</w:t>
      </w:r>
    </w:p>
    <w:p w:rsidR="00AA500C" w:rsidRPr="00894862" w:rsidRDefault="00AA500C" w:rsidP="00AA500C">
      <w:pPr>
        <w:pStyle w:val="NormalHanging12a"/>
      </w:pPr>
      <w:r w:rsidRPr="00894862">
        <w:t>T.</w:t>
      </w:r>
      <w:r w:rsidRPr="00894862">
        <w:tab/>
        <w:t>mając na uwadze, że ChRL prowadzi podobne ćwiczenia wojskowe wokół Tajwanu od kilku lat; mając na uwadze, że owe ćwiczenia wojskowe są coraz intensywniejsze i prowadzi się je coraz bliżej terytorium Tajwanu; mając na uwadze, że podczas poprzednich ćwiczeń w sierpniu 2022 r. pociski wystrzelone przez ChRL wylądowały na terenie wyłącznej strefy ekonomicznej Japonii;</w:t>
      </w:r>
    </w:p>
    <w:p w:rsidR="00AA500C" w:rsidRPr="00894862" w:rsidRDefault="00AA500C" w:rsidP="00AA500C">
      <w:pPr>
        <w:pStyle w:val="NormalHanging12a"/>
      </w:pPr>
      <w:r w:rsidRPr="00894862">
        <w:t>U.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oprócz presji wojskowej ChRL od dawna realizuje wyrafinowaną strategię ataków na Tajwan poprzez zagraniczne manipulacje informacjami i ingerencje w informacje, w tym ataki hybrydowe i cyberataki, w celu osłabienia demokratycznego społeczeństwa Tajwanu;</w:t>
      </w:r>
    </w:p>
    <w:p w:rsidR="00AA500C" w:rsidRPr="00894862" w:rsidRDefault="00AA500C" w:rsidP="00AA500C">
      <w:pPr>
        <w:pStyle w:val="NormalHanging12a"/>
      </w:pPr>
      <w:r w:rsidRPr="00894862">
        <w:t>V.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ChRL, pod przywództwem Xi </w:t>
      </w:r>
      <w:proofErr w:type="spellStart"/>
      <w:r w:rsidRPr="00894862">
        <w:t>Jinpinga</w:t>
      </w:r>
      <w:proofErr w:type="spellEnd"/>
      <w:r w:rsidRPr="00894862">
        <w:t>, oświadczyła, że nie wyrzeknie się możliwości użycia siły w celu zjednoczenia z Tajwanem;</w:t>
      </w:r>
    </w:p>
    <w:p w:rsidR="00AA500C" w:rsidRPr="00894862" w:rsidRDefault="00AA500C" w:rsidP="00AA500C">
      <w:pPr>
        <w:pStyle w:val="NormalHanging12a"/>
      </w:pPr>
      <w:r w:rsidRPr="00894862">
        <w:t>W.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w ustawie </w:t>
      </w:r>
      <w:proofErr w:type="spellStart"/>
      <w:r w:rsidRPr="00894862">
        <w:t>antysecesyjnej</w:t>
      </w:r>
      <w:proofErr w:type="spellEnd"/>
      <w:r w:rsidRPr="00894862">
        <w:t xml:space="preserve"> z 2005 r. ChRL przewidziała zastosowanie środków wojskowych, które są uzależnione od niejednoznacznie określonych wartości progowych, aby osiągnąć to, co ChRL rozumie pod pojęciem zjednoczenia z Tajwanem; mając na uwadze, że takie działania wojskowe stanowią poważne zagrożenie dla bezpieczeństwa i stabilności całego regionu oraz mogą mieć katastrofalne skutki dla całego świata; mając na uwadze, że odstraszanie ze strony UE i USA ma strategiczne znaczenie, jeżeli chodzi o to, aby zniechęcić ChRL do podejmowania jednostronnych działań przeciwko Tajwanowi;</w:t>
      </w:r>
    </w:p>
    <w:p w:rsidR="00AA500C" w:rsidRPr="00894862" w:rsidRDefault="00AA500C" w:rsidP="00AA500C">
      <w:pPr>
        <w:pStyle w:val="NormalHanging12a"/>
      </w:pPr>
      <w:r w:rsidRPr="00894862">
        <w:t>X.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coraz bardziej agresywna postawa ChRL, zwłaszcza w swoim sąsiedztwie, w tym w Cieśninie Tajwańskiej i na Morzu Południowochińskim, zagraża regionalnemu i światowemu bezpieczeństwu; mając na uwadze, że od 2019 r. ChRL z coraz większą regularnością narusza tajwańską strefę identyfikacyjną obrony powietrznej; mając na uwadze, że ChRL prowadzi agresywne działania na rozległych obszarach regionu </w:t>
      </w:r>
      <w:proofErr w:type="spellStart"/>
      <w:r w:rsidRPr="00894862">
        <w:t>Indo</w:t>
      </w:r>
      <w:proofErr w:type="spellEnd"/>
      <w:r w:rsidRPr="00894862">
        <w:t>-Pacyfiku i stosuje różne stopnie przymusu wojskowego lub wymuszenia ekonomicznego, co doprowadziło do sporów z sąsiadami, takimi jak Japonia, Indie, Filipiny i Australia;</w:t>
      </w:r>
    </w:p>
    <w:p w:rsidR="00AA500C" w:rsidRPr="00894862" w:rsidRDefault="00AA500C" w:rsidP="00AA500C">
      <w:pPr>
        <w:pStyle w:val="NormalHanging12a"/>
      </w:pPr>
      <w:r w:rsidRPr="00894862">
        <w:lastRenderedPageBreak/>
        <w:t>Y.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UE potępiła niebezpieczne działania chińskich statków straży przybrzeżnej przeprowadzone przeciwko legalnym filipińskim operacjom morskim na Morzu Południowochińskim 31 sierpnia 2024 r.; mając na uwadze, że incydent ten jest ostatnim z szeregu działań zagrażających bezpieczeństwu życia na morzu i naruszających prawo do wolności żeglugi i przelotu zgodnie z prawem międzynarodowym; mając na uwadze, że bezpieczeństwo morskie i wolność żeglugi muszą być zapewnione zgodnie z prawem międzynarodowym, a w szczególności z konwencją UNCLOS;</w:t>
      </w:r>
    </w:p>
    <w:p w:rsidR="00AA500C" w:rsidRPr="00894862" w:rsidRDefault="00AA500C" w:rsidP="00AA500C">
      <w:pPr>
        <w:pStyle w:val="NormalHanging12a"/>
        <w:rPr>
          <w:shd w:val="clear" w:color="auto" w:fill="FFFFFF"/>
        </w:rPr>
      </w:pPr>
      <w:r w:rsidRPr="00894862">
        <w:t>Z.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ChRL wspiera Rosję w wojnie napastniczej przeciwko Ukrainie, w szczególności przez wywóz produktów podwójnego zastosowania do Rosji, a także stałe angażowanie się przedsiębiorstw mających siedzibę w Chinach w uchylanie się od sankcji i ich obchodzenie;</w:t>
      </w:r>
    </w:p>
    <w:p w:rsidR="00AA500C" w:rsidRPr="00894862" w:rsidRDefault="00AA500C" w:rsidP="00AA500C">
      <w:pPr>
        <w:pStyle w:val="NormalHanging12a"/>
      </w:pPr>
      <w:r w:rsidRPr="00894862">
        <w:t>AA.</w:t>
      </w:r>
      <w:r w:rsidRPr="00894862">
        <w:tab/>
        <w:t>mając na uwadze, że jako stały członek Rady Bezpieczeństwa ONZ ChRL jest odpowiedzialna za działania na rzecz pokoju i stabilności w regionie, a w szczególności w Cieśninie Tajwańskiej;</w:t>
      </w:r>
    </w:p>
    <w:p w:rsidR="00AA500C" w:rsidRPr="00894862" w:rsidRDefault="00AA500C" w:rsidP="00AA500C">
      <w:pPr>
        <w:pStyle w:val="NormalHanging12a"/>
      </w:pPr>
      <w:r w:rsidRPr="00894862">
        <w:t>AB.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dzięki strategii współpracy w regionie </w:t>
      </w:r>
      <w:proofErr w:type="spellStart"/>
      <w:r w:rsidRPr="00894862">
        <w:t>Indo</w:t>
      </w:r>
      <w:proofErr w:type="spellEnd"/>
      <w:r w:rsidRPr="00894862">
        <w:t>-Pacyfiku z 2021 r. UE i jej państwa członkowskie zwiększyły swoją obecność w regionie, w tym przez obecność wojskową niektórych państw członkowskich oraz fakt, że unijne okręty wojenne przepływają przez Cieśninę Tajwańską;</w:t>
      </w:r>
    </w:p>
    <w:p w:rsidR="00AA500C" w:rsidRPr="00894862" w:rsidRDefault="00AA500C" w:rsidP="00AA500C">
      <w:pPr>
        <w:pStyle w:val="NormalHanging12a"/>
      </w:pPr>
      <w:r w:rsidRPr="00894862">
        <w:t>AC.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Tajwan znajduje się w strategicznym położeniu pod względem handlu, zwłaszcza jeśli chodzi o globalne łańcuchy dostaw zaawansowanych technologii; mając na uwadze, że Cieśnina Tajwańska jest głównym szlakiem dla statków podróżujących z Chin, Japonii, Korei Południowej i Tajwanu do Europy; mając na uwadze, że Tajwan dominuje na rynkach produkcji półprzewodników, ponieważ tamtejsi producenci wytwarzają około 50 % wszystkich półprzewodników na świecie; mając na uwadze, że strategia UE na rzecz współpracy w regionie </w:t>
      </w:r>
      <w:proofErr w:type="spellStart"/>
      <w:r w:rsidRPr="00894862">
        <w:t>Indo</w:t>
      </w:r>
      <w:proofErr w:type="spellEnd"/>
      <w:r w:rsidRPr="00894862">
        <w:t>-Pacyfiku przemawia za zacieśnieniem współpracy handlowej i inwestycyjnej z Tajwanem;</w:t>
      </w:r>
    </w:p>
    <w:p w:rsidR="00AA500C" w:rsidRPr="00894862" w:rsidRDefault="00AA500C" w:rsidP="00AA500C">
      <w:pPr>
        <w:pStyle w:val="NormalHanging12a"/>
      </w:pPr>
      <w:r w:rsidRPr="00894862">
        <w:t>AD.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EU jest czwartym co do wielkości partnerem handlowym Tajwanu po ChRL, Stanach Zjednoczonych i Japonii; mając na uwadze, że w 2022 r. Tajwan zajmował 12. </w:t>
      </w:r>
      <w:proofErr w:type="gramStart"/>
      <w:r w:rsidRPr="00894862">
        <w:t>miejsce</w:t>
      </w:r>
      <w:proofErr w:type="gramEnd"/>
      <w:r w:rsidRPr="00894862">
        <w:t xml:space="preserve"> wśród największych partnerów handlowych UE; mając na uwadze, że UE jest największym źródłem bezpośrednich inwestycji zagranicznych na Tajwanie; mając na uwadze, że tajwańskie inwestycje w UE są niższe niż mogłyby być;</w:t>
      </w:r>
    </w:p>
    <w:p w:rsidR="00AA500C" w:rsidRPr="00894862" w:rsidRDefault="00AA500C" w:rsidP="00AA500C">
      <w:pPr>
        <w:pStyle w:val="NormalHanging12a"/>
      </w:pPr>
      <w:r w:rsidRPr="00894862">
        <w:t>AE.</w:t>
      </w:r>
      <w:r w:rsidRPr="00894862">
        <w:tab/>
      </w:r>
      <w:proofErr w:type="gramStart"/>
      <w:r w:rsidRPr="00894862">
        <w:t>mając</w:t>
      </w:r>
      <w:proofErr w:type="gramEnd"/>
      <w:r w:rsidRPr="00894862">
        <w:t xml:space="preserve"> na uwadze, że członkowie australijskiego Senatu i drugiej izby parlamentu Niderlandów przyjęli niedawno uchwały dotyczące wypaczenia przez ChRL treści rezolucji ONZ nr 2758 i zaapelowali o poparcie większego udziału Tajwanu w organizacjach wielostronnych;</w:t>
      </w:r>
    </w:p>
    <w:p w:rsidR="00AA500C" w:rsidRPr="00894862" w:rsidRDefault="00AA500C" w:rsidP="00AA500C">
      <w:pPr>
        <w:pStyle w:val="NormalHanging12a"/>
      </w:pPr>
      <w:r w:rsidRPr="00894862">
        <w:t>1.</w:t>
      </w:r>
      <w:r w:rsidRPr="00894862">
        <w:tab/>
      </w:r>
      <w:proofErr w:type="gramStart"/>
      <w:r w:rsidRPr="00894862">
        <w:t>ponownie</w:t>
      </w:r>
      <w:proofErr w:type="gramEnd"/>
      <w:r w:rsidRPr="00894862">
        <w:t xml:space="preserve"> podkreśla, że Tajwan jest kluczowym partnerem UE i zaprzyjaźnionym państwem demokratycznym o zbieżnych poglądach w regionie </w:t>
      </w:r>
      <w:proofErr w:type="spellStart"/>
      <w:r w:rsidRPr="00894862">
        <w:t>Indo</w:t>
      </w:r>
      <w:proofErr w:type="spellEnd"/>
      <w:r w:rsidRPr="00894862">
        <w:t>-Pacyfiku; wyraża uznanie dla Tajwanu i narodu tajwańskiego za silną demokrację i dynamiczne społeczeństwo obywatelskie, czego po raz kolejny dowiodły pokojowe i dobrze zorganizowane wybory z 13 stycznia 2024 r.;</w:t>
      </w:r>
    </w:p>
    <w:p w:rsidR="00AA500C" w:rsidRPr="00894862" w:rsidRDefault="00AA500C" w:rsidP="00AA500C">
      <w:pPr>
        <w:pStyle w:val="NormalHanging12a"/>
      </w:pPr>
      <w:r w:rsidRPr="00894862">
        <w:t>2.</w:t>
      </w:r>
      <w:r w:rsidRPr="00894862">
        <w:tab/>
      </w:r>
      <w:proofErr w:type="gramStart"/>
      <w:r w:rsidRPr="00894862">
        <w:t>sprzeciwia</w:t>
      </w:r>
      <w:proofErr w:type="gramEnd"/>
      <w:r w:rsidRPr="00894862">
        <w:t xml:space="preserve"> się stałemu wypaczaniu przez ChRL rezolucji ONZ nr 2758 i staraniom ChRL o zablokowanie udziału Tajwanu w organizacjach wielostronnych; apeluje do UE </w:t>
      </w:r>
      <w:r w:rsidRPr="00894862">
        <w:lastRenderedPageBreak/>
        <w:t>i jej państw członkowskich, aby popierały znaczący udział Tajwanu w odpowiednich organizacjach międzynarodowych, takich jak WHO, ICAO, Interpol i UNFCCC; wzywa ponadto Sekretariat ONZ do przyznania obywatelom i dziennikarzom tajwańskim prawa dostępu do pomieszczeń ONZ w celu odbywania wizyt i spotkań oraz prowadzenia działań informacyjnych;</w:t>
      </w:r>
    </w:p>
    <w:p w:rsidR="00AA500C" w:rsidRPr="00894862" w:rsidRDefault="00AA500C" w:rsidP="00AA500C">
      <w:pPr>
        <w:pStyle w:val="NormalHanging12a"/>
      </w:pPr>
      <w:r w:rsidRPr="00894862">
        <w:t>3.</w:t>
      </w:r>
      <w:r w:rsidRPr="00894862">
        <w:tab/>
      </w:r>
      <w:proofErr w:type="gramStart"/>
      <w:r w:rsidRPr="00894862">
        <w:t>zdecydowanie</w:t>
      </w:r>
      <w:proofErr w:type="gramEnd"/>
      <w:r w:rsidRPr="00894862">
        <w:t xml:space="preserve"> potępia nieuzasadnione ćwiczenia wojskowe ChRL z 14 października 2024 r., jej ciągłe prowokacje wojskowe przeciwko Tajwanowi i nieustanną koncentrację sił wojskowych, która zmienia równowagę sił w regionie </w:t>
      </w:r>
      <w:proofErr w:type="spellStart"/>
      <w:r w:rsidRPr="00894862">
        <w:t>Indo</w:t>
      </w:r>
      <w:proofErr w:type="spellEnd"/>
      <w:r w:rsidRPr="00894862">
        <w:t>-Pacyfiku, oraz ponownie wyraża zdecydowany sprzeciw wobec wszelkich jednostronnych zmian status quo w Cieśninie Tajwańskiej; pochwala powściągliwość i zdyscyplinowaną reakcję władz Tajwanu oraz wzywa do regularnej wymiany informacji między UE a Tajwanem na temat istotnych kwestii dotyczących bezpieczeństwa;</w:t>
      </w:r>
    </w:p>
    <w:p w:rsidR="00AA500C" w:rsidRPr="00894862" w:rsidRDefault="00AA500C" w:rsidP="00AA500C">
      <w:pPr>
        <w:pStyle w:val="NormalHanging12a"/>
      </w:pPr>
      <w:r w:rsidRPr="00894862">
        <w:t>4.</w:t>
      </w:r>
      <w:r w:rsidRPr="00894862">
        <w:tab/>
      </w:r>
      <w:proofErr w:type="gramStart"/>
      <w:r w:rsidRPr="00894862">
        <w:t>potwierdza</w:t>
      </w:r>
      <w:proofErr w:type="gramEnd"/>
      <w:r w:rsidRPr="00894862">
        <w:t xml:space="preserve"> swoje zdecydowane zaangażowanie na rzecz status quo w Cieśninie Tajwańskiej; podkreśla, że żadna próba jednostronnej zmiany status quo w Cieśninie Tajwańskiej, w szczególności z użyciem siły lub przymusu, nie będzie akceptowana i spotka się ze zdecydowaną i silną reakcją;</w:t>
      </w:r>
    </w:p>
    <w:p w:rsidR="00AA500C" w:rsidRPr="00894862" w:rsidRDefault="00AA500C" w:rsidP="00AA500C">
      <w:pPr>
        <w:pStyle w:val="NormalHanging12a"/>
      </w:pPr>
      <w:r w:rsidRPr="00894862">
        <w:t>5.</w:t>
      </w:r>
      <w:r w:rsidRPr="00894862">
        <w:tab/>
      </w:r>
      <w:proofErr w:type="gramStart"/>
      <w:r w:rsidRPr="00894862">
        <w:t>podkreśla</w:t>
      </w:r>
      <w:proofErr w:type="gramEnd"/>
      <w:r w:rsidRPr="00894862">
        <w:t>, że w rezolucji ONZ nr 2758 nie zajęto stanowiska w sprawie Tajwanu; zdecydowanie sprzeciwia się podejmowanym przez ChRL próbom wypaczania historii i zasad międzynarodowych i nie zgadza się na takie próby;</w:t>
      </w:r>
    </w:p>
    <w:p w:rsidR="00AA500C" w:rsidRPr="00894862" w:rsidRDefault="00AA500C" w:rsidP="00AA500C">
      <w:pPr>
        <w:pStyle w:val="NormalHanging12a"/>
      </w:pPr>
      <w:r w:rsidRPr="00894862">
        <w:t>6.</w:t>
      </w:r>
      <w:r w:rsidRPr="00894862">
        <w:tab/>
      </w:r>
      <w:proofErr w:type="gramStart"/>
      <w:r w:rsidRPr="00894862">
        <w:t>ponownie</w:t>
      </w:r>
      <w:proofErr w:type="gramEnd"/>
      <w:r w:rsidRPr="00894862">
        <w:t xml:space="preserve"> podkreśla zaangażowanie UE w politykę „jednych Chin” stanowiącą polityczną podstawę stosunków między UE a ChRL; przypomina, że w strategii UE wobec ChRL podkreśla się, że konstruktywne relacje w Cieśninie Tajwańskiej są częścią promowania pokoju i bezpieczeństwa w całym regionie Azji i Pacyfiku oraz że UE wspiera inicjatywy mające na celu dialog i budowanie zaufania;</w:t>
      </w:r>
    </w:p>
    <w:p w:rsidR="00AA500C" w:rsidRPr="00894862" w:rsidRDefault="00AA500C" w:rsidP="00AA500C">
      <w:pPr>
        <w:pStyle w:val="NormalHanging12a"/>
      </w:pPr>
      <w:r w:rsidRPr="00894862">
        <w:t>7.</w:t>
      </w:r>
      <w:r w:rsidRPr="00894862">
        <w:tab/>
      </w:r>
      <w:proofErr w:type="gramStart"/>
      <w:r w:rsidRPr="00894862">
        <w:t>podkreśla</w:t>
      </w:r>
      <w:proofErr w:type="gramEnd"/>
      <w:r w:rsidRPr="00894862">
        <w:t>, że na Tajwanie to obywatele w sposób demokratyczny decydują o tym, jak chcą żyć, oraz że status quo w Cieśninie Tajwańskiej nie może być jednostronnie zmieniany przy użyciu siły lub w wyniku groźby jej użycia;</w:t>
      </w:r>
    </w:p>
    <w:p w:rsidR="00AA500C" w:rsidRPr="00894862" w:rsidRDefault="00AA500C" w:rsidP="00AA500C">
      <w:pPr>
        <w:pStyle w:val="NormalHanging12a"/>
      </w:pPr>
      <w:r w:rsidRPr="00894862">
        <w:t>8.</w:t>
      </w:r>
      <w:r w:rsidRPr="00894862">
        <w:tab/>
      </w:r>
      <w:proofErr w:type="gramStart"/>
      <w:r w:rsidRPr="00894862">
        <w:t>ponownie</w:t>
      </w:r>
      <w:proofErr w:type="gramEnd"/>
      <w:r w:rsidRPr="00894862">
        <w:t xml:space="preserve"> zdecydowanie potępia oświadczenia prezydenta Chin Xi </w:t>
      </w:r>
      <w:proofErr w:type="spellStart"/>
      <w:r w:rsidRPr="00894862">
        <w:t>Jinpinga</w:t>
      </w:r>
      <w:proofErr w:type="spellEnd"/>
      <w:r w:rsidRPr="00894862">
        <w:t xml:space="preserve">, że ChRL nigdy nie wyrzeknie się prawa do użycia siły wobec Tajwanu; podkreśla, że użycie przez ChRL siły lub gróźb bądź innych środków silnego przymusu w celu zjednoczenia jest niezgodne z prawem międzynarodowym; wyraża poważne zaniepokojenie wykorzystywaniem przez ChRL wrogiej dezinformacji do podważania zaufania do tajwańskiej demokracji i tamtejszych rządów; ponawia swoje wcześniejsze apele do UE i jej państw członkowskich o współpracę z partnerami międzynarodowymi, aby pomóc w utrzymaniu demokracji na Tajwanie i chronić Tajwan przed obcą ingerencją i zagrożeniami; podkreśla, że tylko demokratycznie wybrany rząd Tajwanu może reprezentować Tajwańczyków na arenie </w:t>
      </w:r>
      <w:proofErr w:type="gramStart"/>
      <w:r w:rsidRPr="00894862">
        <w:t>międzynarodowej</w:t>
      </w:r>
      <w:proofErr w:type="gramEnd"/>
      <w:r w:rsidRPr="00894862">
        <w:t>;</w:t>
      </w:r>
    </w:p>
    <w:p w:rsidR="00AA500C" w:rsidRPr="00894862" w:rsidRDefault="00AA500C" w:rsidP="00AA500C">
      <w:pPr>
        <w:pStyle w:val="NormalHanging12a"/>
      </w:pPr>
      <w:r w:rsidRPr="00894862">
        <w:t>9.</w:t>
      </w:r>
      <w:r w:rsidRPr="00894862">
        <w:tab/>
      </w:r>
      <w:proofErr w:type="gramStart"/>
      <w:r w:rsidRPr="00894862">
        <w:t>potępia</w:t>
      </w:r>
      <w:proofErr w:type="gramEnd"/>
      <w:r w:rsidRPr="00894862">
        <w:t xml:space="preserve"> systematyczne działania wojskowe ChRL w szarej strefie, w tym cyberataki i kampanie dezinformacyjne przeciwko Tajwanowi, oraz wzywa ChRL do natychmiastowego zaprzestania tych działań; w tym kontekście apeluje o dalsze pogłębienie współpracy między UE a Tajwanem w celu zacieśnienia współpracy strukturalnej w zakresie zwalczania dezinformacji i obcej ingerencji; z zadowoleniem przyjmuje oddelegowanie urzędnika łącznikowego do Europejskiego Biura Ekonomiczno-Handlowego na Tajwanie, aby koordynował wspólne działania na rzecz </w:t>
      </w:r>
      <w:r w:rsidRPr="00894862">
        <w:lastRenderedPageBreak/>
        <w:t xml:space="preserve">zwalczania dezinformacji i ingerencji, co stanowi pierwszy ważny krok w kierunku pogłębionej współpracy między UE a Tajwanem, oraz wzywa UE do dalszego pogłębiania współpracy z Tajwanem w tej kluczowej dziedzinie; pochwala odwagę narodu tajwańskiego </w:t>
      </w:r>
      <w:proofErr w:type="gramStart"/>
      <w:r w:rsidRPr="00894862">
        <w:t>oraz</w:t>
      </w:r>
      <w:proofErr w:type="gramEnd"/>
      <w:r w:rsidRPr="00894862">
        <w:t xml:space="preserve"> proporcjonalne i godne reakcje tajwańskich władz i instytucji w obliczu nasilających się zagrożeń i działań ze strony Chin;</w:t>
      </w:r>
    </w:p>
    <w:p w:rsidR="00AA500C" w:rsidRPr="00894862" w:rsidRDefault="00AA500C" w:rsidP="00AA500C">
      <w:pPr>
        <w:pStyle w:val="NormalHanging12a"/>
        <w:rPr>
          <w:bCs/>
        </w:rPr>
      </w:pPr>
      <w:r w:rsidRPr="00894862">
        <w:t>10.</w:t>
      </w:r>
      <w:r w:rsidRPr="00894862">
        <w:tab/>
      </w:r>
      <w:proofErr w:type="gramStart"/>
      <w:r w:rsidRPr="00894862">
        <w:t>zdecydowanie</w:t>
      </w:r>
      <w:proofErr w:type="gramEnd"/>
      <w:r w:rsidRPr="00894862">
        <w:t xml:space="preserve"> odrzuca przymus gospodarczy stosowany przez ChRL wobec Tajwanu i innych krajów, a także wobec państw członkowskich UE, oraz podkreśla, że takie praktyki są nie tylko nielegalne w świetle zasad Światowej Organizacji Handlu, ale również mają druzgocący wpływ na reputację ChRL na świecie i doprowadzą do dalszej utraty zaufania do ChRL jako odpowiedzialnego podmiotu; podkreśla niezależne prawo UE i jej państw członkowskich do rozwijania stosunków z Tajwanem zgodnie z ich interesami i wspólnymi wartościami, takimi jak demokracja i prawa człowieka, bez ingerencji zagranicznej; wzywa zagraniczne misje UE i jej państw członkowskich do podjęcia kwestii szkodliwych praktyk biznesowych ChRL, zwłaszcza na </w:t>
      </w:r>
      <w:proofErr w:type="gramStart"/>
      <w:r w:rsidRPr="00894862">
        <w:t>globalnym</w:t>
      </w:r>
      <w:proofErr w:type="gramEnd"/>
      <w:r w:rsidRPr="00894862">
        <w:t xml:space="preserve"> Południu, oraz do zaproponowania rozwiązań alternatywnych;</w:t>
      </w:r>
    </w:p>
    <w:p w:rsidR="00AA500C" w:rsidRPr="00894862" w:rsidRDefault="00AA500C" w:rsidP="00AA500C">
      <w:pPr>
        <w:pStyle w:val="NormalHanging12a"/>
      </w:pPr>
      <w:r w:rsidRPr="00894862">
        <w:t>11.</w:t>
      </w:r>
      <w:r w:rsidRPr="00894862">
        <w:tab/>
      </w:r>
      <w:proofErr w:type="gramStart"/>
      <w:r w:rsidRPr="00894862">
        <w:t>wyraża</w:t>
      </w:r>
      <w:proofErr w:type="gramEnd"/>
      <w:r w:rsidRPr="00894862">
        <w:t xml:space="preserve"> głębokie zaniepokojenie przyjęciem tzw. wytycznych dotyczących karania „zagorzałych separatystów popierających niepodległość Tajwanu” za popełnianie przestępstwa secesji i podżeganie do niej, ogłoszonych w czerwcu 2024 r. wspólnie przez Najwyższy Sąd Ludowy, Najwyższą Prokuraturę Ludową, ministerstwo bezpieczeństwa publicznego, ministerstwo bezpieczeństwa państwowego oraz ministerstwo sprawiedliwości, które mogłyby doprowadzić do nakładania surowych kar za przestępstwo secesji, w tym kary śmierci; zdecydowanie potępia skazanie we wrześniu 2024 r. tajwańskiego działacza na dziewięć lat więzienia po aresztowaniu go w ChRL w 2022 r., a także ciągłe nękanie Tajwańczyków pracujących i mieszkających w ChRL;</w:t>
      </w:r>
    </w:p>
    <w:p w:rsidR="00AA500C" w:rsidRPr="00894862" w:rsidRDefault="00AA500C" w:rsidP="00AA500C">
      <w:pPr>
        <w:pStyle w:val="NormalHanging12a"/>
      </w:pPr>
      <w:r w:rsidRPr="00894862">
        <w:t>12.</w:t>
      </w:r>
      <w:r w:rsidRPr="00894862">
        <w:tab/>
      </w:r>
      <w:proofErr w:type="gramStart"/>
      <w:r w:rsidRPr="00894862">
        <w:t>jest</w:t>
      </w:r>
      <w:proofErr w:type="gramEnd"/>
      <w:r w:rsidRPr="00894862">
        <w:t xml:space="preserve"> poważnie zaniepokojony sytuacją na Morzu Wschodniochińskim i Południowochińskim; przypomina, jak ważne jest przestrzeganie prawa międzynarodowego, w tym konwencji UNCLOS, a zwłaszcza jej postanowień dotyczących zobowiązania do rozstrzygania sporów środkami pokojowymi oraz postanowień dotyczących zachowania wolności żeglugi i przelotu; wzywa wszystkie państwa, które jeszcze tego nie uczyniły, do szybkiego ratyfikowania konwencji UNCLOS; wzywa UE i jej państwa członkowskie, by zwiększyły własne zdolności morskie w regionie; przypomina ChRL, że jako stały członek Rady Bezpieczeństwa ONZ ponosi odpowiedzialność za przestrzeganie prawa międzynarodowego, i podkreśla obowiązek pokojowego rozwiązywania sporów;</w:t>
      </w:r>
    </w:p>
    <w:p w:rsidR="00AA500C" w:rsidRPr="00894862" w:rsidRDefault="00AA500C" w:rsidP="00AA500C">
      <w:pPr>
        <w:pStyle w:val="NormalHanging12a"/>
      </w:pPr>
      <w:r w:rsidRPr="00894862">
        <w:t>13.</w:t>
      </w:r>
      <w:r w:rsidRPr="00894862">
        <w:tab/>
      </w:r>
      <w:proofErr w:type="gramStart"/>
      <w:r w:rsidRPr="00894862">
        <w:t>ponownie</w:t>
      </w:r>
      <w:proofErr w:type="gramEnd"/>
      <w:r w:rsidRPr="00894862">
        <w:t xml:space="preserve"> wyraża poważne zaniepokojenie rosnącymi inwestycjami i zdolnościami wojskowymi Chin; wyraża poważne zaniepokojenie odnowionym zobowiązaniem Chin i Rosji do dalszego wzmacniania więzi wojskowych i potępia chińskie dostawy komponentów i sprzętu dla rosyjskiego przemysłu zbrojeniowego; z zadowoleniem przyjmuje decyzję Rady o nałożeniu sankcji na chińskie przedsiębiorstwa za wspieranie rosyjskiej wojny przeciwko Ukrainie; ubolewa nad partnerstwem „bez ograniczeń” między Rosją a ChRL; z zadowoleniem przyjmuje coraz większe zaangażowanie i obecność wojskową Stanów Zjednoczonych w regionie </w:t>
      </w:r>
      <w:proofErr w:type="spellStart"/>
      <w:r w:rsidRPr="00894862">
        <w:t>Indo</w:t>
      </w:r>
      <w:proofErr w:type="spellEnd"/>
      <w:r w:rsidRPr="00894862">
        <w:t>-Pacyfiku; ponawia swój apel o skoordynowane podejście do pogłębienia współpracy między UE a USA w kwestiach bezpieczeństwa, w tym przez transatlantycki dialog parlamentarny;</w:t>
      </w:r>
    </w:p>
    <w:p w:rsidR="00AA500C" w:rsidRPr="00894862" w:rsidRDefault="00AA500C" w:rsidP="00AA500C">
      <w:pPr>
        <w:pStyle w:val="NormalHanging12a"/>
      </w:pPr>
      <w:r w:rsidRPr="00894862">
        <w:t>14.</w:t>
      </w:r>
      <w:r w:rsidRPr="00894862">
        <w:tab/>
      </w:r>
      <w:proofErr w:type="gramStart"/>
      <w:r w:rsidRPr="00894862">
        <w:t>z</w:t>
      </w:r>
      <w:proofErr w:type="gramEnd"/>
      <w:r w:rsidRPr="00894862">
        <w:t xml:space="preserve"> dużym zadowoleniem przyjmuje bliską współpracę i porozumienie Tajwanu z UE i </w:t>
      </w:r>
      <w:r w:rsidRPr="00894862">
        <w:lastRenderedPageBreak/>
        <w:t>Stanami Zjednoczonymi, jeśli chodzi o reakcję na wojnę Rosji przeciwko Ukrainie, i nałożenie sankcji w odpowiedzi na to rażące naruszenie prawa międzynarodowego; przypomina o pomocy Tajwanu w związku z kryzysem humanitarnym spowodowanym rosyjską wojną napastniczą przeciwko Ukrainie, a także o jego stałym zaangażowaniu i wsparciu na rzecz ukraińskiego rządu i krajów przyjmujących ukraińskich uchodźców;</w:t>
      </w:r>
    </w:p>
    <w:p w:rsidR="00AA500C" w:rsidRPr="00894862" w:rsidRDefault="00AA500C" w:rsidP="00AA500C">
      <w:pPr>
        <w:pStyle w:val="NormalHanging12a"/>
      </w:pPr>
      <w:r w:rsidRPr="00894862">
        <w:t>15.</w:t>
      </w:r>
      <w:r w:rsidRPr="00894862">
        <w:tab/>
      </w:r>
      <w:proofErr w:type="gramStart"/>
      <w:r w:rsidRPr="00894862">
        <w:t>podkreśla</w:t>
      </w:r>
      <w:proofErr w:type="gramEnd"/>
      <w:r w:rsidRPr="00894862">
        <w:t xml:space="preserve">, że różne działania podejmowane przez ChRL w ramach wojny kognitywnej i prawnej powoli podważają status quo, a także prowadzą do nasilenia działalności w szarej strefie, co ma na celu uniknięcie wykrycia, obchodzenie obowiązujących przepisów i neutralizowanie progów reagowania; wzywa UE do ustanowienia i egzekwowania nieprzekraczalnych linii za pomocą sankcji, w tym sankcji sektorowych, w celu przeciwdziałania działalności hybrydowej i zagrożeniom </w:t>
      </w:r>
      <w:proofErr w:type="spellStart"/>
      <w:r w:rsidRPr="00894862">
        <w:t>cyberbezpieczeństwa</w:t>
      </w:r>
      <w:proofErr w:type="spellEnd"/>
      <w:r w:rsidRPr="00894862">
        <w:t>, a także do koordynowania z partnerami o zbieżnych poglądach zdecydowanych dyplomatycznych i gospodarczych środków odstraszających;</w:t>
      </w:r>
    </w:p>
    <w:p w:rsidR="00AA500C" w:rsidRPr="00894862" w:rsidRDefault="00AA500C" w:rsidP="00AA500C">
      <w:pPr>
        <w:pStyle w:val="NormalHanging12a"/>
      </w:pPr>
      <w:r w:rsidRPr="00894862">
        <w:t>16.</w:t>
      </w:r>
      <w:r w:rsidRPr="00894862">
        <w:tab/>
      </w:r>
      <w:proofErr w:type="gramStart"/>
      <w:r w:rsidRPr="00894862">
        <w:t>wyraża</w:t>
      </w:r>
      <w:proofErr w:type="gramEnd"/>
      <w:r w:rsidRPr="00894862">
        <w:t xml:space="preserve"> wdzięczność za pomoc i wsparcie ze strony Tajwanu podczas pandemii COVID-19;</w:t>
      </w:r>
    </w:p>
    <w:p w:rsidR="00AA500C" w:rsidRPr="00894862" w:rsidRDefault="00AA500C" w:rsidP="00AA500C">
      <w:pPr>
        <w:pStyle w:val="NormalHanging12a"/>
      </w:pPr>
      <w:r w:rsidRPr="00894862">
        <w:t>17.</w:t>
      </w:r>
      <w:r w:rsidRPr="00894862">
        <w:tab/>
      </w:r>
      <w:proofErr w:type="gramStart"/>
      <w:r w:rsidRPr="00894862">
        <w:t>podkreśla</w:t>
      </w:r>
      <w:proofErr w:type="gramEnd"/>
      <w:r w:rsidRPr="00894862">
        <w:t xml:space="preserve"> znaczenie Tajwanu dla zabezpieczenia globalnych łańcuchów dostaw, zwłaszcza w sektorze zaawansowanych technologii, w którym Tajwan jest wiodącym producentem półprzewodników, i wzywa UE i jej państwa członkowskie do ściślejszej współpracy z Tajwanem;</w:t>
      </w:r>
    </w:p>
    <w:p w:rsidR="00AA500C" w:rsidRPr="00894862" w:rsidRDefault="00AA500C" w:rsidP="00AA500C">
      <w:pPr>
        <w:pStyle w:val="NormalHanging12a"/>
      </w:pPr>
      <w:r w:rsidRPr="00894862">
        <w:t>18.</w:t>
      </w:r>
      <w:r w:rsidRPr="00894862">
        <w:tab/>
      </w:r>
      <w:proofErr w:type="gramStart"/>
      <w:r w:rsidRPr="00894862">
        <w:t>wzywa</w:t>
      </w:r>
      <w:proofErr w:type="gramEnd"/>
      <w:r w:rsidRPr="00894862">
        <w:t xml:space="preserve"> Komisję do niezwłocznego podjęcia działań przygotowawczych z myślą o negocjacjach w sprawie dwustronnej umowy inwestycyjnej lub innych rodzajów umów z Tajwanem; podkreśla potencjał współpracy w zakresie polityki monitorowania bezpośrednich inwestycji zagranicznych oraz w zakresie zwalczania wymuszeń ekonomicznych i działań odwetowych;</w:t>
      </w:r>
    </w:p>
    <w:p w:rsidR="00AA500C" w:rsidRPr="00894862" w:rsidRDefault="00AA500C" w:rsidP="00AA500C">
      <w:pPr>
        <w:pStyle w:val="NormalHanging12a"/>
      </w:pPr>
      <w:r w:rsidRPr="00894862">
        <w:t>19.</w:t>
      </w:r>
      <w:r w:rsidRPr="00894862">
        <w:tab/>
      </w:r>
      <w:proofErr w:type="gramStart"/>
      <w:r w:rsidRPr="00894862">
        <w:t>pochwala</w:t>
      </w:r>
      <w:proofErr w:type="gramEnd"/>
      <w:r w:rsidRPr="00894862">
        <w:t xml:space="preserve"> większą swobodę ćwiczeń nawigacyjnych prowadzonych przez kilka państw UE, w tym Francję, Niderlandy i Niemcy; zauważa, że działania te są zgodne z prawem międzynarodowym, i wzywa do ściślejszej współpracy i koordynacji z partnerami regionalnymi w celu zwiększenia swobody operacji nawigacyjnych w regionie;</w:t>
      </w:r>
    </w:p>
    <w:p w:rsidR="00AA500C" w:rsidRPr="00894862" w:rsidRDefault="00AA500C" w:rsidP="00AA500C">
      <w:pPr>
        <w:pStyle w:val="NormalHanging12a"/>
      </w:pPr>
      <w:r w:rsidRPr="00894862">
        <w:t>20.</w:t>
      </w:r>
      <w:r w:rsidRPr="00894862">
        <w:tab/>
      </w:r>
      <w:proofErr w:type="gramStart"/>
      <w:r w:rsidRPr="00894862">
        <w:t>z</w:t>
      </w:r>
      <w:proofErr w:type="gramEnd"/>
      <w:r w:rsidRPr="00894862">
        <w:t xml:space="preserve"> zadowoleniem przyjmuje wizyty byłych i obecnych tajwańskich polityków w Europie, w tym niedawną wizytę byłej prezydent </w:t>
      </w:r>
      <w:proofErr w:type="spellStart"/>
      <w:r w:rsidRPr="00894862">
        <w:t>Tsai</w:t>
      </w:r>
      <w:proofErr w:type="spellEnd"/>
      <w:r w:rsidRPr="00894862">
        <w:t xml:space="preserve"> Ing-wen w Parlamencie Europejskim 17 października 2024 r.; ponadto z zadowoleniem przyjmuje stałą wymianę poglądów między posłami do Parlamentu Europejskiego a Tajwanem i zachęca do dalszych wizyt oficjalnych delegacji Parlamentu Europejskiego na Tajwanie; zachęca również do dalszych kontaktów między UE a Tajwanem na wszystkich szczeblach, w tym politycznym i międzyludzkim;</w:t>
      </w:r>
    </w:p>
    <w:p w:rsidR="00AA500C" w:rsidRPr="00894862" w:rsidRDefault="00AA500C" w:rsidP="00AA500C">
      <w:pPr>
        <w:pStyle w:val="NormalHanging12a"/>
      </w:pPr>
      <w:r w:rsidRPr="00894862">
        <w:t>21.</w:t>
      </w:r>
      <w:r w:rsidRPr="00894862">
        <w:tab/>
      </w:r>
      <w:proofErr w:type="gramStart"/>
      <w:r w:rsidRPr="00894862">
        <w:t>zachęca</w:t>
      </w:r>
      <w:proofErr w:type="gramEnd"/>
      <w:r w:rsidRPr="00894862">
        <w:t xml:space="preserve"> w związku z tym do zwiększenia interakcji i wymiany gospodarczej, naukowej i kulturalnej ukierunkowanej m.in. na młodzież, środowisko akademickie, społeczeństwo obywatelskie, sport, kulturę i edukację, a także do nawiązywania więzi partnerskich między miastami i regionami; ponawia swój apel do państw członkowskich, aby nawiązały konstruktywną i strukturalną współpracę techniczną z tajwańską Krajową Agencją Pożarnictwa i Krajową Agencją Policyjną oraz z organami administracji lokalnej w zakresie ochrony ludności i reagowania kryzysowego;</w:t>
      </w:r>
    </w:p>
    <w:p w:rsidR="00E365E1" w:rsidRPr="00894862" w:rsidRDefault="00AA500C" w:rsidP="0061753F">
      <w:pPr>
        <w:pStyle w:val="NormalHanging12a"/>
      </w:pPr>
      <w:r w:rsidRPr="00894862">
        <w:t>22.</w:t>
      </w:r>
      <w:r w:rsidRPr="00894862">
        <w:tab/>
      </w:r>
      <w:proofErr w:type="gramStart"/>
      <w:r w:rsidRPr="00894862">
        <w:t>zobowiązuje</w:t>
      </w:r>
      <w:proofErr w:type="gramEnd"/>
      <w:r w:rsidRPr="00894862">
        <w:t xml:space="preserve"> swoją przewodniczącą do przekazania niniejszej rezolucji Radzie, </w:t>
      </w:r>
      <w:r w:rsidRPr="00894862">
        <w:lastRenderedPageBreak/>
        <w:t>Komisji, wiceprzewodniczącemu Komisji / wysokiemu przedstawicielowi Unii do spraw zagranicznych i polityki bezpieczeństwa oraz rządom Chińskiej Republiki Ludowej i Tajwanu.</w:t>
      </w:r>
      <w:bookmarkStart w:id="7" w:name="TextBodyEnd"/>
      <w:bookmarkEnd w:id="7"/>
    </w:p>
    <w:sectPr w:rsidR="00E365E1" w:rsidRPr="00894862" w:rsidSect="008948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261" w:rsidRPr="00894862" w:rsidRDefault="00F74261">
      <w:r w:rsidRPr="00894862">
        <w:separator/>
      </w:r>
    </w:p>
  </w:endnote>
  <w:endnote w:type="continuationSeparator" w:id="0">
    <w:p w:rsidR="00F74261" w:rsidRPr="00894862" w:rsidRDefault="00F74261">
      <w:r w:rsidRPr="008948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8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8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8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261" w:rsidRPr="00894862" w:rsidRDefault="00F74261">
      <w:r w:rsidRPr="00894862">
        <w:separator/>
      </w:r>
    </w:p>
  </w:footnote>
  <w:footnote w:type="continuationSeparator" w:id="0">
    <w:p w:rsidR="00F74261" w:rsidRPr="00894862" w:rsidRDefault="00F74261">
      <w:r w:rsidRPr="00894862">
        <w:continuationSeparator/>
      </w:r>
    </w:p>
  </w:footnote>
  <w:footnote w:id="1">
    <w:p w:rsidR="00AA500C" w:rsidRPr="00894862" w:rsidRDefault="00AA500C" w:rsidP="00894862">
      <w:pPr>
        <w:pStyle w:val="FootnoteText"/>
        <w:ind w:left="567" w:hanging="567"/>
        <w:rPr>
          <w:sz w:val="24"/>
          <w:lang w:val="pl-PL"/>
        </w:rPr>
      </w:pPr>
      <w:r w:rsidRPr="00894862">
        <w:rPr>
          <w:rStyle w:val="FootnoteReference"/>
          <w:sz w:val="24"/>
          <w:lang w:val="pl-PL"/>
        </w:rPr>
        <w:footnoteRef/>
      </w:r>
      <w:r w:rsidR="00894862" w:rsidRPr="00894862">
        <w:rPr>
          <w:sz w:val="24"/>
          <w:lang w:val="pl-PL"/>
        </w:rPr>
        <w:t xml:space="preserve"> </w:t>
      </w:r>
      <w:r w:rsidR="00894862" w:rsidRPr="00894862">
        <w:rPr>
          <w:sz w:val="24"/>
          <w:lang w:val="pl-PL"/>
        </w:rPr>
        <w:tab/>
      </w:r>
      <w:r w:rsidRPr="00894862">
        <w:rPr>
          <w:sz w:val="24"/>
          <w:lang w:val="pl-PL"/>
        </w:rPr>
        <w:t xml:space="preserve">Dz.U. C 117 z 11.3.2022, </w:t>
      </w:r>
      <w:proofErr w:type="gramStart"/>
      <w:r w:rsidRPr="00894862">
        <w:rPr>
          <w:sz w:val="24"/>
          <w:lang w:val="pl-PL"/>
        </w:rPr>
        <w:t>s</w:t>
      </w:r>
      <w:proofErr w:type="gramEnd"/>
      <w:r w:rsidRPr="00894862">
        <w:rPr>
          <w:sz w:val="24"/>
          <w:lang w:val="pl-PL"/>
        </w:rPr>
        <w:t>. 40.</w:t>
      </w:r>
    </w:p>
  </w:footnote>
  <w:footnote w:id="2">
    <w:p w:rsidR="00AA500C" w:rsidRPr="00894862" w:rsidRDefault="00AA500C" w:rsidP="00894862">
      <w:pPr>
        <w:pStyle w:val="FootnoteText"/>
        <w:ind w:left="567" w:hanging="567"/>
        <w:rPr>
          <w:sz w:val="24"/>
          <w:lang w:val="pl-PL"/>
        </w:rPr>
      </w:pPr>
      <w:r w:rsidRPr="00894862">
        <w:rPr>
          <w:rStyle w:val="FootnoteReference"/>
          <w:sz w:val="24"/>
          <w:lang w:val="pl-PL"/>
        </w:rPr>
        <w:footnoteRef/>
      </w:r>
      <w:r w:rsidR="00894862" w:rsidRPr="00894862">
        <w:rPr>
          <w:sz w:val="24"/>
          <w:lang w:val="pl-PL"/>
        </w:rPr>
        <w:t xml:space="preserve"> </w:t>
      </w:r>
      <w:r w:rsidR="00894862" w:rsidRPr="00894862">
        <w:rPr>
          <w:sz w:val="24"/>
          <w:lang w:val="pl-PL"/>
        </w:rPr>
        <w:tab/>
      </w:r>
      <w:r w:rsidRPr="00894862">
        <w:rPr>
          <w:sz w:val="24"/>
          <w:lang w:val="pl-PL"/>
        </w:rPr>
        <w:t xml:space="preserve">Dz.U. C 184 z 5.5.2022, </w:t>
      </w:r>
      <w:proofErr w:type="gramStart"/>
      <w:r w:rsidRPr="00894862">
        <w:rPr>
          <w:sz w:val="24"/>
          <w:lang w:val="pl-PL"/>
        </w:rPr>
        <w:t>s</w:t>
      </w:r>
      <w:proofErr w:type="gramEnd"/>
      <w:r w:rsidRPr="00894862">
        <w:rPr>
          <w:sz w:val="24"/>
          <w:lang w:val="pl-PL"/>
        </w:rPr>
        <w:t>. 170.</w:t>
      </w:r>
    </w:p>
  </w:footnote>
  <w:footnote w:id="3">
    <w:p w:rsidR="00AA500C" w:rsidRPr="00894862" w:rsidRDefault="00AA500C" w:rsidP="00894862">
      <w:pPr>
        <w:pStyle w:val="FootnoteText"/>
        <w:ind w:left="567" w:hanging="567"/>
        <w:rPr>
          <w:sz w:val="24"/>
          <w:lang w:val="pl-PL"/>
        </w:rPr>
      </w:pPr>
      <w:r w:rsidRPr="00894862">
        <w:rPr>
          <w:rStyle w:val="FootnoteReference"/>
          <w:sz w:val="24"/>
          <w:lang w:val="pl-PL"/>
        </w:rPr>
        <w:footnoteRef/>
      </w:r>
      <w:r w:rsidR="00894862" w:rsidRPr="00894862">
        <w:rPr>
          <w:sz w:val="24"/>
          <w:lang w:val="pl-PL"/>
        </w:rPr>
        <w:t xml:space="preserve"> </w:t>
      </w:r>
      <w:r w:rsidR="00894862" w:rsidRPr="00894862">
        <w:rPr>
          <w:sz w:val="24"/>
          <w:lang w:val="pl-PL"/>
        </w:rPr>
        <w:tab/>
      </w:r>
      <w:r w:rsidRPr="00894862">
        <w:rPr>
          <w:sz w:val="24"/>
          <w:lang w:val="pl-PL"/>
        </w:rPr>
        <w:t xml:space="preserve">Dz.U. C 493 z 27.12.2022, </w:t>
      </w:r>
      <w:proofErr w:type="gramStart"/>
      <w:r w:rsidRPr="00894862">
        <w:rPr>
          <w:sz w:val="24"/>
          <w:lang w:val="pl-PL"/>
        </w:rPr>
        <w:t>s</w:t>
      </w:r>
      <w:proofErr w:type="gramEnd"/>
      <w:r w:rsidRPr="00894862">
        <w:rPr>
          <w:sz w:val="24"/>
          <w:lang w:val="pl-PL"/>
        </w:rPr>
        <w:t>. 32.</w:t>
      </w:r>
    </w:p>
  </w:footnote>
  <w:footnote w:id="4">
    <w:p w:rsidR="00AA500C" w:rsidRPr="00894862" w:rsidRDefault="00AA500C" w:rsidP="00894862">
      <w:pPr>
        <w:pStyle w:val="FootnoteText"/>
        <w:ind w:left="567" w:hanging="567"/>
        <w:rPr>
          <w:sz w:val="24"/>
          <w:lang w:val="pl-PL"/>
        </w:rPr>
      </w:pPr>
      <w:r w:rsidRPr="00894862">
        <w:rPr>
          <w:rStyle w:val="FootnoteReference"/>
          <w:sz w:val="24"/>
          <w:lang w:val="pl-PL"/>
        </w:rPr>
        <w:footnoteRef/>
      </w:r>
      <w:r w:rsidR="00894862" w:rsidRPr="00894862">
        <w:rPr>
          <w:sz w:val="24"/>
          <w:lang w:val="pl-PL"/>
        </w:rPr>
        <w:t xml:space="preserve"> </w:t>
      </w:r>
      <w:r w:rsidR="00894862" w:rsidRPr="00894862">
        <w:rPr>
          <w:sz w:val="24"/>
          <w:lang w:val="pl-PL"/>
        </w:rPr>
        <w:tab/>
      </w:r>
      <w:r w:rsidRPr="00894862">
        <w:rPr>
          <w:sz w:val="24"/>
          <w:lang w:val="pl-PL"/>
        </w:rPr>
        <w:t xml:space="preserve">Dz.U. C 125 z 5.4.2023, </w:t>
      </w:r>
      <w:proofErr w:type="gramStart"/>
      <w:r w:rsidRPr="00894862">
        <w:rPr>
          <w:sz w:val="24"/>
          <w:lang w:val="pl-PL"/>
        </w:rPr>
        <w:t>s</w:t>
      </w:r>
      <w:proofErr w:type="gramEnd"/>
      <w:r w:rsidRPr="00894862">
        <w:rPr>
          <w:sz w:val="24"/>
          <w:lang w:val="pl-PL"/>
        </w:rPr>
        <w:t>. 149.</w:t>
      </w:r>
    </w:p>
  </w:footnote>
  <w:footnote w:id="5">
    <w:p w:rsidR="00AA500C" w:rsidRPr="007B6EE3" w:rsidRDefault="00AA500C" w:rsidP="00894862">
      <w:pPr>
        <w:pStyle w:val="FootnoteText"/>
        <w:ind w:left="567" w:hanging="567"/>
        <w:rPr>
          <w:sz w:val="24"/>
          <w:lang w:val="fi-FI"/>
        </w:rPr>
      </w:pPr>
      <w:r w:rsidRPr="00894862">
        <w:rPr>
          <w:rStyle w:val="FootnoteReference"/>
          <w:sz w:val="24"/>
          <w:lang w:val="pl-PL"/>
        </w:rPr>
        <w:footnoteRef/>
      </w:r>
      <w:r w:rsidR="00894862" w:rsidRPr="007B6EE3">
        <w:rPr>
          <w:sz w:val="24"/>
          <w:lang w:val="fi-FI"/>
        </w:rPr>
        <w:t xml:space="preserve"> </w:t>
      </w:r>
      <w:r w:rsidR="00894862" w:rsidRPr="007B6EE3">
        <w:rPr>
          <w:sz w:val="24"/>
          <w:lang w:val="fi-FI"/>
        </w:rPr>
        <w:tab/>
      </w:r>
      <w:r w:rsidR="006C4ED6" w:rsidRPr="006C4ED6">
        <w:rPr>
          <w:sz w:val="24"/>
          <w:lang w:val="fi-FI"/>
        </w:rPr>
        <w:t xml:space="preserve">Dz.U. </w:t>
      </w:r>
      <w:bookmarkStart w:id="6" w:name="_GoBack"/>
      <w:bookmarkEnd w:id="6"/>
      <w:r w:rsidRPr="007B6EE3">
        <w:rPr>
          <w:sz w:val="24"/>
          <w:lang w:val="fi-FI"/>
        </w:rPr>
        <w:t xml:space="preserve">C, C/2024/4174, 2.8.2024, ELI: </w:t>
      </w:r>
      <w:hyperlink r:id="rId1" w:history="1">
        <w:r w:rsidRPr="007B6EE3">
          <w:rPr>
            <w:rStyle w:val="Hyperlink"/>
            <w:sz w:val="24"/>
            <w:lang w:val="fi-FI"/>
          </w:rPr>
          <w:t>http://data.europa.eu/eli/C/2024/4174/oj</w:t>
        </w:r>
      </w:hyperlink>
      <w:r w:rsidRPr="007B6EE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8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8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8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4/2024"/>
    <w:docVar w:name="dvlangue" w:val="PL"/>
    <w:docVar w:name="dvnumam" w:val="0"/>
    <w:docVar w:name="dvpe" w:val="764.114"/>
    <w:docVar w:name="dvtitre" w:val="Rezolucja Parlamentu Europejskiego z dnia  2024 r. w sprawie błędnego interpretowania rezolucji ONZ nr 2758 przez Chińską Republiką Ludową oraz jej ciągłych prowokacji wojskowych wokół Tajwanu(2024/2891(RSP))"/>
  </w:docVars>
  <w:rsids>
    <w:rsidRoot w:val="00F74261"/>
    <w:rsid w:val="00002272"/>
    <w:rsid w:val="00064002"/>
    <w:rsid w:val="000677B9"/>
    <w:rsid w:val="000831BA"/>
    <w:rsid w:val="000A42CC"/>
    <w:rsid w:val="000E7DD9"/>
    <w:rsid w:val="0010095E"/>
    <w:rsid w:val="001159F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53F"/>
    <w:rsid w:val="006631B6"/>
    <w:rsid w:val="00680577"/>
    <w:rsid w:val="006C4ED6"/>
    <w:rsid w:val="006F74FA"/>
    <w:rsid w:val="00731ADD"/>
    <w:rsid w:val="00734777"/>
    <w:rsid w:val="00747932"/>
    <w:rsid w:val="00751A4A"/>
    <w:rsid w:val="00756632"/>
    <w:rsid w:val="00762C74"/>
    <w:rsid w:val="00786EC0"/>
    <w:rsid w:val="007B6EE3"/>
    <w:rsid w:val="007D1690"/>
    <w:rsid w:val="007E22AD"/>
    <w:rsid w:val="00817416"/>
    <w:rsid w:val="00842779"/>
    <w:rsid w:val="00865F67"/>
    <w:rsid w:val="00881A7B"/>
    <w:rsid w:val="008840E5"/>
    <w:rsid w:val="00887B3E"/>
    <w:rsid w:val="0089486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00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26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A1E95-A954-42E2-87C4-153B8A8E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A500C"/>
    <w:pPr>
      <w:spacing w:after="240"/>
      <w:ind w:left="567" w:hanging="567"/>
    </w:pPr>
  </w:style>
  <w:style w:type="paragraph" w:customStyle="1" w:styleId="EPComma">
    <w:name w:val="EPComma"/>
    <w:basedOn w:val="Normal"/>
    <w:rsid w:val="00AA500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A500C"/>
    <w:rPr>
      <w:sz w:val="24"/>
      <w:lang w:val="pl-PL"/>
    </w:rPr>
  </w:style>
  <w:style w:type="character" w:styleId="Hyperlink">
    <w:name w:val="Hyperlink"/>
    <w:basedOn w:val="DefaultParagraphFont"/>
    <w:rsid w:val="00AA50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1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2DEEA-B2B2-416E-8ACA-7257A064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3536</Words>
  <Characters>22513</Characters>
  <Application>Microsoft Office Word</Application>
  <DocSecurity>4</DocSecurity>
  <Lines>187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SOLTYSOVA Zuzana</cp:lastModifiedBy>
  <cp:revision>2</cp:revision>
  <cp:lastPrinted>2004-11-19T15:42:00Z</cp:lastPrinted>
  <dcterms:created xsi:type="dcterms:W3CDTF">2024-12-17T10:19:00Z</dcterms:created>
  <dcterms:modified xsi:type="dcterms:W3CDTF">2024-12-17T10:19:00Z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B10-0134/2024</vt:lpwstr>
  </property>
  <property fmtid="{D5CDD505-2E9C-101B-9397-08002B2CF9AE}" pid="4" name="&lt;Type&gt;">
    <vt:lpwstr>RR</vt:lpwstr>
  </property>
</Properties>
</file>