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67F" w:rsidTr="0010095E">
        <w:trPr>
          <w:trHeight w:hRule="exact" w:val="1418"/>
        </w:trPr>
        <w:tc>
          <w:tcPr>
            <w:tcW w:w="6804" w:type="dxa"/>
            <w:shd w:val="clear" w:color="auto" w:fill="auto"/>
            <w:vAlign w:val="center"/>
          </w:tcPr>
          <w:p w:rsidR="00751A4A" w:rsidRPr="0077067F" w:rsidRDefault="00FF6A93" w:rsidP="0010095E">
            <w:pPr>
              <w:pStyle w:val="EPName"/>
            </w:pPr>
            <w:r w:rsidRPr="0077067F">
              <w:t>Parlamentul European</w:t>
            </w:r>
          </w:p>
          <w:p w:rsidR="00751A4A" w:rsidRPr="0077067F" w:rsidRDefault="005F1B17" w:rsidP="005F1B17">
            <w:pPr>
              <w:pStyle w:val="EPTerm"/>
              <w:rPr>
                <w:rStyle w:val="HideTWBExt"/>
                <w:noProof w:val="0"/>
                <w:vanish w:val="0"/>
                <w:color w:val="auto"/>
              </w:rPr>
            </w:pPr>
            <w:r w:rsidRPr="0077067F">
              <w:t>2024</w:t>
            </w:r>
            <w:r w:rsidR="00817416" w:rsidRPr="0077067F">
              <w:t>-202</w:t>
            </w:r>
            <w:r w:rsidRPr="0077067F">
              <w:t>9</w:t>
            </w:r>
          </w:p>
        </w:tc>
        <w:tc>
          <w:tcPr>
            <w:tcW w:w="2268" w:type="dxa"/>
            <w:shd w:val="clear" w:color="auto" w:fill="auto"/>
          </w:tcPr>
          <w:p w:rsidR="00751A4A" w:rsidRPr="0077067F" w:rsidRDefault="00187494" w:rsidP="0010095E">
            <w:pPr>
              <w:pStyle w:val="EPLogo"/>
            </w:pPr>
            <w:r w:rsidRPr="007706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067F" w:rsidRDefault="00D058B8" w:rsidP="004C5D52">
      <w:pPr>
        <w:pStyle w:val="LineTop"/>
      </w:pPr>
    </w:p>
    <w:p w:rsidR="00680577" w:rsidRPr="0077067F" w:rsidRDefault="00FF6A93" w:rsidP="00680577">
      <w:pPr>
        <w:pStyle w:val="EPBodyTA1"/>
      </w:pPr>
      <w:r w:rsidRPr="0077067F">
        <w:t>TEXTE ADOPTATE</w:t>
      </w:r>
    </w:p>
    <w:p w:rsidR="00D058B8" w:rsidRPr="0077067F" w:rsidRDefault="00D058B8" w:rsidP="00D058B8">
      <w:pPr>
        <w:pStyle w:val="LineBottom"/>
      </w:pPr>
    </w:p>
    <w:p w:rsidR="00FF6A93" w:rsidRPr="0077067F" w:rsidRDefault="00FF6A93" w:rsidP="00FF6A93">
      <w:pPr>
        <w:pStyle w:val="ATHeading1"/>
      </w:pPr>
      <w:bookmarkStart w:id="0" w:name="TANumber"/>
      <w:r w:rsidRPr="0077067F">
        <w:t>P10_TA(2024)00</w:t>
      </w:r>
      <w:r w:rsidR="0077067F" w:rsidRPr="0077067F">
        <w:t>3</w:t>
      </w:r>
      <w:r w:rsidRPr="0077067F">
        <w:t>0</w:t>
      </w:r>
      <w:bookmarkEnd w:id="0"/>
    </w:p>
    <w:p w:rsidR="00FF6A93" w:rsidRPr="0077067F" w:rsidRDefault="00FF6A93" w:rsidP="00FF6A93">
      <w:pPr>
        <w:pStyle w:val="ATHeading2"/>
      </w:pPr>
      <w:bookmarkStart w:id="1" w:name="title"/>
      <w:r w:rsidRPr="0077067F">
        <w:t>Interpretarea greșită de către Republica Populară Chineză a Rezoluției 2758 a ONU și provocările sale militare continue în jurul Taiwanului</w:t>
      </w:r>
      <w:bookmarkEnd w:id="1"/>
    </w:p>
    <w:p w:rsidR="00FF6A93" w:rsidRPr="0077067F" w:rsidRDefault="00FF6A93" w:rsidP="00FF6A93">
      <w:pPr>
        <w:rPr>
          <w:i/>
          <w:vanish/>
        </w:rPr>
      </w:pPr>
      <w:r w:rsidRPr="0077067F">
        <w:rPr>
          <w:i/>
        </w:rPr>
        <w:fldChar w:fldCharType="begin"/>
      </w:r>
      <w:r w:rsidRPr="0077067F">
        <w:rPr>
          <w:i/>
        </w:rPr>
        <w:instrText xml:space="preserve"> TC"(</w:instrText>
      </w:r>
      <w:bookmarkStart w:id="2" w:name="DocNumber"/>
      <w:r w:rsidRPr="0077067F">
        <w:rPr>
          <w:i/>
        </w:rPr>
        <w:instrText>B10-0134</w:instrText>
      </w:r>
      <w:r w:rsidR="002E5F81" w:rsidRPr="0077067F">
        <w:rPr>
          <w:i/>
        </w:rPr>
        <w:instrText>, 0135, 0137, 0138 și 0140</w:instrText>
      </w:r>
      <w:r w:rsidRPr="0077067F">
        <w:rPr>
          <w:i/>
        </w:rPr>
        <w:instrText>/2024</w:instrText>
      </w:r>
      <w:bookmarkEnd w:id="2"/>
      <w:r w:rsidRPr="0077067F">
        <w:rPr>
          <w:i/>
        </w:rPr>
        <w:instrText xml:space="preserve">)"\l3 \n&gt; \* MERGEFORMAT </w:instrText>
      </w:r>
      <w:r w:rsidRPr="0077067F">
        <w:rPr>
          <w:i/>
        </w:rPr>
        <w:fldChar w:fldCharType="end"/>
      </w:r>
    </w:p>
    <w:p w:rsidR="00FF6A93" w:rsidRPr="0077067F" w:rsidRDefault="00FF6A93" w:rsidP="00FF6A93">
      <w:pPr>
        <w:rPr>
          <w:vanish/>
        </w:rPr>
      </w:pPr>
      <w:bookmarkStart w:id="3" w:name="PE"/>
      <w:r w:rsidRPr="0077067F">
        <w:rPr>
          <w:vanish/>
        </w:rPr>
        <w:t>PE764.114</w:t>
      </w:r>
      <w:bookmarkEnd w:id="3"/>
    </w:p>
    <w:p w:rsidR="00FF6A93" w:rsidRPr="0077067F" w:rsidRDefault="00FF6A93" w:rsidP="00FF6A93">
      <w:pPr>
        <w:pStyle w:val="ATHeading3"/>
      </w:pPr>
      <w:bookmarkStart w:id="4" w:name="Sujet"/>
      <w:r w:rsidRPr="0077067F">
        <w:t>Rezoluția Parlamentului European din 24 octombrie 2024 referitoare la interpretarea greșită de către Republica Populară Chineză a Rezoluției 2758 a ONU și provocările sale militare continue în jurul Taiwanului</w:t>
      </w:r>
      <w:bookmarkEnd w:id="4"/>
      <w:r w:rsidRPr="0077067F">
        <w:t xml:space="preserve"> </w:t>
      </w:r>
      <w:bookmarkStart w:id="5" w:name="References"/>
      <w:r w:rsidRPr="0077067F">
        <w:t>(2024/2891(RSP))</w:t>
      </w:r>
      <w:bookmarkEnd w:id="5"/>
    </w:p>
    <w:p w:rsidR="00525B7C" w:rsidRPr="0077067F" w:rsidRDefault="00525B7C" w:rsidP="00525B7C">
      <w:pPr>
        <w:pStyle w:val="EPComma"/>
      </w:pPr>
      <w:bookmarkStart w:id="6" w:name="TextBodyBegin"/>
      <w:bookmarkEnd w:id="6"/>
      <w:r w:rsidRPr="0077067F">
        <w:rPr>
          <w:i/>
          <w:iCs/>
        </w:rPr>
        <w:t>Parlamentul European</w:t>
      </w:r>
      <w:r w:rsidRPr="0077067F">
        <w:t>,</w:t>
      </w:r>
    </w:p>
    <w:p w:rsidR="00525B7C" w:rsidRPr="0077067F" w:rsidRDefault="00525B7C" w:rsidP="00525B7C">
      <w:pPr>
        <w:pStyle w:val="NormalHanging12a"/>
      </w:pPr>
      <w:r w:rsidRPr="0077067F">
        <w:t>–</w:t>
      </w:r>
      <w:r w:rsidRPr="0077067F">
        <w:tab/>
        <w:t>având în vedere rezoluțiile sale anterioare privind Republica Populară Chineză (RPC) și Taiwan,</w:t>
      </w:r>
    </w:p>
    <w:p w:rsidR="00525B7C" w:rsidRPr="0077067F" w:rsidRDefault="00525B7C" w:rsidP="00525B7C">
      <w:pPr>
        <w:pStyle w:val="NormalHanging12a"/>
      </w:pPr>
      <w:r w:rsidRPr="0077067F">
        <w:t>–</w:t>
      </w:r>
      <w:r w:rsidRPr="0077067F">
        <w:tab/>
        <w:t>având în vedere rezoluția sa din 16 septembrie 2021 referitoare la o nouă strategie UE-China</w:t>
      </w:r>
      <w:r w:rsidRPr="0077067F">
        <w:rPr>
          <w:rStyle w:val="FootnoteReference"/>
        </w:rPr>
        <w:footnoteReference w:id="1"/>
      </w:r>
      <w:r w:rsidRPr="0077067F">
        <w:t>,</w:t>
      </w:r>
    </w:p>
    <w:p w:rsidR="00525B7C" w:rsidRPr="0077067F" w:rsidRDefault="00525B7C" w:rsidP="00525B7C">
      <w:pPr>
        <w:pStyle w:val="NormalHanging12a"/>
      </w:pPr>
      <w:r w:rsidRPr="0077067F">
        <w:t>–</w:t>
      </w:r>
      <w:r w:rsidRPr="0077067F">
        <w:tab/>
        <w:t>având în vedere recomandarea sa din 21 octombrie 2021 adresată Vicepreședintelui Comisiei/Înaltului Reprezentant al Uniunii pentru afaceri externe și politica de securitate privind relațiile politice și cooperarea dintre UE și Taiwan</w:t>
      </w:r>
      <w:r w:rsidRPr="0077067F">
        <w:rPr>
          <w:rStyle w:val="FootnoteReference"/>
        </w:rPr>
        <w:footnoteReference w:id="2"/>
      </w:r>
      <w:r w:rsidRPr="0077067F">
        <w:t>,</w:t>
      </w:r>
    </w:p>
    <w:p w:rsidR="00525B7C" w:rsidRPr="0077067F" w:rsidRDefault="00525B7C" w:rsidP="00525B7C">
      <w:pPr>
        <w:pStyle w:val="NormalHanging12a"/>
      </w:pPr>
      <w:r w:rsidRPr="0077067F">
        <w:t>–</w:t>
      </w:r>
      <w:r w:rsidRPr="0077067F">
        <w:tab/>
        <w:t>având în vedere rezoluția sa din 7 iunie 2022 referitoare la UE și provocările la adresa securității din regiunea indo-pacifică</w:t>
      </w:r>
      <w:r w:rsidRPr="0077067F">
        <w:rPr>
          <w:rStyle w:val="FootnoteReference"/>
        </w:rPr>
        <w:footnoteReference w:id="3"/>
      </w:r>
      <w:r w:rsidRPr="0077067F">
        <w:t>,</w:t>
      </w:r>
    </w:p>
    <w:p w:rsidR="00525B7C" w:rsidRPr="0077067F" w:rsidRDefault="00525B7C" w:rsidP="00525B7C">
      <w:pPr>
        <w:pStyle w:val="NormalHanging12a"/>
      </w:pPr>
      <w:r w:rsidRPr="0077067F">
        <w:t>–</w:t>
      </w:r>
      <w:r w:rsidRPr="0077067F">
        <w:tab/>
        <w:t>având în vedere rezoluția sa din 15 septembrie 2022 referitoare la situația din strâmtoarea Taiwan</w:t>
      </w:r>
      <w:r w:rsidRPr="0077067F">
        <w:rPr>
          <w:rStyle w:val="FootnoteReference"/>
        </w:rPr>
        <w:footnoteReference w:id="4"/>
      </w:r>
      <w:r w:rsidRPr="0077067F">
        <w:t>,</w:t>
      </w:r>
    </w:p>
    <w:p w:rsidR="00525B7C" w:rsidRPr="0077067F" w:rsidRDefault="00525B7C" w:rsidP="00525B7C">
      <w:pPr>
        <w:pStyle w:val="NormalHanging12a"/>
      </w:pPr>
      <w:r w:rsidRPr="0077067F">
        <w:t>–</w:t>
      </w:r>
      <w:r w:rsidRPr="0077067F">
        <w:tab/>
        <w:t>având în vedere rezoluția sa din 13 decembrie 2023 referitoare la relațiile comerciale și de investiții dintre UE și Taiwan</w:t>
      </w:r>
      <w:r w:rsidRPr="0077067F">
        <w:rPr>
          <w:rStyle w:val="FootnoteReference"/>
        </w:rPr>
        <w:footnoteReference w:id="5"/>
      </w:r>
      <w:r w:rsidRPr="0077067F">
        <w:t>,</w:t>
      </w:r>
    </w:p>
    <w:p w:rsidR="00525B7C" w:rsidRPr="0077067F" w:rsidRDefault="00525B7C" w:rsidP="00525B7C">
      <w:pPr>
        <w:pStyle w:val="NormalHanging12a"/>
      </w:pPr>
      <w:r w:rsidRPr="0077067F">
        <w:t>–</w:t>
      </w:r>
      <w:r w:rsidRPr="0077067F">
        <w:tab/>
        <w:t>având în vedere Busola strategică pentru securitate și apărare, aprobată de Consiliu la 21 martie 2022,</w:t>
      </w:r>
    </w:p>
    <w:p w:rsidR="00525B7C" w:rsidRPr="0077067F" w:rsidRDefault="00525B7C" w:rsidP="00525B7C">
      <w:pPr>
        <w:pStyle w:val="NormalHanging12a"/>
      </w:pPr>
      <w:r w:rsidRPr="0077067F">
        <w:t>–</w:t>
      </w:r>
      <w:r w:rsidRPr="0077067F">
        <w:tab/>
        <w:t xml:space="preserve">având în vedere comunicarea comună a Comisiei și a Înaltului Reprezentant al Uniunii pentru afaceri externe și politica de securitate din 16 septembrie 2021 intitulată </w:t>
      </w:r>
      <w:r w:rsidRPr="0077067F">
        <w:lastRenderedPageBreak/>
        <w:t>„Strategia UE pentru cooperare în regiunea indo-pacifică” (JOIN(2021)0024),</w:t>
      </w:r>
    </w:p>
    <w:p w:rsidR="00525B7C" w:rsidRPr="0077067F" w:rsidRDefault="00525B7C" w:rsidP="00525B7C">
      <w:pPr>
        <w:pStyle w:val="NormalHanging12a"/>
      </w:pPr>
      <w:r w:rsidRPr="0077067F">
        <w:t>–</w:t>
      </w:r>
      <w:r w:rsidRPr="0077067F">
        <w:tab/>
        <w:t xml:space="preserve">având în vedere politica „O singură </w:t>
      </w:r>
      <w:proofErr w:type="spellStart"/>
      <w:r w:rsidRPr="0077067F">
        <w:t>Chină</w:t>
      </w:r>
      <w:proofErr w:type="spellEnd"/>
      <w:r w:rsidRPr="0077067F">
        <w:t>” a UE,</w:t>
      </w:r>
    </w:p>
    <w:p w:rsidR="00525B7C" w:rsidRPr="0077067F" w:rsidRDefault="00525B7C" w:rsidP="00525B7C">
      <w:pPr>
        <w:pStyle w:val="NormalHanging12a"/>
      </w:pPr>
      <w:r w:rsidRPr="0077067F">
        <w:t>–</w:t>
      </w:r>
      <w:r w:rsidRPr="0077067F">
        <w:tab/>
        <w:t xml:space="preserve">având în vedere </w:t>
      </w:r>
      <w:proofErr w:type="spellStart"/>
      <w:r w:rsidRPr="0077067F">
        <w:t>summitul</w:t>
      </w:r>
      <w:proofErr w:type="spellEnd"/>
      <w:r w:rsidRPr="0077067F">
        <w:t xml:space="preserve"> UE-China din 7 decembrie 2023,</w:t>
      </w:r>
    </w:p>
    <w:p w:rsidR="00525B7C" w:rsidRPr="0077067F" w:rsidRDefault="00525B7C" w:rsidP="00525B7C">
      <w:pPr>
        <w:pStyle w:val="NormalHanging12a"/>
      </w:pPr>
      <w:r w:rsidRPr="0077067F">
        <w:t>–</w:t>
      </w:r>
      <w:r w:rsidRPr="0077067F">
        <w:tab/>
        <w:t>având în vedere concluziile Consiliului European din 30 iunie 2023 privind China,</w:t>
      </w:r>
    </w:p>
    <w:p w:rsidR="00525B7C" w:rsidRPr="0077067F" w:rsidRDefault="00525B7C" w:rsidP="00525B7C">
      <w:pPr>
        <w:pStyle w:val="NormalHanging12a"/>
      </w:pPr>
      <w:r w:rsidRPr="0077067F">
        <w:t>–</w:t>
      </w:r>
      <w:r w:rsidRPr="0077067F">
        <w:tab/>
        <w:t>având în vedere vizitele în Taiwan efectuate de Comisia pentru afaceri externe în perioada 25-27 iulie 2023 și de Comisia pentru comerț internațional în perioada 19-21 decembrie 2022,</w:t>
      </w:r>
    </w:p>
    <w:p w:rsidR="00525B7C" w:rsidRPr="0077067F" w:rsidRDefault="00525B7C" w:rsidP="00525B7C">
      <w:pPr>
        <w:pStyle w:val="NormalHanging12a"/>
      </w:pPr>
      <w:r w:rsidRPr="0077067F">
        <w:t>–</w:t>
      </w:r>
      <w:r w:rsidRPr="0077067F">
        <w:tab/>
        <w:t>având în vedere declarația din 1 septembrie 2024 a purtătorului de cuvânt al Înaltului Reprezentant al Uniunii pentru afaceri externe și politica de securitate referitoare la cele mai recente acțiuni periculoase din Marea Chinei de Sud,</w:t>
      </w:r>
    </w:p>
    <w:p w:rsidR="00525B7C" w:rsidRPr="0077067F" w:rsidRDefault="00525B7C" w:rsidP="00525B7C">
      <w:pPr>
        <w:pStyle w:val="NormalHanging12a"/>
      </w:pPr>
      <w:r w:rsidRPr="0077067F">
        <w:t>–</w:t>
      </w:r>
      <w:r w:rsidRPr="0077067F">
        <w:tab/>
        <w:t>având în vedere declarațiile, inclusiv cea mai recentă declarație, din 14 octombrie 2024, ale purtătorului de cuvânt al Înaltului Reprezentant al Uniunii pentru afaceri externe și politica de securitate referitoare la exercițiile militare efectuate de China în jurul Taiwanului,</w:t>
      </w:r>
    </w:p>
    <w:p w:rsidR="00525B7C" w:rsidRPr="0077067F" w:rsidRDefault="00525B7C" w:rsidP="00525B7C">
      <w:pPr>
        <w:pStyle w:val="NormalHanging12a"/>
      </w:pPr>
      <w:r w:rsidRPr="0077067F">
        <w:t>–</w:t>
      </w:r>
      <w:r w:rsidRPr="0077067F">
        <w:tab/>
        <w:t>având în vedere declarațiile din 18 aprilie 2023 și din 3 august 2022 ale miniștrilor de externe ai statelor Grupului G7 privind menținerea păcii și stabilității în Strâmtoarea Taiwan,</w:t>
      </w:r>
    </w:p>
    <w:p w:rsidR="00525B7C" w:rsidRPr="0077067F" w:rsidRDefault="00525B7C" w:rsidP="00525B7C">
      <w:pPr>
        <w:pStyle w:val="NormalHanging12a"/>
      </w:pPr>
      <w:r w:rsidRPr="0077067F">
        <w:t>–</w:t>
      </w:r>
      <w:r w:rsidRPr="0077067F">
        <w:tab/>
        <w:t>având în vedere declarația din 23 septembrie 2024 a președintelui Reuniunii miniștrilor de externe ai statelor Grupului G7,</w:t>
      </w:r>
    </w:p>
    <w:p w:rsidR="00525B7C" w:rsidRPr="0077067F" w:rsidRDefault="00525B7C" w:rsidP="00525B7C">
      <w:pPr>
        <w:pStyle w:val="NormalHanging12a"/>
      </w:pPr>
      <w:r w:rsidRPr="0077067F">
        <w:t>–</w:t>
      </w:r>
      <w:r w:rsidRPr="0077067F">
        <w:tab/>
        <w:t>având în vedere declarația comună din 19 octombrie 2024 a miniștrilor apărării ai statelor grupului G7,</w:t>
      </w:r>
    </w:p>
    <w:p w:rsidR="00525B7C" w:rsidRPr="0077067F" w:rsidRDefault="00525B7C" w:rsidP="00525B7C">
      <w:pPr>
        <w:pStyle w:val="NormalHanging12a"/>
      </w:pPr>
      <w:r w:rsidRPr="0077067F">
        <w:t>–</w:t>
      </w:r>
      <w:r w:rsidRPr="0077067F">
        <w:tab/>
        <w:t>având în vedere moțiunea de urgență privind Taiwanul, adoptată la 21 august 2024 de Senatul Australiei,</w:t>
      </w:r>
    </w:p>
    <w:p w:rsidR="00525B7C" w:rsidRPr="0077067F" w:rsidRDefault="00525B7C" w:rsidP="00525B7C">
      <w:pPr>
        <w:pStyle w:val="NormalHanging12a"/>
      </w:pPr>
      <w:r w:rsidRPr="0077067F">
        <w:t>–</w:t>
      </w:r>
      <w:r w:rsidRPr="0077067F">
        <w:tab/>
        <w:t>având în vedere Rezoluția 2758</w:t>
      </w:r>
      <w:r w:rsidR="003F2860">
        <w:t> </w:t>
      </w:r>
      <w:r w:rsidRPr="0077067F">
        <w:t>(XXVI) din 25 octombrie 1971 a Adunării Generale a ONU,</w:t>
      </w:r>
    </w:p>
    <w:p w:rsidR="00525B7C" w:rsidRPr="0077067F" w:rsidRDefault="00525B7C" w:rsidP="00525B7C">
      <w:pPr>
        <w:pStyle w:val="NormalHanging12a"/>
      </w:pPr>
      <w:r w:rsidRPr="0077067F">
        <w:t>–</w:t>
      </w:r>
      <w:r w:rsidRPr="0077067F">
        <w:tab/>
        <w:t>având în vedere mo</w:t>
      </w:r>
      <w:r w:rsidR="003F2860">
        <w:t>țiunea referitoare la Rezoluția </w:t>
      </w:r>
      <w:bookmarkStart w:id="7" w:name="_GoBack"/>
      <w:bookmarkEnd w:id="7"/>
      <w:r w:rsidRPr="0077067F">
        <w:t>2758 a ONU adoptată la 12 septembrie 2024 de Camera Inferioară a Parlamentului Țărilor de Jos,</w:t>
      </w:r>
    </w:p>
    <w:p w:rsidR="00525B7C" w:rsidRPr="0077067F" w:rsidRDefault="00525B7C" w:rsidP="00525B7C">
      <w:pPr>
        <w:pStyle w:val="NormalHanging12a"/>
      </w:pPr>
      <w:r w:rsidRPr="0077067F">
        <w:t>–</w:t>
      </w:r>
      <w:r w:rsidRPr="0077067F">
        <w:tab/>
        <w:t>având în vedere declarația de presă din 13 octombrie 2024 a Departamentului de Stat al SUA,</w:t>
      </w:r>
    </w:p>
    <w:p w:rsidR="00525B7C" w:rsidRPr="0077067F" w:rsidRDefault="00525B7C" w:rsidP="00525B7C">
      <w:pPr>
        <w:pStyle w:val="NormalHanging12a"/>
      </w:pPr>
      <w:r w:rsidRPr="0077067F">
        <w:t>–</w:t>
      </w:r>
      <w:r w:rsidRPr="0077067F">
        <w:tab/>
        <w:t>având în vedere Convenția ONU asupra Dreptului Mării (UNCLOS),</w:t>
      </w:r>
    </w:p>
    <w:p w:rsidR="00525B7C" w:rsidRPr="0077067F" w:rsidRDefault="00525B7C" w:rsidP="00525B7C">
      <w:pPr>
        <w:pStyle w:val="NormalHanging12a"/>
      </w:pPr>
      <w:r w:rsidRPr="0077067F">
        <w:t>–</w:t>
      </w:r>
      <w:r w:rsidRPr="0077067F">
        <w:tab/>
        <w:t>având în vedere articolul 7 din Convenția-cadru a ONU asupra schimbărilor climatice (CCONUSC), încheiată la 9 mai 1992,</w:t>
      </w:r>
    </w:p>
    <w:p w:rsidR="00525B7C" w:rsidRPr="0077067F" w:rsidRDefault="00525B7C" w:rsidP="00525B7C">
      <w:pPr>
        <w:pStyle w:val="NormalHanging12a"/>
      </w:pPr>
      <w:r w:rsidRPr="0077067F">
        <w:t>–</w:t>
      </w:r>
      <w:r w:rsidRPr="0077067F">
        <w:tab/>
        <w:t>având în vedere articolul 5 din Regulamentul de procedură permanent al Adunării Organizației Aviației Civile Internaționale (OACI),</w:t>
      </w:r>
    </w:p>
    <w:p w:rsidR="00525B7C" w:rsidRPr="0077067F" w:rsidRDefault="00525B7C" w:rsidP="00525B7C">
      <w:pPr>
        <w:pStyle w:val="NormalHanging12a"/>
      </w:pPr>
      <w:r w:rsidRPr="0077067F">
        <w:t>–</w:t>
      </w:r>
      <w:r w:rsidRPr="0077067F">
        <w:tab/>
        <w:t xml:space="preserve">având în vedere articolul 4 din Constituția Organizației Internaționale de Poliție </w:t>
      </w:r>
      <w:r w:rsidRPr="0077067F">
        <w:lastRenderedPageBreak/>
        <w:t>Criminală (Interpol),</w:t>
      </w:r>
    </w:p>
    <w:p w:rsidR="00525B7C" w:rsidRPr="0077067F" w:rsidRDefault="00525B7C" w:rsidP="00525B7C">
      <w:pPr>
        <w:pStyle w:val="NormalHanging12a"/>
      </w:pPr>
      <w:r w:rsidRPr="0077067F">
        <w:t>–</w:t>
      </w:r>
      <w:r w:rsidRPr="0077067F">
        <w:tab/>
        <w:t>având în vedere articolul 8 și articolul 18 litera (h) din Constituția Organizației Mondiale a Sănătății (OMS),</w:t>
      </w:r>
    </w:p>
    <w:p w:rsidR="00525B7C" w:rsidRPr="0077067F" w:rsidRDefault="00525B7C" w:rsidP="00525B7C">
      <w:pPr>
        <w:pStyle w:val="NormalHanging12a"/>
      </w:pPr>
      <w:r w:rsidRPr="0077067F">
        <w:t>–</w:t>
      </w:r>
      <w:r w:rsidRPr="0077067F">
        <w:tab/>
        <w:t>având în vedere articolul 136 alineatele (2) și (4) din Regulamentul său de procedură,</w:t>
      </w:r>
    </w:p>
    <w:p w:rsidR="00525B7C" w:rsidRPr="0077067F" w:rsidRDefault="00525B7C" w:rsidP="00525B7C">
      <w:pPr>
        <w:pStyle w:val="NormalHanging12a"/>
      </w:pPr>
      <w:r w:rsidRPr="0077067F">
        <w:t>A.</w:t>
      </w:r>
      <w:r w:rsidRPr="0077067F">
        <w:tab/>
        <w:t>întrucât Rezoluția 2758 a ONU a fost adoptată de Adunarea Generală a ONU la 25 octombrie 1971 și a transferat recunoașterea oficială a Republicii Chineze (Taiwan) către Republica Populară Chineză (RPC); întrucât, în prezent, Taiwanul, deși nu este membru al Organizației Națiunilor Unite, are relații diplomatice cu 11 dintre cele 193 de state membre ale Organizației Națiunilor Unite și cu Sfântul Scaun;</w:t>
      </w:r>
    </w:p>
    <w:p w:rsidR="00525B7C" w:rsidRPr="0077067F" w:rsidRDefault="00525B7C" w:rsidP="00525B7C">
      <w:pPr>
        <w:pStyle w:val="NormalHanging12a"/>
      </w:pPr>
      <w:r w:rsidRPr="0077067F">
        <w:t>B.</w:t>
      </w:r>
      <w:r w:rsidRPr="0077067F">
        <w:tab/>
        <w:t>întrucât UE și Taiwanul sunt parteneri care împărtășesc aceeași viziune și au valori comune precum libertatea, democrația, drepturile omului și statul de drept; întrucât Taiwanul are o democrație dinamică, cu o societate civilă înfloritoare; întrucât în Taiwan s-au desfășurat alegeri pașnice și bine organizate la 13 ianuarie 2024;</w:t>
      </w:r>
    </w:p>
    <w:p w:rsidR="00525B7C" w:rsidRPr="0077067F" w:rsidRDefault="00525B7C" w:rsidP="00525B7C">
      <w:pPr>
        <w:pStyle w:val="NormalHanging12a"/>
      </w:pPr>
      <w:r w:rsidRPr="0077067F">
        <w:t>C.</w:t>
      </w:r>
      <w:r w:rsidRPr="0077067F">
        <w:tab/>
        <w:t>întrucât, în urma adoptării Rezoluției 2758 a ONU, Taiwanul și-a pierdut accesul pentru a participa la forumurile multilaterale, cum ar fi Organizația Mondială a Sănătății (OMS);</w:t>
      </w:r>
    </w:p>
    <w:p w:rsidR="00525B7C" w:rsidRPr="0077067F" w:rsidRDefault="00525B7C" w:rsidP="00525B7C">
      <w:pPr>
        <w:pStyle w:val="NormalHanging12a"/>
      </w:pPr>
      <w:r w:rsidRPr="0077067F">
        <w:t>D.</w:t>
      </w:r>
      <w:r w:rsidRPr="0077067F">
        <w:tab/>
        <w:t>întrucât Taiwanul nu a făcut niciodată parte din RPC; întrucât Republica Chineză a fost înființată în 1912, iar RPC a fost înființată în 1949;</w:t>
      </w:r>
    </w:p>
    <w:p w:rsidR="00525B7C" w:rsidRPr="0077067F" w:rsidRDefault="00525B7C" w:rsidP="00525B7C">
      <w:pPr>
        <w:pStyle w:val="NormalHanging12a"/>
      </w:pPr>
      <w:r w:rsidRPr="0077067F">
        <w:t>E.</w:t>
      </w:r>
      <w:r w:rsidRPr="0077067F">
        <w:tab/>
        <w:t>întrucât Rezoluția 2758 a ONU se referă la statutul RPC, dar nu stabilește că RPC beneficiază de suveranitate asupra Taiwanului și nici nu se pronunță cu privire la viitoarea includere a Taiwanului în ONU sau în orice altă organizație internațională; întrucât, cu toate acestea, RPC continuă să interpreteze greșit Rezoluția 2758 a ONU pentru a bloca participarea semnificativă a Taiwanului în cadrul organizațiilor internaționale și a schimba în mod unilateral statu-quoul; întrucât aceste acțiuni evidențiază ambiția RPC de a modifica ordinea internațională multilaterală existentă și de a submina dreptul internațional și pot fi considerate o expresie a rivalității sistemice;</w:t>
      </w:r>
    </w:p>
    <w:p w:rsidR="00525B7C" w:rsidRPr="0077067F" w:rsidRDefault="00525B7C" w:rsidP="00525B7C">
      <w:pPr>
        <w:pStyle w:val="NormalHanging12a"/>
      </w:pPr>
      <w:r w:rsidRPr="0077067F">
        <w:t>F.</w:t>
      </w:r>
      <w:r w:rsidRPr="0077067F">
        <w:tab/>
        <w:t xml:space="preserve">întrucât UE continuă să își mențină propria politică „O singură </w:t>
      </w:r>
      <w:proofErr w:type="spellStart"/>
      <w:r w:rsidRPr="0077067F">
        <w:t>Chină</w:t>
      </w:r>
      <w:proofErr w:type="spellEnd"/>
      <w:r w:rsidRPr="0077067F">
        <w:t xml:space="preserve">”, care este diferită de principiul „o singură </w:t>
      </w:r>
      <w:proofErr w:type="spellStart"/>
      <w:r w:rsidRPr="0077067F">
        <w:t>Chină</w:t>
      </w:r>
      <w:proofErr w:type="spellEnd"/>
      <w:r w:rsidRPr="0077067F">
        <w:t>” susținut de RPC; întrucât poziția de lungă durată a UE a fost de a sprijini statu-quoul și o soluționare pașnică a litigiilor din Strâmtoarea Taiwan, încurajând totodată dialogul și angajamentul constructiv;</w:t>
      </w:r>
    </w:p>
    <w:p w:rsidR="00525B7C" w:rsidRPr="0077067F" w:rsidRDefault="00525B7C" w:rsidP="00525B7C">
      <w:pPr>
        <w:pStyle w:val="NormalHanging12a"/>
      </w:pPr>
      <w:r w:rsidRPr="0077067F">
        <w:t>G.</w:t>
      </w:r>
      <w:r w:rsidRPr="0077067F">
        <w:tab/>
        <w:t>întrucât, prin declarația lor din 23 septembrie 2024, țările membre ale G7 și-au subliniat, printre altele, sprijinul pentru „participarea semnificativă a Taiwanului ca membru în organizațiile internaționale în care statalitatea nu este o condiție prealabilă și ca observator sau invitat în organizațiile în care statalitatea este o condiție prealabilă”;</w:t>
      </w:r>
    </w:p>
    <w:p w:rsidR="00525B7C" w:rsidRPr="0077067F" w:rsidRDefault="00525B7C" w:rsidP="00525B7C">
      <w:pPr>
        <w:pStyle w:val="NormalHanging12a"/>
      </w:pPr>
      <w:r w:rsidRPr="0077067F">
        <w:t>H.</w:t>
      </w:r>
      <w:r w:rsidRPr="0077067F">
        <w:tab/>
        <w:t xml:space="preserve">întrucât sprijinirea participării Taiwanului la organizațiile internaționale nu subminează angajamentul UE față de politica ei „O singură </w:t>
      </w:r>
      <w:proofErr w:type="spellStart"/>
      <w:r w:rsidRPr="0077067F">
        <w:t>Chină</w:t>
      </w:r>
      <w:proofErr w:type="spellEnd"/>
      <w:r w:rsidRPr="0077067F">
        <w:t>”, care rămâne fundamentul politic al relațiilor UE-China;</w:t>
      </w:r>
    </w:p>
    <w:p w:rsidR="00525B7C" w:rsidRPr="0077067F" w:rsidRDefault="00525B7C" w:rsidP="00525B7C">
      <w:pPr>
        <w:pStyle w:val="NormalHanging12a"/>
      </w:pPr>
      <w:r w:rsidRPr="0077067F">
        <w:t>I.</w:t>
      </w:r>
      <w:r w:rsidRPr="0077067F">
        <w:tab/>
        <w:t xml:space="preserve">întrucât, în ultimul deceniu, RPC a încercat în mod constant să își sporească influența asupra instituțiilor internaționale, utilizând acest lucru pentru a marginaliza Taiwanul și a împiedica deținătorii de pașapoarte taiwaneze, inclusiv jurnaliștii, lucrătorii organizațiilor neguvernamentale și activiștii politici, să aibă acces la instituțiile </w:t>
      </w:r>
      <w:r w:rsidRPr="0077067F">
        <w:lastRenderedPageBreak/>
        <w:t>internaționale; întrucât RPC practică represiunea transnațională prin utilizarea abuzivă a tratatelor de extrădare pentru a viza cetățenii taiwanezi în străinătate și, prin urmare, pentru a-i expune riscului de persecuție arbitrară și de încălcare a drepturilor omului;</w:t>
      </w:r>
    </w:p>
    <w:p w:rsidR="00525B7C" w:rsidRPr="0077067F" w:rsidRDefault="00525B7C" w:rsidP="00525B7C">
      <w:pPr>
        <w:pStyle w:val="NormalHanging12a"/>
      </w:pPr>
      <w:r w:rsidRPr="0077067F">
        <w:t>J.</w:t>
      </w:r>
      <w:r w:rsidRPr="0077067F">
        <w:tab/>
        <w:t>întrucât statutele majorității organizațiilor internaționale însărcinate cu soluționarea chestiunilor globale, inclusiv OMS, CCONUSC, Interpol și OACI, oferă entităților precum Taiwan posibilitatea de a participa la lucrările lor fără a încălca drepturile statelor membre;</w:t>
      </w:r>
    </w:p>
    <w:p w:rsidR="00525B7C" w:rsidRPr="0077067F" w:rsidRDefault="00525B7C" w:rsidP="00525B7C">
      <w:pPr>
        <w:pStyle w:val="NormalHanging12a"/>
      </w:pPr>
      <w:r w:rsidRPr="0077067F">
        <w:t>K.</w:t>
      </w:r>
      <w:r w:rsidRPr="0077067F">
        <w:tab/>
        <w:t>întrucât Taiwanul a demonstrat în mod consecvent o atitudine pașnică și cooperantă la nivel mondial, a îmbunătățit în mod semnificativ evoluțiile globale și, prin urmare, ar putea contribui în mare măsură la activitatea diferitelor organizații internaționale;</w:t>
      </w:r>
    </w:p>
    <w:p w:rsidR="00525B7C" w:rsidRPr="0077067F" w:rsidRDefault="00525B7C" w:rsidP="00525B7C">
      <w:pPr>
        <w:pStyle w:val="NormalHanging12a"/>
      </w:pPr>
      <w:r w:rsidRPr="0077067F">
        <w:t>L.</w:t>
      </w:r>
      <w:r w:rsidRPr="0077067F">
        <w:tab/>
        <w:t>întrucât RPC este o țară cu un partid unic, care este controlată și condusă în întregime de Partidul Comunist Chinez;</w:t>
      </w:r>
    </w:p>
    <w:p w:rsidR="00525B7C" w:rsidRPr="0077067F" w:rsidRDefault="00525B7C" w:rsidP="00525B7C">
      <w:pPr>
        <w:pStyle w:val="NormalHanging12a"/>
      </w:pPr>
      <w:r w:rsidRPr="0077067F">
        <w:t>M.</w:t>
      </w:r>
      <w:r w:rsidRPr="0077067F">
        <w:tab/>
        <w:t xml:space="preserve">întrucât, într-un discurs cu ocazia Zilei naționale a Taiwanului din 10 octombrie 2024, președintele Taiwanului, Lai </w:t>
      </w:r>
      <w:proofErr w:type="spellStart"/>
      <w:r w:rsidRPr="0077067F">
        <w:t>Ching</w:t>
      </w:r>
      <w:proofErr w:type="spellEnd"/>
      <w:r w:rsidRPr="0077067F">
        <w:t xml:space="preserve">-te, a declarat că RPC „nu are dreptul de a reprezenta Taiwanul” și a reiterat faptul că cele două părți „nu sunt subordonate” una celeilalte; întrucât RPC și-a justificat recentul exercițiu militar, susținând că președintele Lai </w:t>
      </w:r>
      <w:proofErr w:type="spellStart"/>
      <w:r w:rsidRPr="0077067F">
        <w:t>Ching</w:t>
      </w:r>
      <w:proofErr w:type="spellEnd"/>
      <w:r w:rsidRPr="0077067F">
        <w:t>-te urmărește o strategie separatistă;</w:t>
      </w:r>
    </w:p>
    <w:p w:rsidR="00525B7C" w:rsidRPr="0077067F" w:rsidRDefault="00525B7C" w:rsidP="00525B7C">
      <w:pPr>
        <w:pStyle w:val="NormalHanging12a"/>
      </w:pPr>
      <w:r w:rsidRPr="0077067F">
        <w:t>N.</w:t>
      </w:r>
      <w:r w:rsidRPr="0077067F">
        <w:tab/>
        <w:t>întrucât, la 14 octombrie 2024, RPC a lansat un exercițiu militar de mari dimensiuni, denumit „</w:t>
      </w:r>
      <w:proofErr w:type="spellStart"/>
      <w:r w:rsidRPr="0077067F">
        <w:t>Joint</w:t>
      </w:r>
      <w:proofErr w:type="spellEnd"/>
      <w:r w:rsidRPr="0077067F">
        <w:t xml:space="preserve"> Sword-2024B”, care a simulat o blocadă asupra Taiwanului; întrucât, în cursul acestui exercițiu, în jurul Taiwanului a fost detectat un număr record de 153 de aeronave, 18 nave de război și 17 nave de pază de coastă ale RPC;</w:t>
      </w:r>
    </w:p>
    <w:p w:rsidR="00525B7C" w:rsidRPr="0077067F" w:rsidRDefault="00525B7C" w:rsidP="00525B7C">
      <w:pPr>
        <w:pStyle w:val="NormalHanging12a"/>
      </w:pPr>
      <w:r w:rsidRPr="0077067F">
        <w:t>O.</w:t>
      </w:r>
      <w:r w:rsidRPr="0077067F">
        <w:tab/>
        <w:t>întrucât, în timpul exercițiilor, patru formațiuni ale gărzii de coastă a RPC au patrulat în apropierea insulei și au pătruns pentru scurt timp în apele taiwaneze; întrucât desfășurarea foarte frecventă a gărzii de coastă de către RPC în strâmtoare, în ceea ce RPC consideră misiuni de „asigurare a respectării legii”, exercită o presiune constantă asupra autorităților taiwaneze și provoacă o creștere periculoasă a riscului de coliziuni, acesta fiind unul dintre cele mai concrete indicii ale intenției RPC de a eroda statu-quoul; întrucât manevrele lansate la 14 octombrie 2024 au fost a patra rundă de exerciții de război de mari dimensiuni organizate de RPC în puțin peste doi ani;</w:t>
      </w:r>
    </w:p>
    <w:p w:rsidR="00525B7C" w:rsidRPr="0077067F" w:rsidRDefault="00525B7C" w:rsidP="00525B7C">
      <w:pPr>
        <w:pStyle w:val="NormalHanging12a"/>
      </w:pPr>
      <w:r w:rsidRPr="0077067F">
        <w:t>P.</w:t>
      </w:r>
      <w:r w:rsidRPr="0077067F">
        <w:tab/>
        <w:t xml:space="preserve">întrucât aceste activități au fost condamnate de Taiwan ca fiind o „provocare nerezonabilă” și sunt cele mai recente dintr-o serie de exerciții de război desfășurate de RPC împotriva Taiwanului; întrucât aceste exerciții militare au venit la câteva zile după ce Lai </w:t>
      </w:r>
      <w:proofErr w:type="spellStart"/>
      <w:r w:rsidRPr="0077067F">
        <w:t>Ching</w:t>
      </w:r>
      <w:proofErr w:type="spellEnd"/>
      <w:r w:rsidRPr="0077067F">
        <w:t>-te, noul președinte al Taiwanului, a ținut un discurs în care a promis că va proteja suveranitatea Taiwanului în fața provocărilor din RPC;</w:t>
      </w:r>
    </w:p>
    <w:p w:rsidR="00525B7C" w:rsidRPr="0077067F" w:rsidRDefault="00525B7C" w:rsidP="00525B7C">
      <w:pPr>
        <w:pStyle w:val="NormalHanging12a"/>
      </w:pPr>
      <w:r w:rsidRPr="0077067F">
        <w:t>Q.</w:t>
      </w:r>
      <w:r w:rsidRPr="0077067F">
        <w:tab/>
        <w:t>întrucât linia mediană, care a fost stabilită printr-un acord tacit vechi de decenii între cele două părți ale Strâmtorii Taiwan, a fost concepută pentru a reduce riscul de conflicte prin menținerea aeronavelor militare ale ambelor părți ale strâmtorii la o distanță sigură și pentru a preveni astfel erorile de calcul fatale; întrucât Armata de eliberare a poporului din RPC a încălcat linia mediană doar de patru ori între 1954 și 2020, dar, în prezent, incursiunile de rutină reflectă intenția Beijingului de a redefini în mod ireversibil criteriile de referință care există de mult timp;</w:t>
      </w:r>
    </w:p>
    <w:p w:rsidR="00525B7C" w:rsidRPr="0077067F" w:rsidRDefault="00525B7C" w:rsidP="00525B7C">
      <w:pPr>
        <w:pStyle w:val="NormalHanging12a"/>
      </w:pPr>
      <w:r w:rsidRPr="0077067F">
        <w:t>R.</w:t>
      </w:r>
      <w:r w:rsidRPr="0077067F">
        <w:tab/>
        <w:t xml:space="preserve">întrucât în declarațiile de presă ale Înaltului Reprezentant al Uniunii pentru afaceri </w:t>
      </w:r>
      <w:r w:rsidRPr="0077067F">
        <w:lastRenderedPageBreak/>
        <w:t>externe și politica de securitate și ale Departamentului de Stat al SUA se reafirmă că pacea și stabilitatea în Strâmtoarea Taiwan au o importanță strategică pentru securitatea și prosperitatea regională și mondială; întrucât, în declarația sa, Înaltul Reprezentant reamintește necesitatea de a menține statu-quoul în Strâmtoarea Taiwan, se opune oricăror acțiuni unilaterale care schimbă statu-quoul prin forță sau constrângere și solicită tuturor părților să dea dovadă de reținere și să evite orice acțiune care ar putea escalada și mai mult tensiunile dintre China și Taiwan;</w:t>
      </w:r>
    </w:p>
    <w:p w:rsidR="00525B7C" w:rsidRPr="0077067F" w:rsidRDefault="00525B7C" w:rsidP="00525B7C">
      <w:pPr>
        <w:pStyle w:val="NormalHanging12a"/>
      </w:pPr>
      <w:r w:rsidRPr="0077067F">
        <w:t>S.</w:t>
      </w:r>
      <w:r w:rsidRPr="0077067F">
        <w:tab/>
        <w:t>întrucât, la 23 mai 2024, RPC a lansat un exercițiu militar denumit „</w:t>
      </w:r>
      <w:proofErr w:type="spellStart"/>
      <w:r w:rsidRPr="0077067F">
        <w:t>Joint</w:t>
      </w:r>
      <w:proofErr w:type="spellEnd"/>
      <w:r w:rsidRPr="0077067F">
        <w:t xml:space="preserve"> </w:t>
      </w:r>
      <w:proofErr w:type="spellStart"/>
      <w:r w:rsidRPr="0077067F">
        <w:t>Sword</w:t>
      </w:r>
      <w:proofErr w:type="spellEnd"/>
      <w:r w:rsidRPr="0077067F">
        <w:t xml:space="preserve"> 2024A”, la doar câteva zile după învestirea noului președinte al Taiwanului, Lai </w:t>
      </w:r>
      <w:proofErr w:type="spellStart"/>
      <w:r w:rsidRPr="0077067F">
        <w:t>Ching</w:t>
      </w:r>
      <w:proofErr w:type="spellEnd"/>
      <w:r w:rsidRPr="0077067F">
        <w:t>-te;</w:t>
      </w:r>
    </w:p>
    <w:p w:rsidR="00525B7C" w:rsidRPr="0077067F" w:rsidRDefault="00525B7C" w:rsidP="00525B7C">
      <w:pPr>
        <w:pStyle w:val="NormalHanging12a"/>
      </w:pPr>
      <w:r w:rsidRPr="0077067F">
        <w:t>T.</w:t>
      </w:r>
      <w:r w:rsidRPr="0077067F">
        <w:tab/>
        <w:t>întrucât, în ultimii ani, RPC a desfășurat exerciții militare similare în jurul Taiwanului; întrucât aceste exerciții militare au crescut în intensitate și au fost desfășurate din ce în ce mai aproape de țărmurile Taiwanului; întrucât, în timpul unui exercițiu anterior din august 2022, RPC a lansat și rachete în zona economică exclusivă a Japoniei;</w:t>
      </w:r>
    </w:p>
    <w:p w:rsidR="00525B7C" w:rsidRPr="0077067F" w:rsidRDefault="00525B7C" w:rsidP="00525B7C">
      <w:pPr>
        <w:pStyle w:val="NormalHanging12a"/>
      </w:pPr>
      <w:r w:rsidRPr="0077067F">
        <w:t>U.</w:t>
      </w:r>
      <w:r w:rsidRPr="0077067F">
        <w:tab/>
        <w:t>întrucât, pe lângă presiunea militară, RPC folosește de mult timp împotriva Taiwanului o strategie sofisticată de manipulare a informațiilor și ingerințe străine, inclusiv atacuri hibride și cibernetice, cu scopul de a submina societatea democratică din Taiwan;</w:t>
      </w:r>
    </w:p>
    <w:p w:rsidR="00525B7C" w:rsidRPr="0077067F" w:rsidRDefault="00525B7C" w:rsidP="00525B7C">
      <w:pPr>
        <w:pStyle w:val="NormalHanging12a"/>
      </w:pPr>
      <w:r w:rsidRPr="0077067F">
        <w:t>V.</w:t>
      </w:r>
      <w:r w:rsidRPr="0077067F">
        <w:tab/>
        <w:t xml:space="preserve">întrucât RPC, sub conducerea lui </w:t>
      </w:r>
      <w:proofErr w:type="spellStart"/>
      <w:r w:rsidRPr="0077067F">
        <w:t>Xi</w:t>
      </w:r>
      <w:proofErr w:type="spellEnd"/>
      <w:r w:rsidRPr="0077067F">
        <w:t xml:space="preserve"> </w:t>
      </w:r>
      <w:proofErr w:type="spellStart"/>
      <w:r w:rsidRPr="0077067F">
        <w:t>Jinping</w:t>
      </w:r>
      <w:proofErr w:type="spellEnd"/>
      <w:r w:rsidRPr="0077067F">
        <w:t>, a declarat că nu va renunța la utilizarea forței pentru a încerca unificarea cu Taiwanul;</w:t>
      </w:r>
    </w:p>
    <w:p w:rsidR="00525B7C" w:rsidRPr="0077067F" w:rsidRDefault="00525B7C" w:rsidP="00525B7C">
      <w:pPr>
        <w:pStyle w:val="NormalHanging12a"/>
      </w:pPr>
      <w:r w:rsidRPr="0077067F">
        <w:t>W.</w:t>
      </w:r>
      <w:r w:rsidRPr="0077067F">
        <w:tab/>
        <w:t>întrucât Legea antisecesiune din 2005 a RPC include utilizarea unor mijloace care nu sunt pașnice, declanșate de praguri ambigue, pentru a realiza ceea ce RPC numește „unificarea” cu Taiwanul; întrucât astfel de acțiuni militare reprezintă o amenințare gravă la adresa securității și stabilității întregii regiuni, cu consecințe potențial nefaste la nivel mondial, întrucât demersurile disuasive ale UE și ale SUA au o importanță strategică pentru a descuraja RPC să întreprindă acțiuni unilaterale împotriva Taiwanului;</w:t>
      </w:r>
    </w:p>
    <w:p w:rsidR="00525B7C" w:rsidRPr="0077067F" w:rsidRDefault="00525B7C" w:rsidP="00525B7C">
      <w:pPr>
        <w:pStyle w:val="NormalHanging12a"/>
      </w:pPr>
      <w:r w:rsidRPr="0077067F">
        <w:t>X.</w:t>
      </w:r>
      <w:r w:rsidRPr="0077067F">
        <w:tab/>
        <w:t>întrucât comportamentul tot mai agresiv al RPC, în special în vecinătatea sa, de exemplu în Strâmtoarea Taiwan și Marea Chinei de Sud, reprezintă un risc pentru securitatea regională și mondială; întrucât, începând din 2019, RPC a încălcat tot mai des zona de identificare a apărării antiaeriane a Taiwanului; întrucât RPC a avut un comportament agresiv în zone întinse din regiunea indo-pacifică și a exercitat diferite grade de constrângeri militare sau economice, ceea ce a dus la dispute cu vecini precum Japonia, India, Filipine și Australia;</w:t>
      </w:r>
    </w:p>
    <w:p w:rsidR="00525B7C" w:rsidRPr="0077067F" w:rsidRDefault="00525B7C" w:rsidP="00525B7C">
      <w:pPr>
        <w:pStyle w:val="NormalHanging12a"/>
      </w:pPr>
      <w:r w:rsidRPr="0077067F">
        <w:t>Y.</w:t>
      </w:r>
      <w:r w:rsidRPr="0077067F">
        <w:tab/>
        <w:t>întrucât UE a condamnat acțiunile periculoase desfășurate de navele pazei de coastă chineze împotriva operațiunilor maritime legale filipineze din Marea Chinei de Sud care au avut loc la 31 august 2024; întrucât acest incident este cel mai recent dintr-o serie de acțiuni care pun în pericol siguranța vieții pe mare și încalcă dreptul la libertatea de navigație și de survol, în conformitate cu dreptul internațional; întrucât securitatea maritimă și libertatea de navigație trebuie asigurate în conformitate cu dreptul internațional și, în special, cu UNCLOS;</w:t>
      </w:r>
    </w:p>
    <w:p w:rsidR="00525B7C" w:rsidRPr="0077067F" w:rsidRDefault="00525B7C" w:rsidP="00525B7C">
      <w:pPr>
        <w:pStyle w:val="NormalHanging12a"/>
        <w:rPr>
          <w:shd w:val="clear" w:color="auto" w:fill="FFFFFF"/>
        </w:rPr>
      </w:pPr>
      <w:r w:rsidRPr="0077067F">
        <w:t>Z.</w:t>
      </w:r>
      <w:r w:rsidRPr="0077067F">
        <w:tab/>
        <w:t>întrucât PRC susține războiul de agresiune purtat de Rusia împotriva Ucrainei, în special prin exportul de produse cu dublă utilizare către Rusia și implicarea continuă a întreprinderilor cu sediul în China în evitarea și eludarea sancțiunilor;</w:t>
      </w:r>
    </w:p>
    <w:p w:rsidR="00525B7C" w:rsidRPr="0077067F" w:rsidRDefault="00525B7C" w:rsidP="00525B7C">
      <w:pPr>
        <w:pStyle w:val="NormalHanging12a"/>
      </w:pPr>
      <w:r w:rsidRPr="0077067F">
        <w:lastRenderedPageBreak/>
        <w:t>AA.</w:t>
      </w:r>
      <w:r w:rsidRPr="0077067F">
        <w:tab/>
        <w:t>întrucât, în calitate de membru permanent al Consiliului de Securitate al ONU, RPC are responsabilitatea de a susține pacea și stabilitatea în regiune și, în special, în Strâmtoarea Taiwan;</w:t>
      </w:r>
    </w:p>
    <w:p w:rsidR="00525B7C" w:rsidRPr="0077067F" w:rsidRDefault="00525B7C" w:rsidP="00525B7C">
      <w:pPr>
        <w:pStyle w:val="NormalHanging12a"/>
      </w:pPr>
      <w:r w:rsidRPr="0077067F">
        <w:t>AB.</w:t>
      </w:r>
      <w:r w:rsidRPr="0077067F">
        <w:tab/>
        <w:t>întrucât, prin Strategia pentru cooperare în regiunea indo-pacifică din 2021, UE și statele sale membre și-au consolidat prezența în regiune, inclusiv printr-o prezență militară mai mare a anumitor state membre și trecerea continuă a navelor militare prin Strâmtoarea Taiwan;</w:t>
      </w:r>
    </w:p>
    <w:p w:rsidR="00525B7C" w:rsidRPr="0077067F" w:rsidRDefault="00525B7C" w:rsidP="00525B7C">
      <w:pPr>
        <w:pStyle w:val="NormalHanging12a"/>
      </w:pPr>
      <w:r w:rsidRPr="0077067F">
        <w:t>AC.</w:t>
      </w:r>
      <w:r w:rsidRPr="0077067F">
        <w:tab/>
        <w:t>întrucât Taiwanul se află într-o poziție strategică din punctul de vedere al comerțului, în special în ceea ce privește lanțurile de aprovizionare din domeniul înaltei tehnologii; întrucât Strâmtoarea Taiwan este principala rută pentru navele care se deplasează din China, Japonia, Coreea de Sud și Taiwan către Europa; întrucât Taiwanul domină piețele de fabricare a semiconductorilor, producătorii taiwanezi fabricând aproximativ 50 % din producția mondială de semiconductori; întrucât Strategia UE de cooperare în regiunea indo-pacifică pledează pentru intensificarea cooperării cu Taiwanul în domeniul comerțului și al investițiilor;</w:t>
      </w:r>
    </w:p>
    <w:p w:rsidR="00525B7C" w:rsidRPr="0077067F" w:rsidRDefault="00525B7C" w:rsidP="00525B7C">
      <w:pPr>
        <w:pStyle w:val="NormalHanging12a"/>
      </w:pPr>
      <w:r w:rsidRPr="0077067F">
        <w:t>AD.</w:t>
      </w:r>
      <w:r w:rsidRPr="0077067F">
        <w:tab/>
        <w:t>întrucât UE este al patrulea partener comercial al Taiwanului ca importanță, după PRC, SUA și Japonia; întrucât Taiwanul a fost al 12-lea partener comercial al UE ca mărime în 2022; întrucât UE este cea mai mare sursă de investiții străine directe în Taiwan; întrucât investițiile taiwaneze în UE nu și-au atins tot potențialul;</w:t>
      </w:r>
    </w:p>
    <w:p w:rsidR="00525B7C" w:rsidRPr="0077067F" w:rsidRDefault="00525B7C" w:rsidP="00525B7C">
      <w:pPr>
        <w:pStyle w:val="NormalHanging12a"/>
      </w:pPr>
      <w:r w:rsidRPr="0077067F">
        <w:t>AE.</w:t>
      </w:r>
      <w:r w:rsidRPr="0077067F">
        <w:tab/>
        <w:t>întrucât Senatul Australiei și Camera Inferioară a Parlamentului Țărilor de Jos au adoptat recent moțiuni privind denaturarea de către RPC a Rezoluției 2758 a ONU și au solicitat sprijin pentru o mai mare participare a Taiwanului în organizațiile multilaterale,</w:t>
      </w:r>
    </w:p>
    <w:p w:rsidR="00525B7C" w:rsidRPr="0077067F" w:rsidRDefault="00525B7C" w:rsidP="00525B7C">
      <w:pPr>
        <w:pStyle w:val="NormalHanging12a"/>
      </w:pPr>
      <w:r w:rsidRPr="0077067F">
        <w:t>1.</w:t>
      </w:r>
      <w:r w:rsidRPr="0077067F">
        <w:tab/>
        <w:t>reiterează faptul că Taiwanul este un partener esențial al UE și un aliat democratic care împărtășește aceeași viziune în regiunea indo-pacifică; felicită Taiwanul și poporul taiwanez pentru democrația puternică și societatea civilă dinamică, demonstrate încă o dată de alegerile pașnice și bine organizate din 13 ianuarie 2024;</w:t>
      </w:r>
    </w:p>
    <w:p w:rsidR="00525B7C" w:rsidRPr="0077067F" w:rsidRDefault="00525B7C" w:rsidP="00525B7C">
      <w:pPr>
        <w:pStyle w:val="NormalHanging12a"/>
      </w:pPr>
      <w:r w:rsidRPr="0077067F">
        <w:t>2.</w:t>
      </w:r>
      <w:r w:rsidRPr="0077067F">
        <w:tab/>
        <w:t>se opune denaturării constante de către RPC a Rezoluției 2758 a ONU și eforturilor sale de a bloca participarea Taiwanului la organizațiile multilaterale; invită UE și statele sale membre să sprijine participarea semnificativă a Taiwanului în cadrul organizațiilor internaționale relevante, cum ar fi OMS, OACI, Interpol și CCONUSC; invită, de asemenea, Secretariatul ONU să acorde cetățenilor și jurnaliștilor taiwanezi dreptul de acces la sediul ONU pentru vizite, reuniuni și activități de culegere a știrilor;</w:t>
      </w:r>
    </w:p>
    <w:p w:rsidR="00525B7C" w:rsidRPr="0077067F" w:rsidRDefault="00525B7C" w:rsidP="00525B7C">
      <w:pPr>
        <w:pStyle w:val="NormalHanging12a"/>
      </w:pPr>
      <w:r w:rsidRPr="0077067F">
        <w:t>3.</w:t>
      </w:r>
      <w:r w:rsidRPr="0077067F">
        <w:tab/>
        <w:t>condamnă cu fermitate exercițiile militare nejustificate ale RPC din 14 octombrie 2024, provocările sale militare continue împotriva Taiwanului și concentrarea continuă a forțelor militare, care modifică echilibrul de putere în regiunea indo-pacifică, și reiterează respingerea fermă a oricărei modificări unilaterale a statu-quoului din Strâmtoarea Taiwan; salută reținerea și reacția disciplinată a autorităților taiwaneze și solicită schimburi periodice între UE și omologii săi taiwanezi despre chestiuni relevante legate de securitate;</w:t>
      </w:r>
    </w:p>
    <w:p w:rsidR="00525B7C" w:rsidRPr="0077067F" w:rsidRDefault="00525B7C" w:rsidP="00525B7C">
      <w:pPr>
        <w:pStyle w:val="NormalHanging12a"/>
      </w:pPr>
      <w:r w:rsidRPr="0077067F">
        <w:t>4.</w:t>
      </w:r>
      <w:r w:rsidRPr="0077067F">
        <w:tab/>
        <w:t>își reafirmă angajamentul ferm față de statu-quoul din Strâmtoarea Taiwan; subliniază că orice încercare de a schimba unilateral statu-quoul din Strâmtoarea Taiwan, în special prin forță sau constrângere, va fi considerată inacceptabilă și că va primi un răspuns decisiv și ferm;</w:t>
      </w:r>
    </w:p>
    <w:p w:rsidR="00525B7C" w:rsidRPr="0077067F" w:rsidRDefault="00525B7C" w:rsidP="00525B7C">
      <w:pPr>
        <w:pStyle w:val="NormalHanging12a"/>
      </w:pPr>
      <w:r w:rsidRPr="0077067F">
        <w:lastRenderedPageBreak/>
        <w:t>5.</w:t>
      </w:r>
      <w:r w:rsidRPr="0077067F">
        <w:tab/>
        <w:t>subliniază că Rezoluția 2758 a ONU nu s-a pronunțat cu privire la Taiwan; respinge cu fermitate încercările RPC de a denatura istoria și normele internaționale;</w:t>
      </w:r>
    </w:p>
    <w:p w:rsidR="00525B7C" w:rsidRPr="0077067F" w:rsidRDefault="00525B7C" w:rsidP="00525B7C">
      <w:pPr>
        <w:pStyle w:val="NormalHanging12a"/>
      </w:pPr>
      <w:r w:rsidRPr="0077067F">
        <w:t>6.</w:t>
      </w:r>
      <w:r w:rsidRPr="0077067F">
        <w:tab/>
        <w:t xml:space="preserve">reiterează angajamentul UE față de politica „O singură </w:t>
      </w:r>
      <w:proofErr w:type="spellStart"/>
      <w:r w:rsidRPr="0077067F">
        <w:t>Chină</w:t>
      </w:r>
      <w:proofErr w:type="spellEnd"/>
      <w:r w:rsidRPr="0077067F">
        <w:t>” ca fundament politic al relațiilor UE-China; reamintește că strategia UE privind China pune în evidență faptul că relațiile constructive dintre China și Taiwan fac parte din promovarea păcii și securității în întreaga regiune Asia-Pacific și că UE susține inițiativele care vizează dialogul și consolidarea încrederii;</w:t>
      </w:r>
    </w:p>
    <w:p w:rsidR="00525B7C" w:rsidRPr="0077067F" w:rsidRDefault="00525B7C" w:rsidP="00525B7C">
      <w:pPr>
        <w:pStyle w:val="NormalHanging12a"/>
      </w:pPr>
      <w:r w:rsidRPr="0077067F">
        <w:t>7.</w:t>
      </w:r>
      <w:r w:rsidRPr="0077067F">
        <w:tab/>
        <w:t>subliniază că în Taiwan, poporul decide democratic cum dorește să trăiască și că statu-quoul din Strâmtoarea Taiwan nu trebuie modificat unilateral prin utilizarea forței sau amenințarea cu aceasta;</w:t>
      </w:r>
    </w:p>
    <w:p w:rsidR="00525B7C" w:rsidRPr="0077067F" w:rsidRDefault="00525B7C" w:rsidP="00525B7C">
      <w:pPr>
        <w:pStyle w:val="NormalHanging12a"/>
      </w:pPr>
      <w:r w:rsidRPr="0077067F">
        <w:t>8.</w:t>
      </w:r>
      <w:r w:rsidRPr="0077067F">
        <w:tab/>
        <w:t xml:space="preserve">condamnă din nou cu fermitate declarațiile președintelui chinez </w:t>
      </w:r>
      <w:proofErr w:type="spellStart"/>
      <w:r w:rsidRPr="0077067F">
        <w:t>Xi</w:t>
      </w:r>
      <w:proofErr w:type="spellEnd"/>
      <w:r w:rsidRPr="0077067F">
        <w:t xml:space="preserve"> </w:t>
      </w:r>
      <w:proofErr w:type="spellStart"/>
      <w:r w:rsidRPr="0077067F">
        <w:t>Jinping</w:t>
      </w:r>
      <w:proofErr w:type="spellEnd"/>
      <w:r w:rsidRPr="0077067F">
        <w:t xml:space="preserve"> potrivit cărora RPC nu va renunța niciodată la dreptul de a folosi forța împotriva Taiwanului; subliniază că utilizarea de către RPC a forței, a amenințărilor sau a altor măsuri extrem de coercitive pentru a realiza unificarea contravine dreptului internațional; își exprimă profunda îngrijorare cu privire la utilizarea de către RPC a dezinformării ostile pentru a submina încrederea în democrația și guvernanța Taiwanului; își reiterează apelurile anterioare adresate UE și statelor sale membre de a coopera cu partenerii internaționali pentru a contribui la susținerea democrației în Taiwan, protejând-o de ingerințele și amenințările străine; subliniază că numai guvernul ales în mod democratic al Taiwanului poate reprezenta poporul taiwanez pe scena internațională;</w:t>
      </w:r>
    </w:p>
    <w:p w:rsidR="00525B7C" w:rsidRPr="0077067F" w:rsidRDefault="00525B7C" w:rsidP="00525B7C">
      <w:pPr>
        <w:pStyle w:val="NormalHanging12a"/>
      </w:pPr>
      <w:r w:rsidRPr="0077067F">
        <w:t>9.</w:t>
      </w:r>
      <w:r w:rsidRPr="0077067F">
        <w:tab/>
        <w:t>condamnă acțiunile militare sistematice ale RPC la limita legalității, inclusiv campaniile cibernetice și de dezinformare împotriva Taiwanului, și îndeamnă RPC să oprească imediat aceste activități; solicită, în acest sens, să se intensifice în continuare cooperarea între UE și Taiwan pentru a consolida cooperarea structurală privind combaterea dezinformării și a ingerințelor străine; salută detașarea unui ofițer de legătură la Biroul economic și comercial european din Taiwan pentru a coordona eforturile comune de combatere a dezinformării și a ingerințelor, ca un prim pas important către o cooperare mai strânsă între UE și Taiwan, și solicită UE să intensifice în continuare cooperarea cu Taiwanul în acest domeniu-cheie; salută curajul poporului taiwanez și reacțiile proporționale și demne ale autorităților și instituțiilor taiwaneze în fața intensificării amenințărilor și activităților din partea Chinei;</w:t>
      </w:r>
    </w:p>
    <w:p w:rsidR="00525B7C" w:rsidRPr="0077067F" w:rsidRDefault="00525B7C" w:rsidP="00525B7C">
      <w:pPr>
        <w:pStyle w:val="NormalHanging12a"/>
        <w:rPr>
          <w:bCs/>
        </w:rPr>
      </w:pPr>
      <w:r w:rsidRPr="0077067F">
        <w:t>10.</w:t>
      </w:r>
      <w:r w:rsidRPr="0077067F">
        <w:tab/>
        <w:t>respinge ferm constrângerea economică exercitată de RPC împotriva Taiwanului și a altor țări, precum și împotriva statelor membre ale UE și subliniază că astfel de practici nu numai că sunt ilegale în temeiul normelor Organizației Mondiale a Comerțului, ci au și un efect devastator asupra reputației RPC în întreaga lume și vor duce la o nouă pierdere a încrederii în RPC ca actor responsabil; subliniază dreptul UE și al statelor sale membre de a stabili relații independente cu Taiwanul, în conformitate cu interesele lor și cu valorile comune ale democrației și drepturilor omului, fără ingerințe străine; invită misiunile UE și ale statelor membre în străinătate să abordeze și să ofere alternative la practicile comerciale răuvoitoare ale RPC, în special în sudul global;</w:t>
      </w:r>
    </w:p>
    <w:p w:rsidR="00525B7C" w:rsidRPr="0077067F" w:rsidRDefault="00525B7C" w:rsidP="00525B7C">
      <w:pPr>
        <w:pStyle w:val="NormalHanging12a"/>
      </w:pPr>
      <w:r w:rsidRPr="0077067F">
        <w:t>11.</w:t>
      </w:r>
      <w:r w:rsidRPr="0077067F">
        <w:tab/>
        <w:t xml:space="preserve">este foarte îngrijorat de adoptarea unor așa-numite directive de pedepsire a separatiștilor îndârjiți care susțin independența Taiwanului pentru comiterea crimelor de secesiune sau incitarea la secesiune, anunțate în comun de Curtea Supremă a Poporului, Procuratura Supremă a Poporului, Ministerul Securității Publice, Ministerul Securității Statului și Ministerul Justiției în iunie 2024, ceea ce ar putea duce la pedepse aspre </w:t>
      </w:r>
      <w:r w:rsidRPr="0077067F">
        <w:lastRenderedPageBreak/>
        <w:t>pentru crima de secesiune și chiar la pedeapsa cu moartea; condamnă cu fermitate pedeapsa de nouă ani de închisoare dată unui activist taiwanez în luna septembrie 2024, după arestarea sa în RPC în 2022, precum și hărțuirea constantă a persoanelor taiwaneze care lucrează și locuiesc în RPC;</w:t>
      </w:r>
    </w:p>
    <w:p w:rsidR="00525B7C" w:rsidRPr="0077067F" w:rsidRDefault="00525B7C" w:rsidP="00525B7C">
      <w:pPr>
        <w:pStyle w:val="NormalHanging12a"/>
      </w:pPr>
      <w:r w:rsidRPr="0077067F">
        <w:t>12.</w:t>
      </w:r>
      <w:r w:rsidRPr="0077067F">
        <w:tab/>
        <w:t>este profund îngrijorat de situația din Marea Chinei de Est și Marea Chinei de Sud; reamintește că este important să se respecte dreptul internațional, inclusiv UNCLOS, și, în special, dispozițiile sale privind obligația de a soluționa conflictele prin mijloace pașnice și menținerea libertății de navigație și de survol; invită toate țările care nu au făcut acest lucru să ratifice rapid UNCLOS; invită UE și statele sale membre să își consolideze propriile capacități maritime în regiune; reamintește RPC de responsabilitatea sa, în calitate de membru permanent al Consiliului de Securitate al ONU, de a respecta dreptul internațional și subliniază obligația sa de a soluționa disputele în mod pașnic;</w:t>
      </w:r>
    </w:p>
    <w:p w:rsidR="00525B7C" w:rsidRPr="0077067F" w:rsidRDefault="00525B7C" w:rsidP="00525B7C">
      <w:pPr>
        <w:pStyle w:val="NormalHanging12a"/>
      </w:pPr>
      <w:r w:rsidRPr="0077067F">
        <w:t>13.</w:t>
      </w:r>
      <w:r w:rsidRPr="0077067F">
        <w:tab/>
        <w:t>își reafirmă profunda îngrijorare în legătură cu creșterea investițiilor și a capabilităților militare ale Chinei; își exprimă îngrijorarea profundă cu privire la angajamentul reînnoit al Chinei și al Rusiei de a-și consolida în continuare legăturile militare și condamnă aprovizionarea industriei militare a Moscovei cu componente și echipamente din China; salută decizia Consiliului de a impune sancțiuni întreprinderilor chineze pentru sprijinirea războiului Rusiei împotriva Ucrainei; regretă parteneriatul „fără limite” dintre Rusia și RPC; salută intensificarea angajării și prezenței militare a SUA în regiunea indo-pacifică; își reiterează apelul la o abordare coordonată pentru a intensifica cooperarea UE-SUA în materie de securitate, inclusiv prin intermediul dialogului parlamentar transatlantic;</w:t>
      </w:r>
    </w:p>
    <w:p w:rsidR="00525B7C" w:rsidRPr="0077067F" w:rsidRDefault="00525B7C" w:rsidP="00525B7C">
      <w:pPr>
        <w:pStyle w:val="NormalHanging12a"/>
      </w:pPr>
      <w:r w:rsidRPr="0077067F">
        <w:t>14.</w:t>
      </w:r>
      <w:r w:rsidRPr="0077067F">
        <w:tab/>
        <w:t>salută călduros cooperarea strânsă și alinierea Taiwanului cu UE și SUA în ceea ce privește reacția la războiul Rusiei împotriva Ucrainei și impunerea de sancțiuni ca răspuns la această încălcare flagrantă a dreptului internațional; reamintește ajutorul Taiwanului în abordarea crizei umanitare cauzate de războiul de agresiune al Rusiei împotriva Ucrainei și implicarea și sprijinul său continuu față de guvernul ucrainean și țările care găzduiesc refugiați ucraineni;</w:t>
      </w:r>
    </w:p>
    <w:p w:rsidR="00525B7C" w:rsidRPr="0077067F" w:rsidRDefault="00525B7C" w:rsidP="00525B7C">
      <w:pPr>
        <w:pStyle w:val="NormalHanging12a"/>
      </w:pPr>
      <w:r w:rsidRPr="0077067F">
        <w:t>15.</w:t>
      </w:r>
      <w:r w:rsidRPr="0077067F">
        <w:tab/>
        <w:t>subliniază că diferitele acțiuni ale RPC în domeniul războiului cognitiv și juridic subminează treptat statu-quoul și intensifică activitățile la limita legalității menite să eludeze depistarea, legile existente și pragurile de reacție; invită UE să-și stabilească limitele și să asigure respectarea lor, utilizând setul său de sancțiuni, inclusiv sancțiuni sectoriale, împotriva activităților hibride și a amenințărilor cibernetice și să coordoneze măsuri diplomatice și economice puternice de descurajare cu partenerii care împărtășesc aceeași viziune;</w:t>
      </w:r>
    </w:p>
    <w:p w:rsidR="00525B7C" w:rsidRPr="0077067F" w:rsidRDefault="00525B7C" w:rsidP="00525B7C">
      <w:pPr>
        <w:pStyle w:val="NormalHanging12a"/>
      </w:pPr>
      <w:r w:rsidRPr="0077067F">
        <w:t>16.</w:t>
      </w:r>
      <w:r w:rsidRPr="0077067F">
        <w:tab/>
        <w:t>își exprimă recunoștința pentru ajutorul și asistența Taiwanului în timpul pandemiei de COVID-19;</w:t>
      </w:r>
    </w:p>
    <w:p w:rsidR="00525B7C" w:rsidRPr="0077067F" w:rsidRDefault="00525B7C" w:rsidP="00525B7C">
      <w:pPr>
        <w:pStyle w:val="NormalHanging12a"/>
      </w:pPr>
      <w:r w:rsidRPr="0077067F">
        <w:t>17.</w:t>
      </w:r>
      <w:r w:rsidRPr="0077067F">
        <w:tab/>
        <w:t>recunoaște importanța Taiwanului în asigurarea lanțurilor de aprovizionare globale, în special în sectorul înaltei tehnologii, în care Taiwanul este cel mai mare producător de semiconductori, și solicită UE și statelor sale membre să se angajeze într-o cooperare mai strânsă cu Taiwanul;</w:t>
      </w:r>
    </w:p>
    <w:p w:rsidR="00525B7C" w:rsidRPr="0077067F" w:rsidRDefault="00525B7C" w:rsidP="00525B7C">
      <w:pPr>
        <w:pStyle w:val="NormalHanging12a"/>
      </w:pPr>
      <w:r w:rsidRPr="0077067F">
        <w:t>18.</w:t>
      </w:r>
      <w:r w:rsidRPr="0077067F">
        <w:tab/>
        <w:t xml:space="preserve">invită Comisia să lanseze, fără întârziere, măsuri de pregătire a negocierilor privind un acord bilateral de investiții, sau alte tipuri de acorduri, cu Taiwanul; subliniază </w:t>
      </w:r>
      <w:r w:rsidRPr="0077067F">
        <w:lastRenderedPageBreak/>
        <w:t>potențialul cooperării în ceea ce privește politica de examinare a investițiilor străine directe și combaterea constrângerilor economice și a represaliilor;</w:t>
      </w:r>
    </w:p>
    <w:p w:rsidR="00525B7C" w:rsidRPr="0077067F" w:rsidRDefault="00525B7C" w:rsidP="00525B7C">
      <w:pPr>
        <w:pStyle w:val="NormalHanging12a"/>
      </w:pPr>
      <w:r w:rsidRPr="0077067F">
        <w:t>19.</w:t>
      </w:r>
      <w:r w:rsidRPr="0077067F">
        <w:tab/>
        <w:t>salută intensificarea exercițiilor pentru libertatea de navigație desfășurate de mai multe țări ale UE, printre care Franța, Țările de Jos și Germania; ia act de faptul că aceste activități sunt în conformitate cu dreptul internațional și solicită o mai bună cooperare și coordonare cu partenerii regionali pentru a spori libertatea operațiunilor de navigație în regiune;</w:t>
      </w:r>
    </w:p>
    <w:p w:rsidR="00525B7C" w:rsidRPr="0077067F" w:rsidRDefault="00525B7C" w:rsidP="00525B7C">
      <w:pPr>
        <w:pStyle w:val="NormalHanging12a"/>
      </w:pPr>
      <w:r w:rsidRPr="0077067F">
        <w:t>20.</w:t>
      </w:r>
      <w:r w:rsidRPr="0077067F">
        <w:tab/>
        <w:t xml:space="preserve">salută vizitele foștilor și actualilor politicieni taiwanezi în Europa, inclusiv vizita recentă a fostului președinte </w:t>
      </w:r>
      <w:proofErr w:type="spellStart"/>
      <w:r w:rsidRPr="0077067F">
        <w:t>Tsai</w:t>
      </w:r>
      <w:proofErr w:type="spellEnd"/>
      <w:r w:rsidRPr="0077067F">
        <w:t xml:space="preserve"> </w:t>
      </w:r>
      <w:proofErr w:type="spellStart"/>
      <w:r w:rsidRPr="0077067F">
        <w:t>Ing-wen</w:t>
      </w:r>
      <w:proofErr w:type="spellEnd"/>
      <w:r w:rsidRPr="0077067F">
        <w:t xml:space="preserve"> la Parlamentul European, la 17 octombrie 2024; salută, de asemenea, schimburile continue dintre eurodeputați și Taiwan și încurajează continuarea vizitelor efectuate de delegațiile oficiale ale Parlamentului European în Taiwan; încurajează și continuarea schimburilor între UE și Taiwan la toate nivelurile, inclusiv la nivelul reuniunilor politice și al întâlnirilor interpersonale;</w:t>
      </w:r>
    </w:p>
    <w:p w:rsidR="00525B7C" w:rsidRPr="0077067F" w:rsidRDefault="00525B7C" w:rsidP="00525B7C">
      <w:pPr>
        <w:pStyle w:val="NormalHanging12a"/>
      </w:pPr>
      <w:r w:rsidRPr="0077067F">
        <w:t>21.</w:t>
      </w:r>
      <w:r w:rsidRPr="0077067F">
        <w:tab/>
        <w:t>încurajează, în acest context, intensificarea interacțiunilor și a schimburilor economice, științifice și culturale, axate, printre altele, pe tineret, mediul universitar, societatea civilă, sport, cultură și educație, precum și pe parteneriatele dintre orașe și regiuni; își reiterează apelul adresat statelor membre de a se angaja într-o cooperare tehnică semnificativă și structurală cu Agenția Națională de Combatere a Incendiilor și cu Agenția Națională de Poliție din Taiwan, precum și cu administrațiile locale în domeniul protecției civile și al gestionării dezastrelor;</w:t>
      </w:r>
    </w:p>
    <w:p w:rsidR="00525B7C" w:rsidRPr="0077067F" w:rsidRDefault="00525B7C" w:rsidP="00525B7C">
      <w:pPr>
        <w:pStyle w:val="NormalHanging12a"/>
      </w:pPr>
      <w:r w:rsidRPr="0077067F">
        <w:t>22.</w:t>
      </w:r>
      <w:r w:rsidRPr="0077067F">
        <w:tab/>
        <w:t>încredințează Președintei sarcina de a transmite prezenta rezoluție Consiliului, Comisiei, Vicepreședintelui Comisiei/Înaltului Reprezentant al Uniunii pentru afaceri externe și politica de securitate, precum și guvernelor Republicii Populare Chineze și Taiwanului.</w:t>
      </w:r>
    </w:p>
    <w:p w:rsidR="00E365E1" w:rsidRPr="0077067F" w:rsidRDefault="00E365E1" w:rsidP="00FF6A93">
      <w:bookmarkStart w:id="8" w:name="TextBodyEnd"/>
      <w:bookmarkEnd w:id="8"/>
    </w:p>
    <w:sectPr w:rsidR="00E365E1" w:rsidRPr="0077067F" w:rsidSect="002410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A93" w:rsidRPr="002410F1" w:rsidRDefault="00FF6A93">
      <w:r w:rsidRPr="002410F1">
        <w:separator/>
      </w:r>
    </w:p>
  </w:endnote>
  <w:endnote w:type="continuationSeparator" w:id="0">
    <w:p w:rsidR="00FF6A93" w:rsidRPr="002410F1" w:rsidRDefault="00FF6A93">
      <w:r w:rsidRPr="00241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A93" w:rsidRPr="002410F1" w:rsidRDefault="00FF6A93">
      <w:r w:rsidRPr="002410F1">
        <w:separator/>
      </w:r>
    </w:p>
  </w:footnote>
  <w:footnote w:type="continuationSeparator" w:id="0">
    <w:p w:rsidR="00FF6A93" w:rsidRPr="002410F1" w:rsidRDefault="00FF6A93">
      <w:r w:rsidRPr="002410F1">
        <w:continuationSeparator/>
      </w:r>
    </w:p>
  </w:footnote>
  <w:footnote w:id="1">
    <w:p w:rsidR="00525B7C" w:rsidRPr="002410F1" w:rsidRDefault="00525B7C" w:rsidP="002410F1">
      <w:pPr>
        <w:pStyle w:val="FootnoteText"/>
        <w:ind w:left="567" w:hanging="567"/>
        <w:rPr>
          <w:sz w:val="24"/>
          <w:lang w:val="ro-RO"/>
        </w:rPr>
      </w:pPr>
      <w:r w:rsidRPr="002410F1">
        <w:rPr>
          <w:rStyle w:val="FootnoteReference"/>
          <w:sz w:val="24"/>
          <w:lang w:val="ro-RO"/>
        </w:rPr>
        <w:footnoteRef/>
      </w:r>
      <w:r w:rsidR="002410F1" w:rsidRPr="002410F1">
        <w:rPr>
          <w:sz w:val="24"/>
          <w:lang w:val="ro-RO"/>
        </w:rPr>
        <w:t xml:space="preserve"> </w:t>
      </w:r>
      <w:r w:rsidR="002410F1" w:rsidRPr="002410F1">
        <w:rPr>
          <w:sz w:val="24"/>
          <w:lang w:val="ro-RO"/>
        </w:rPr>
        <w:tab/>
      </w:r>
      <w:r w:rsidRPr="002410F1">
        <w:rPr>
          <w:sz w:val="24"/>
          <w:lang w:val="ro-RO"/>
        </w:rPr>
        <w:t>JO C 117, 11.3.2022, p. 40.</w:t>
      </w:r>
    </w:p>
  </w:footnote>
  <w:footnote w:id="2">
    <w:p w:rsidR="00525B7C" w:rsidRPr="002410F1" w:rsidRDefault="00525B7C" w:rsidP="002410F1">
      <w:pPr>
        <w:pStyle w:val="FootnoteText"/>
        <w:ind w:left="567" w:hanging="567"/>
        <w:rPr>
          <w:sz w:val="24"/>
          <w:lang w:val="ro-RO"/>
        </w:rPr>
      </w:pPr>
      <w:r w:rsidRPr="002410F1">
        <w:rPr>
          <w:rStyle w:val="FootnoteReference"/>
          <w:sz w:val="24"/>
          <w:lang w:val="ro-RO"/>
        </w:rPr>
        <w:footnoteRef/>
      </w:r>
      <w:r w:rsidR="002410F1" w:rsidRPr="002410F1">
        <w:rPr>
          <w:sz w:val="24"/>
          <w:lang w:val="ro-RO"/>
        </w:rPr>
        <w:t xml:space="preserve"> </w:t>
      </w:r>
      <w:r w:rsidR="002410F1" w:rsidRPr="002410F1">
        <w:rPr>
          <w:sz w:val="24"/>
          <w:lang w:val="ro-RO"/>
        </w:rPr>
        <w:tab/>
      </w:r>
      <w:r w:rsidRPr="002410F1">
        <w:rPr>
          <w:sz w:val="24"/>
          <w:lang w:val="ro-RO"/>
        </w:rPr>
        <w:t>JO C 184, 5.5.2022, p. 170.</w:t>
      </w:r>
    </w:p>
  </w:footnote>
  <w:footnote w:id="3">
    <w:p w:rsidR="00525B7C" w:rsidRPr="002410F1" w:rsidRDefault="00525B7C" w:rsidP="002410F1">
      <w:pPr>
        <w:pStyle w:val="FootnoteText"/>
        <w:ind w:left="567" w:hanging="567"/>
        <w:rPr>
          <w:sz w:val="24"/>
          <w:lang w:val="ro-RO"/>
        </w:rPr>
      </w:pPr>
      <w:r w:rsidRPr="002410F1">
        <w:rPr>
          <w:rStyle w:val="FootnoteReference"/>
          <w:sz w:val="24"/>
          <w:lang w:val="ro-RO"/>
        </w:rPr>
        <w:footnoteRef/>
      </w:r>
      <w:r w:rsidR="002410F1" w:rsidRPr="002410F1">
        <w:rPr>
          <w:sz w:val="24"/>
          <w:lang w:val="ro-RO"/>
        </w:rPr>
        <w:t xml:space="preserve"> </w:t>
      </w:r>
      <w:r w:rsidR="002410F1" w:rsidRPr="002410F1">
        <w:rPr>
          <w:sz w:val="24"/>
          <w:lang w:val="ro-RO"/>
        </w:rPr>
        <w:tab/>
      </w:r>
      <w:r w:rsidRPr="002410F1">
        <w:rPr>
          <w:sz w:val="24"/>
          <w:lang w:val="ro-RO"/>
        </w:rPr>
        <w:t>JO C 493, 27.12.2022, p. 32.</w:t>
      </w:r>
    </w:p>
  </w:footnote>
  <w:footnote w:id="4">
    <w:p w:rsidR="00525B7C" w:rsidRPr="002410F1" w:rsidRDefault="00525B7C" w:rsidP="002410F1">
      <w:pPr>
        <w:pStyle w:val="FootnoteText"/>
        <w:ind w:left="567" w:hanging="567"/>
        <w:rPr>
          <w:sz w:val="24"/>
          <w:lang w:val="ro-RO"/>
        </w:rPr>
      </w:pPr>
      <w:r w:rsidRPr="002410F1">
        <w:rPr>
          <w:rStyle w:val="FootnoteReference"/>
          <w:sz w:val="24"/>
          <w:lang w:val="ro-RO"/>
        </w:rPr>
        <w:footnoteRef/>
      </w:r>
      <w:r w:rsidR="002410F1" w:rsidRPr="002410F1">
        <w:rPr>
          <w:sz w:val="24"/>
          <w:lang w:val="ro-RO"/>
        </w:rPr>
        <w:t xml:space="preserve"> </w:t>
      </w:r>
      <w:r w:rsidR="002410F1" w:rsidRPr="002410F1">
        <w:rPr>
          <w:sz w:val="24"/>
          <w:lang w:val="ro-RO"/>
        </w:rPr>
        <w:tab/>
      </w:r>
      <w:r w:rsidRPr="002410F1">
        <w:rPr>
          <w:sz w:val="24"/>
          <w:lang w:val="ro-RO"/>
        </w:rPr>
        <w:t>JO C 125, 5.4.2023, p. 149.</w:t>
      </w:r>
    </w:p>
  </w:footnote>
  <w:footnote w:id="5">
    <w:p w:rsidR="00525B7C" w:rsidRPr="002410F1" w:rsidRDefault="00525B7C" w:rsidP="002410F1">
      <w:pPr>
        <w:pStyle w:val="FootnoteText"/>
        <w:ind w:left="567" w:hanging="567"/>
        <w:rPr>
          <w:sz w:val="24"/>
          <w:lang w:val="ro-RO"/>
        </w:rPr>
      </w:pPr>
      <w:r w:rsidRPr="002410F1">
        <w:rPr>
          <w:rStyle w:val="FootnoteReference"/>
          <w:sz w:val="24"/>
          <w:lang w:val="ro-RO"/>
        </w:rPr>
        <w:footnoteRef/>
      </w:r>
      <w:r w:rsidR="002410F1" w:rsidRPr="002410F1">
        <w:rPr>
          <w:sz w:val="24"/>
          <w:lang w:val="ro-RO"/>
        </w:rPr>
        <w:t xml:space="preserve"> </w:t>
      </w:r>
      <w:r w:rsidR="002410F1" w:rsidRPr="002410F1">
        <w:rPr>
          <w:sz w:val="24"/>
          <w:lang w:val="ro-RO"/>
        </w:rPr>
        <w:tab/>
      </w:r>
      <w:r w:rsidRPr="002410F1">
        <w:rPr>
          <w:sz w:val="24"/>
          <w:lang w:val="ro-RO"/>
        </w:rPr>
        <w:t xml:space="preserve">JO C, C/2024/4174, 2.8.2024, ELI: </w:t>
      </w:r>
      <w:r w:rsidR="003F2860">
        <w:fldChar w:fldCharType="begin"/>
      </w:r>
      <w:r w:rsidR="003F2860" w:rsidRPr="003F2860">
        <w:rPr>
          <w:lang w:val="fi-FI"/>
        </w:rPr>
        <w:instrText xml:space="preserve"> HYPERLINK "http://data.europa.eu/eli/C/2024/4174/oj" </w:instrText>
      </w:r>
      <w:r w:rsidR="003F2860">
        <w:fldChar w:fldCharType="separate"/>
      </w:r>
      <w:r w:rsidRPr="002410F1">
        <w:rPr>
          <w:rStyle w:val="Hyperlink"/>
          <w:sz w:val="24"/>
          <w:lang w:val="ro-RO"/>
        </w:rPr>
        <w:t>http://data.europa.eu/eli/C/2024/4174/oj</w:t>
      </w:r>
      <w:r w:rsidR="003F2860">
        <w:rPr>
          <w:rStyle w:val="Hyperlink"/>
          <w:sz w:val="24"/>
          <w:lang w:val="ro-RO"/>
        </w:rPr>
        <w:fldChar w:fldCharType="end"/>
      </w:r>
      <w:r w:rsidRPr="002410F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0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RO"/>
    <w:docVar w:name="dvnumam" w:val="0"/>
    <w:docVar w:name="dvpe" w:val="764.114"/>
    <w:docVar w:name="dvtitre" w:val="Rezoluția Parlamentului European din 24 octombrie 2024 referitoare la interpretarea greșită de către Republica Populară Chineză a Rezoluției 2758 a ONU și provocările sale militare continue în jurul Taiwanului(2024/2891(RSP))"/>
  </w:docVars>
  <w:rsids>
    <w:rsidRoot w:val="00FF6A93"/>
    <w:rsid w:val="00002272"/>
    <w:rsid w:val="00064002"/>
    <w:rsid w:val="000677B9"/>
    <w:rsid w:val="000831BA"/>
    <w:rsid w:val="000A42CC"/>
    <w:rsid w:val="000E7DD9"/>
    <w:rsid w:val="0010095E"/>
    <w:rsid w:val="00125B37"/>
    <w:rsid w:val="00187494"/>
    <w:rsid w:val="001F32AE"/>
    <w:rsid w:val="002410F1"/>
    <w:rsid w:val="002767FF"/>
    <w:rsid w:val="002B18FE"/>
    <w:rsid w:val="002B5493"/>
    <w:rsid w:val="002E5F81"/>
    <w:rsid w:val="00343214"/>
    <w:rsid w:val="00361C00"/>
    <w:rsid w:val="00395FA1"/>
    <w:rsid w:val="003E15D4"/>
    <w:rsid w:val="003F2860"/>
    <w:rsid w:val="00411CCE"/>
    <w:rsid w:val="0041666E"/>
    <w:rsid w:val="00421060"/>
    <w:rsid w:val="00471C19"/>
    <w:rsid w:val="004867E3"/>
    <w:rsid w:val="00494A28"/>
    <w:rsid w:val="004C0004"/>
    <w:rsid w:val="004C5D52"/>
    <w:rsid w:val="0050519A"/>
    <w:rsid w:val="005072A1"/>
    <w:rsid w:val="00514517"/>
    <w:rsid w:val="00525B7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067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A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4B5D2"/>
  <w15:chartTrackingRefBased/>
  <w15:docId w15:val="{B9E2FD20-FC3A-4ED1-AD87-9914561D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25B7C"/>
    <w:pPr>
      <w:spacing w:after="240"/>
      <w:ind w:left="567" w:hanging="567"/>
    </w:pPr>
  </w:style>
  <w:style w:type="paragraph" w:customStyle="1" w:styleId="EPComma">
    <w:name w:val="EPComma"/>
    <w:basedOn w:val="Normal"/>
    <w:rsid w:val="00525B7C"/>
    <w:pPr>
      <w:spacing w:before="480" w:after="240"/>
    </w:pPr>
  </w:style>
  <w:style w:type="character" w:customStyle="1" w:styleId="NormalHanging12aChar">
    <w:name w:val="NormalHanging12a Char"/>
    <w:basedOn w:val="DefaultParagraphFont"/>
    <w:link w:val="NormalHanging12a"/>
    <w:rsid w:val="00525B7C"/>
    <w:rPr>
      <w:sz w:val="24"/>
      <w:lang w:val="ro-RO"/>
    </w:rPr>
  </w:style>
  <w:style w:type="character" w:styleId="Hyperlink">
    <w:name w:val="Hyperlink"/>
    <w:basedOn w:val="DefaultParagraphFont"/>
    <w:rsid w:val="00525B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E4EC-5879-4173-9C7E-ECAD0B83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3813</Words>
  <Characters>22562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2024-11-19T09:56:00Z</dcterms:created>
  <dcterms:modified xsi:type="dcterms:W3CDTF">2024-11-19T09:56:00Z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B10-0134/2024</vt:lpwstr>
  </property>
  <property fmtid="{D5CDD505-2E9C-101B-9397-08002B2CF9AE}" pid="4" name="&lt;Type&gt;">
    <vt:lpwstr>RR</vt:lpwstr>
  </property>
</Properties>
</file>