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0A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0A3F" w:rsidRDefault="00A403B5" w:rsidP="0010095E">
            <w:pPr>
              <w:pStyle w:val="EPName"/>
            </w:pPr>
            <w:r w:rsidRPr="00F20A3F">
              <w:t>Európsky parlament</w:t>
            </w:r>
          </w:p>
          <w:p w:rsidR="00751A4A" w:rsidRPr="00F20A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0A3F">
              <w:t>2024</w:t>
            </w:r>
            <w:r w:rsidR="00817416" w:rsidRPr="00F20A3F">
              <w:t>-202</w:t>
            </w:r>
            <w:r w:rsidRPr="00F20A3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20A3F" w:rsidRDefault="00187494" w:rsidP="0010095E">
            <w:pPr>
              <w:pStyle w:val="EPLogo"/>
            </w:pPr>
            <w:r w:rsidRPr="00F20A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0A3F" w:rsidRDefault="00D058B8" w:rsidP="004C5D52">
      <w:pPr>
        <w:pStyle w:val="LineTop"/>
      </w:pPr>
    </w:p>
    <w:p w:rsidR="00680577" w:rsidRPr="00F20A3F" w:rsidRDefault="00A403B5" w:rsidP="00680577">
      <w:pPr>
        <w:pStyle w:val="EPBodyTA1"/>
      </w:pPr>
      <w:r w:rsidRPr="00F20A3F">
        <w:t>PRIJATÉ TEXTY</w:t>
      </w:r>
    </w:p>
    <w:p w:rsidR="00D058B8" w:rsidRPr="00F20A3F" w:rsidRDefault="00D058B8" w:rsidP="00D058B8">
      <w:pPr>
        <w:pStyle w:val="LineBottom"/>
      </w:pPr>
    </w:p>
    <w:p w:rsidR="00A403B5" w:rsidRPr="00F20A3F" w:rsidRDefault="00A403B5" w:rsidP="00A403B5">
      <w:pPr>
        <w:pStyle w:val="ATHeading1"/>
      </w:pPr>
      <w:bookmarkStart w:id="0" w:name="TANumber"/>
      <w:r w:rsidRPr="00F20A3F">
        <w:t>P10_TA(2024)00</w:t>
      </w:r>
      <w:r w:rsidR="00F06CE3" w:rsidRPr="00F20A3F">
        <w:t>30</w:t>
      </w:r>
      <w:bookmarkEnd w:id="0"/>
    </w:p>
    <w:p w:rsidR="00A403B5" w:rsidRPr="00F20A3F" w:rsidRDefault="00A403B5" w:rsidP="00A403B5">
      <w:pPr>
        <w:pStyle w:val="ATHeading2"/>
      </w:pPr>
      <w:bookmarkStart w:id="1" w:name="title"/>
      <w:r w:rsidRPr="00F20A3F">
        <w:t>Nesprávny výklad rezolúcie OSN č. 2758 Čínskou ľudovou republikou a jej pokračujúce vojenské provokácie v okolí Taiwanu</w:t>
      </w:r>
      <w:bookmarkEnd w:id="1"/>
    </w:p>
    <w:p w:rsidR="00A403B5" w:rsidRPr="00F20A3F" w:rsidRDefault="00A403B5" w:rsidP="00A403B5">
      <w:pPr>
        <w:rPr>
          <w:i/>
          <w:vanish/>
        </w:rPr>
      </w:pPr>
      <w:r w:rsidRPr="00F20A3F">
        <w:rPr>
          <w:i/>
        </w:rPr>
        <w:fldChar w:fldCharType="begin"/>
      </w:r>
      <w:r w:rsidRPr="00F20A3F">
        <w:rPr>
          <w:i/>
        </w:rPr>
        <w:instrText xml:space="preserve"> TC"(</w:instrText>
      </w:r>
      <w:bookmarkStart w:id="2" w:name="DocNumber"/>
      <w:r w:rsidRPr="00F20A3F">
        <w:rPr>
          <w:i/>
        </w:rPr>
        <w:instrText>B10-0134, 0135, 0137, 0138 a 0140/2024</w:instrText>
      </w:r>
      <w:bookmarkEnd w:id="2"/>
      <w:r w:rsidRPr="00F20A3F">
        <w:rPr>
          <w:i/>
        </w:rPr>
        <w:instrText xml:space="preserve">)"\l3 \n&gt; \* MERGEFORMAT </w:instrText>
      </w:r>
      <w:r w:rsidRPr="00F20A3F">
        <w:rPr>
          <w:i/>
        </w:rPr>
        <w:fldChar w:fldCharType="end"/>
      </w:r>
    </w:p>
    <w:p w:rsidR="00A403B5" w:rsidRPr="00F20A3F" w:rsidRDefault="00A403B5" w:rsidP="00A403B5">
      <w:pPr>
        <w:rPr>
          <w:vanish/>
        </w:rPr>
      </w:pPr>
      <w:bookmarkStart w:id="3" w:name="PE"/>
      <w:r w:rsidRPr="00F20A3F">
        <w:rPr>
          <w:vanish/>
        </w:rPr>
        <w:t>PE764.114</w:t>
      </w:r>
      <w:bookmarkEnd w:id="3"/>
    </w:p>
    <w:p w:rsidR="00A403B5" w:rsidRPr="00F20A3F" w:rsidRDefault="00A403B5" w:rsidP="00A403B5">
      <w:pPr>
        <w:pStyle w:val="ATHeading3"/>
      </w:pPr>
      <w:bookmarkStart w:id="4" w:name="Sujet"/>
      <w:r w:rsidRPr="00F20A3F">
        <w:t>Uznesenie Európskeho parlamentu z</w:t>
      </w:r>
      <w:r w:rsidR="00CA5298" w:rsidRPr="00F20A3F">
        <w:t> 24</w:t>
      </w:r>
      <w:r w:rsidRPr="00F20A3F">
        <w:t>. októbra 2024 o nesprávnom výklade rezolúcie OSN č. 2758 Čínskou ľudovou republikou a jej pokračujúcich vojenských provokáciách v okolí Taiwanu</w:t>
      </w:r>
      <w:bookmarkEnd w:id="4"/>
      <w:r w:rsidRPr="00F20A3F">
        <w:t xml:space="preserve"> </w:t>
      </w:r>
      <w:bookmarkStart w:id="5" w:name="References"/>
      <w:r w:rsidRPr="00F20A3F">
        <w:t>(2024/2891(RSP))</w:t>
      </w:r>
      <w:bookmarkEnd w:id="5"/>
    </w:p>
    <w:p w:rsidR="00335F7A" w:rsidRPr="00F20A3F" w:rsidRDefault="00335F7A" w:rsidP="00335F7A">
      <w:pPr>
        <w:pStyle w:val="EPComma"/>
      </w:pPr>
      <w:bookmarkStart w:id="6" w:name="TextBodyBegin"/>
      <w:bookmarkEnd w:id="6"/>
      <w:r w:rsidRPr="00F20A3F">
        <w:rPr>
          <w:i/>
          <w:iCs/>
        </w:rPr>
        <w:t>Európsky parlament</w:t>
      </w:r>
      <w:r w:rsidRPr="00F20A3F">
        <w:t>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svoje predchádzajúce uznesenia o Čínskej ľudovej republike (ďalej len „ČĽR“) a Taiwane,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svoje uznesenie zo 16. septembra 2021 o novej stratégii EÚ – Čína</w:t>
      </w:r>
      <w:r w:rsidRPr="00F20A3F">
        <w:rPr>
          <w:rStyle w:val="FootnoteReference"/>
        </w:rPr>
        <w:footnoteReference w:id="1"/>
      </w:r>
      <w:r w:rsidRPr="00F20A3F">
        <w:t>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svoje odporúčanie z 21. októbra 2021 podpredsedovi Komisie/vysokému predstaviteľovi Únie pre zahraničné veci a bezpečnostnú politiku o politických vzťahoch a spolupráci medzi EÚ a Taiwanom</w:t>
      </w:r>
      <w:r w:rsidRPr="00F20A3F">
        <w:rPr>
          <w:rStyle w:val="FootnoteReference"/>
        </w:rPr>
        <w:footnoteReference w:id="2"/>
      </w:r>
      <w:r w:rsidRPr="00F20A3F">
        <w:t>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svoje uznesenie zo 7. júna 2022 o EÚ a bezpečnostných výzvach v indicko-tichomorskom regióne</w:t>
      </w:r>
      <w:r w:rsidRPr="00F20A3F">
        <w:rPr>
          <w:rStyle w:val="FootnoteReference"/>
        </w:rPr>
        <w:footnoteReference w:id="3"/>
      </w:r>
      <w:r w:rsidRPr="00F20A3F">
        <w:t>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svoje uznesenie z 15. septembra 2022 o situácii v Taiwanskom prielive</w:t>
      </w:r>
      <w:r w:rsidRPr="00F20A3F">
        <w:rPr>
          <w:rStyle w:val="FootnoteReference"/>
        </w:rPr>
        <w:footnoteReference w:id="4"/>
      </w:r>
      <w:r w:rsidRPr="00F20A3F">
        <w:t>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svoje uznesenie z 13. decembra 2023 o obchodných a investičných vzťahoch medzi EÚ a Taiwanom</w:t>
      </w:r>
      <w:r w:rsidRPr="00F20A3F">
        <w:rPr>
          <w:rStyle w:val="FootnoteReference"/>
        </w:rPr>
        <w:footnoteReference w:id="5"/>
      </w:r>
      <w:r w:rsidRPr="00F20A3F">
        <w:t>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Strategický kompas pre bezpečnosť a obranu, ktorý Rada schválila 21. marca 2022,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 xml:space="preserve">so zreteľom na spoločné oznámenie Komisie a vysokého predstaviteľa Únie pre zahraničné veci a bezpečnostnú politiku zo 16. septembra 2021 s názvom Stratégia EÚ </w:t>
      </w:r>
      <w:r w:rsidRPr="00F20A3F">
        <w:lastRenderedPageBreak/>
        <w:t>pre spoluprácu v indicko-tichomorskom regióne (JOIN(2021)0024),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politiku „jednej Číny“, ktorú presadzuje EÚ,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samit EÚ – Čína, ktorý sa konal 7. decembra 2023,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závery Európskej rady o Číne z 30. júna 2023,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návštevy Taiwanu, ktoré uskutočnil Výbor pre zahraničné veci 25. až 27. júla 2023 a Výbor pre medzinárodný obchod 19. až 21. decembra 2022,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vyhlásenie hovorcu vysokého predstaviteľa Únie pre zahraničné veci a bezpečnostnú politiku z 1. septembra 2024 o najnovších nebezpečných operáciách v Juhočínskom mori,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vyhlásenia hovorcu vysokého predstaviteľa Únie pre zahraničné veci a bezpečnostnú politiku o vojenských cvičeniach Číny v okolí Taiwanu vrátane najnovšieho vyhlásenia zo 14. októbra 2024,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vyhlásenia ministrov zahraničných vecí štátov skupiny G7 z 18. apríla 2023 a 3. augusta 2022 o zachovaní mieru a stability v celom Taiwanskom prielive,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vyhlásenie predsedu zasadnutia zahraničných ministrov skupiny G7, ktoré sa konalo 23. septembra 2024,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spoločné vyhlásenie ministrov obrany skupiny G7 z 19. októbra 2024,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naliehavé uznesenie k Taiwanu, ktoré prijal austrálsky Senát 21. augusta 2024,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rezolúciu Valného zhromaždenia OSN 2758 (XXVI) z 25. októbra 1971,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uznesenie k rezolúcii OSN</w:t>
      </w:r>
      <w:bookmarkStart w:id="7" w:name="_GoBack"/>
      <w:bookmarkEnd w:id="7"/>
      <w:r w:rsidRPr="00F20A3F">
        <w:t> 2758, ktoré prijala holandská Druhá komora 12. septembra 2024,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tlačové vyhlásenie ministerstva zahraničných vecí USA z 13. októbra 2024,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Dohovor OSN o morskom práve (UNCLOS),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článok 7 Rámcového dohovoru OSN o zmene klímy (UNFCCC) uzavretého 9. mája 1992,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článok 5 stáleho rokovacieho poriadku zhromaždenia Medzinárodnej organizácie civilného letectva (ICAO),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článok 4 stanov Medzinárodnej organizácie kriminálnej polície (</w:t>
      </w:r>
      <w:proofErr w:type="spellStart"/>
      <w:r w:rsidRPr="00F20A3F">
        <w:t>Interpol</w:t>
      </w:r>
      <w:proofErr w:type="spellEnd"/>
      <w:r w:rsidRPr="00F20A3F">
        <w:t>),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článok 8 a článok 18 písm. h) Ústavy Svetovej zdravotníckej organizácie (WHO),</w:t>
      </w:r>
    </w:p>
    <w:p w:rsidR="00335F7A" w:rsidRPr="00F20A3F" w:rsidRDefault="00335F7A" w:rsidP="00335F7A">
      <w:pPr>
        <w:pStyle w:val="NormalHanging12a"/>
      </w:pPr>
      <w:r w:rsidRPr="00F20A3F">
        <w:t>–</w:t>
      </w:r>
      <w:r w:rsidRPr="00F20A3F">
        <w:tab/>
        <w:t>so zreteľom na článok 136 ods. 2 a 4 rokovacieho poriadku,</w:t>
      </w:r>
    </w:p>
    <w:p w:rsidR="00335F7A" w:rsidRPr="00F20A3F" w:rsidRDefault="00335F7A" w:rsidP="00335F7A">
      <w:pPr>
        <w:pStyle w:val="NormalHanging12a"/>
      </w:pPr>
      <w:r w:rsidRPr="00F20A3F">
        <w:lastRenderedPageBreak/>
        <w:t>A.</w:t>
      </w:r>
      <w:r w:rsidRPr="00F20A3F">
        <w:tab/>
        <w:t>keďže Valné zhromaždenie OSN 25. októbra 1971 schválilo rezolúciu OSN č. 2758 a oficiálne uznanie sa prenieslo z Čínskej republiky (Taiwan) na Čínsku ľudovú republiku (ČĽR); keďže Taiwan v súčasnosti nie je členom Organizácie Spojených národov, ale udržiava diplomatické vzťahy s 11 zo 193 členských štátov OSN, ako aj so Svätou stolicou;</w:t>
      </w:r>
    </w:p>
    <w:p w:rsidR="00335F7A" w:rsidRPr="00F20A3F" w:rsidRDefault="00335F7A" w:rsidP="00335F7A">
      <w:pPr>
        <w:pStyle w:val="NormalHanging12a"/>
      </w:pPr>
      <w:r w:rsidRPr="00F20A3F">
        <w:t>B.</w:t>
      </w:r>
      <w:r w:rsidRPr="00F20A3F">
        <w:tab/>
        <w:t>keďže EÚ a Taiwan sú podobne zmýšľajúci partneri, ktorí uznávajú spoločné hodnoty slobody, demokracie, ľudských práv a právneho štátu; keďže Taiwan je dynamická demokracia s prosperujúcou občianskou spoločnosťou; keďže 13. januára 2024 sa na Taiwane konali pokojné a dobre zorganizované voľby;</w:t>
      </w:r>
    </w:p>
    <w:p w:rsidR="00335F7A" w:rsidRPr="00F20A3F" w:rsidRDefault="00335F7A" w:rsidP="00335F7A">
      <w:pPr>
        <w:pStyle w:val="NormalHanging12a"/>
      </w:pPr>
      <w:r w:rsidRPr="00F20A3F">
        <w:t>C.</w:t>
      </w:r>
      <w:r w:rsidRPr="00F20A3F">
        <w:tab/>
        <w:t>keďže po prijatí rezolúcie OSN č. 2758 stratil Taiwan prístup k účasti na multilaterálnych fórach, ako je Svetová zdravotnícka organizácia;</w:t>
      </w:r>
    </w:p>
    <w:p w:rsidR="00335F7A" w:rsidRPr="00F20A3F" w:rsidRDefault="00335F7A" w:rsidP="00335F7A">
      <w:pPr>
        <w:pStyle w:val="NormalHanging12a"/>
      </w:pPr>
      <w:r w:rsidRPr="00F20A3F">
        <w:t>D.</w:t>
      </w:r>
      <w:r w:rsidRPr="00F20A3F">
        <w:tab/>
        <w:t>keďže Taiwan nikdy nebol súčasťou ČĽR; keďže Čínska republika vznikla v roku 1912 a ČĽR v roku 1949;</w:t>
      </w:r>
    </w:p>
    <w:p w:rsidR="00335F7A" w:rsidRPr="00F20A3F" w:rsidRDefault="00335F7A" w:rsidP="00335F7A">
      <w:pPr>
        <w:pStyle w:val="NormalHanging12a"/>
      </w:pPr>
      <w:r w:rsidRPr="00F20A3F">
        <w:t>E.</w:t>
      </w:r>
      <w:r w:rsidRPr="00F20A3F">
        <w:tab/>
        <w:t>keďže rezolúcia OSN č. 2758 sa zaoberá postavením ČĽR, ale neuvádza, že by ČĽR mala zvrchovanosť nad Taiwanom, ani sa v nej nerozhoduje o budúcom začlenení Taiwanu do OSN alebo akejkoľvek inej medzinárodnej organizácie; keďže však ČĽR naďalej nesprávne vykladá rezolúciu OSN č. 2758 tak, aby zabránila zmysluplnej účasti Taiwanu v medzinárodných organizáciách a jednostranne zmenila súčasný stav; keďže ČĽR týmito krokmi prejavuje svoju ambíciu zmeniť existujúci mnohostranný medzinárodný poriadok a podkopať medzinárodné právo a možno ich považovať za vyjadrenie systémovej rivality;</w:t>
      </w:r>
    </w:p>
    <w:p w:rsidR="00335F7A" w:rsidRPr="00F20A3F" w:rsidRDefault="00335F7A" w:rsidP="00335F7A">
      <w:pPr>
        <w:pStyle w:val="NormalHanging12a"/>
      </w:pPr>
      <w:r w:rsidRPr="00F20A3F">
        <w:t>F.</w:t>
      </w:r>
      <w:r w:rsidRPr="00F20A3F">
        <w:tab/>
        <w:t>keďže EÚ naďalej obhajuje svoju vlastnú politiku „jednej Číny“, ktorá sa líši od zásady „jednej Číny“ presadzovanej ČĽR; keďže dlhodobým postojom EÚ je podporovať súčasný stav a mierové riešenie sporov v Taiwanskom prielive a zároveň podporovať dialóg a konštruktívne zapojenie;</w:t>
      </w:r>
    </w:p>
    <w:p w:rsidR="00335F7A" w:rsidRPr="00F20A3F" w:rsidRDefault="00335F7A" w:rsidP="00335F7A">
      <w:pPr>
        <w:pStyle w:val="NormalHanging12a"/>
      </w:pPr>
      <w:r w:rsidRPr="00F20A3F">
        <w:t>G.</w:t>
      </w:r>
      <w:r w:rsidRPr="00F20A3F">
        <w:tab/>
        <w:t>keďže členovia skupiny G7 vo svojom vyhlásení z 23. septembra 2024 okrem iného zdôraznili svoju podporu pre „zmysluplnú účasť Taiwanu ako člena v medzinárodných organizáciách, pokiaľ štátnosť nie je podmienkou, a ako pozorovateľa alebo hosťa, ak podmienkou je“;</w:t>
      </w:r>
    </w:p>
    <w:p w:rsidR="00335F7A" w:rsidRPr="00F20A3F" w:rsidRDefault="00335F7A" w:rsidP="00335F7A">
      <w:pPr>
        <w:pStyle w:val="NormalHanging12a"/>
      </w:pPr>
      <w:r w:rsidRPr="00F20A3F">
        <w:t>H.</w:t>
      </w:r>
      <w:r w:rsidRPr="00F20A3F">
        <w:tab/>
        <w:t>keďže podpora účasti Taiwanu v medzinárodných organizáciách neoslabuje záväzok EÚ presadzovať jej politiku „jednej Číny“, ktorá zostáva politickým základom vzťahov medzi EÚ a Čínou;</w:t>
      </w:r>
    </w:p>
    <w:p w:rsidR="00335F7A" w:rsidRPr="00F20A3F" w:rsidRDefault="00335F7A" w:rsidP="00335F7A">
      <w:pPr>
        <w:pStyle w:val="NormalHanging12a"/>
      </w:pPr>
      <w:r w:rsidRPr="00F20A3F">
        <w:t>I.</w:t>
      </w:r>
      <w:r w:rsidRPr="00F20A3F">
        <w:tab/>
        <w:t>keďže sa ČĽR v poslednom desaťročí neustále snaží zvyšovať svoj vplyv na medzinárodné inštitúcie, a tým obmedziť Taiwan a brániť držiteľom taiwanských pasov vrátane novinárov, pracovníkov mimovládnych organizácií a politických aktivistov v prístupe k medzinárodným inštitúciám; keďže ČĽR vykonáva nadnárodné represie tým, že zneužíva zmluvy o vydávaní osôb, pričom sa zameriava na občanov Taiwanu v zahraničí, a tým ich vystavuje riziku svojvoľného prenasledovania a porušovania ľudských práv;</w:t>
      </w:r>
    </w:p>
    <w:p w:rsidR="00335F7A" w:rsidRPr="00F20A3F" w:rsidRDefault="00335F7A" w:rsidP="00335F7A">
      <w:pPr>
        <w:pStyle w:val="NormalHanging12a"/>
      </w:pPr>
      <w:r w:rsidRPr="00F20A3F">
        <w:t>J.</w:t>
      </w:r>
      <w:r w:rsidRPr="00F20A3F">
        <w:tab/>
        <w:t xml:space="preserve">keďže stanovy väčšiny medzinárodných organizácií poverených riešením globálnych otázok vrátane WHO, UNFCCC, </w:t>
      </w:r>
      <w:proofErr w:type="spellStart"/>
      <w:r w:rsidRPr="00F20A3F">
        <w:t>Interpolu</w:t>
      </w:r>
      <w:proofErr w:type="spellEnd"/>
      <w:r w:rsidRPr="00F20A3F">
        <w:t xml:space="preserve"> a ICAO poskytujú subjektom ako Taiwan príležitosť zapojiť sa bez toho, aby boli porušené práva členských štátov;</w:t>
      </w:r>
    </w:p>
    <w:p w:rsidR="00335F7A" w:rsidRPr="00F20A3F" w:rsidRDefault="00335F7A" w:rsidP="00335F7A">
      <w:pPr>
        <w:pStyle w:val="NormalHanging12a"/>
      </w:pPr>
      <w:r w:rsidRPr="00F20A3F">
        <w:lastRenderedPageBreak/>
        <w:t>K.</w:t>
      </w:r>
      <w:r w:rsidRPr="00F20A3F">
        <w:tab/>
        <w:t>keďže Taiwan neustále preukazuje mierový a kooperatívny postoj na celom svete, výrazne posilnil globálny vývoj, a teda by mohol výrazne prispieť k práci rôznych medzinárodných organizácií;</w:t>
      </w:r>
    </w:p>
    <w:p w:rsidR="00335F7A" w:rsidRPr="00F20A3F" w:rsidRDefault="00335F7A" w:rsidP="00335F7A">
      <w:pPr>
        <w:pStyle w:val="NormalHanging12a"/>
      </w:pPr>
      <w:r w:rsidRPr="00F20A3F">
        <w:t>L.</w:t>
      </w:r>
      <w:r w:rsidRPr="00F20A3F">
        <w:tab/>
        <w:t>keďže ČĽR je štátom jednej strany, ktorý plne kontroluje a riadi Komunistická strana Číny;</w:t>
      </w:r>
    </w:p>
    <w:p w:rsidR="00335F7A" w:rsidRPr="00F20A3F" w:rsidRDefault="00335F7A" w:rsidP="00335F7A">
      <w:pPr>
        <w:pStyle w:val="NormalHanging12a"/>
      </w:pPr>
      <w:r w:rsidRPr="00F20A3F">
        <w:t>M.</w:t>
      </w:r>
      <w:r w:rsidRPr="00F20A3F">
        <w:tab/>
        <w:t xml:space="preserve">keďže taiwanský prezident </w:t>
      </w:r>
      <w:proofErr w:type="spellStart"/>
      <w:r w:rsidRPr="00F20A3F">
        <w:t>Laj</w:t>
      </w:r>
      <w:proofErr w:type="spellEnd"/>
      <w:r w:rsidRPr="00F20A3F">
        <w:t xml:space="preserve"> </w:t>
      </w:r>
      <w:proofErr w:type="spellStart"/>
      <w:r w:rsidRPr="00F20A3F">
        <w:t>Čching-te</w:t>
      </w:r>
      <w:proofErr w:type="spellEnd"/>
      <w:r w:rsidRPr="00F20A3F">
        <w:t xml:space="preserve"> vo svojom prejave 10. októbra 2024, ktorý je taiwanským národným dňom, uviedol, že ČĽR nemá „právo zastupovať Taiwan“, a zopakoval, že obe strany si nie sú navzájom „podriadené“; keďže ČĽR odôvodnila svoje nedávne vojenské cvičenie tvrdením, že prezident </w:t>
      </w:r>
      <w:proofErr w:type="spellStart"/>
      <w:r w:rsidRPr="00F20A3F">
        <w:t>Laj</w:t>
      </w:r>
      <w:proofErr w:type="spellEnd"/>
      <w:r w:rsidRPr="00F20A3F">
        <w:t xml:space="preserve"> </w:t>
      </w:r>
      <w:proofErr w:type="spellStart"/>
      <w:r w:rsidRPr="00F20A3F">
        <w:t>Čching-te</w:t>
      </w:r>
      <w:proofErr w:type="spellEnd"/>
      <w:r w:rsidRPr="00F20A3F">
        <w:t xml:space="preserve"> uplatňuje separatistickú stratégiu;</w:t>
      </w:r>
    </w:p>
    <w:p w:rsidR="00335F7A" w:rsidRPr="00F20A3F" w:rsidRDefault="00335F7A" w:rsidP="00335F7A">
      <w:pPr>
        <w:pStyle w:val="NormalHanging12a"/>
      </w:pPr>
      <w:r w:rsidRPr="00F20A3F">
        <w:t>N.</w:t>
      </w:r>
      <w:r w:rsidRPr="00F20A3F">
        <w:tab/>
        <w:t xml:space="preserve">keďže 14. októbra 2024 ČĽR začala rozsiahle vojenské cvičenie s názvom </w:t>
      </w:r>
      <w:proofErr w:type="spellStart"/>
      <w:r w:rsidRPr="00F20A3F">
        <w:t>Joint</w:t>
      </w:r>
      <w:proofErr w:type="spellEnd"/>
      <w:r w:rsidRPr="00F20A3F">
        <w:t xml:space="preserve"> Sword-2024B, ktoré simulovalo blokádu Taiwanu; keďže počas tohto cvičenia bol v okolí Taiwanu zistený rekordný počet 153 lietadiel ČĽR, 18 vojnových lodí a 17 lodí pobrežnej stráže ČĽR;</w:t>
      </w:r>
    </w:p>
    <w:p w:rsidR="00335F7A" w:rsidRPr="00F20A3F" w:rsidRDefault="00335F7A" w:rsidP="00335F7A">
      <w:pPr>
        <w:pStyle w:val="NormalHanging12a"/>
      </w:pPr>
      <w:r w:rsidRPr="00F20A3F">
        <w:t>O.</w:t>
      </w:r>
      <w:r w:rsidRPr="00F20A3F">
        <w:tab/>
        <w:t xml:space="preserve">keďže štyri útvary lodí pobrežnej stráže ČĽR počas cvičení hliadkovali ostrov a krátko vstúpili do jeho vymedzených vôd; keďže veľmi časté nasadzovanie lodí pobrežnej stráže zo strany ČĽR v Taiwanskom prielive, ktoré ČĽR považuje za misie na presadzovanie práva, vyvíja neustály tlak na taiwanské orgány a nebezpečne zvyšuje riziko kolízií, čo je jedným z najkonkrétnejších náznakov zámeru ČĽR narušiť status </w:t>
      </w:r>
      <w:proofErr w:type="spellStart"/>
      <w:r w:rsidRPr="00F20A3F">
        <w:t>quo</w:t>
      </w:r>
      <w:proofErr w:type="spellEnd"/>
      <w:r w:rsidRPr="00F20A3F">
        <w:t>; keďže cvičenia, ktoré sa začali 14. októbra 2024, boli za uplynulé viac ako dva roky už štvrtým kolom rozsiahlych vojenských manévrov ČĽR;</w:t>
      </w:r>
    </w:p>
    <w:p w:rsidR="00335F7A" w:rsidRPr="00F20A3F" w:rsidRDefault="00335F7A" w:rsidP="00335F7A">
      <w:pPr>
        <w:pStyle w:val="NormalHanging12a"/>
      </w:pPr>
      <w:r w:rsidRPr="00F20A3F">
        <w:t>P.</w:t>
      </w:r>
      <w:r w:rsidRPr="00F20A3F">
        <w:tab/>
        <w:t xml:space="preserve">keďže Taiwan tieto činnosti, ktoré sú zatiaľ poslednými v sérii vojnových aktivít vedených ČĽR proti Taiwanu, odsúdil ako „neprimeranú provokáciu“; keďže tieto vojenské cvičenia sa uskutočnili niekoľko dní po tom, ako nový taiwanský prezident </w:t>
      </w:r>
      <w:proofErr w:type="spellStart"/>
      <w:r w:rsidRPr="00F20A3F">
        <w:t>Laj</w:t>
      </w:r>
      <w:proofErr w:type="spellEnd"/>
      <w:r w:rsidRPr="00F20A3F">
        <w:t xml:space="preserve"> </w:t>
      </w:r>
      <w:proofErr w:type="spellStart"/>
      <w:r w:rsidRPr="00F20A3F">
        <w:t>Čching-te</w:t>
      </w:r>
      <w:proofErr w:type="spellEnd"/>
      <w:r w:rsidRPr="00F20A3F">
        <w:t xml:space="preserve"> predniesol prejav, v ktorom sa zaviazal chrániť zvrchovanosť Taiwanu pred výzvami z ČĽR;</w:t>
      </w:r>
    </w:p>
    <w:p w:rsidR="00335F7A" w:rsidRPr="00F20A3F" w:rsidRDefault="00335F7A" w:rsidP="00335F7A">
      <w:pPr>
        <w:pStyle w:val="NormalHanging12a"/>
      </w:pPr>
      <w:r w:rsidRPr="00F20A3F">
        <w:t>Q.</w:t>
      </w:r>
      <w:r w:rsidRPr="00F20A3F">
        <w:tab/>
        <w:t>keďže stredová čiara, ktorá bola vytvorená na základe desaťročnej tichej dohody medzi oboma stranami Taiwanského prielivu, bola v snahe znížiť riziko konfliktu navrhnutá tak, aby vojenské lietadlá z oboch strán prielivu zostali v bezpečnej vzdialenosti a aby sa predišlo nesprávnym odhadom s fatálnymi následkami; keďže Ľudová oslobodzovacia armáda ČĽR porušila stredovú čiaru v rokoch 1954 až 2020 len štyrikrát, ale v súčasnosti pravidelné preniknutia za túto čiaru naznačujú zámer Pekingu nezvratne zmeniť dlhodobo platné kritériá;</w:t>
      </w:r>
    </w:p>
    <w:p w:rsidR="00335F7A" w:rsidRPr="00F20A3F" w:rsidRDefault="00335F7A" w:rsidP="00335F7A">
      <w:pPr>
        <w:pStyle w:val="NormalHanging12a"/>
      </w:pPr>
      <w:r w:rsidRPr="00F20A3F">
        <w:t>R.</w:t>
      </w:r>
      <w:r w:rsidRPr="00F20A3F">
        <w:tab/>
        <w:t xml:space="preserve">keďže v tlačových vyhláseniach vysokého predstaviteľa Únie pre zahraničné veci a bezpečnostnú politiku a ministerstva zahraničných vecí USA sa opätovne potvrdzuje, že mier a stabilita v Taiwanskom prielive majú strategický význam pre regionálnu a globálnu bezpečnosť a prosperitu; keďže vo vyhlásení vysokého predstaviteľa sa pripomína potreba zachovať status </w:t>
      </w:r>
      <w:proofErr w:type="spellStart"/>
      <w:r w:rsidRPr="00F20A3F">
        <w:t>quo</w:t>
      </w:r>
      <w:proofErr w:type="spellEnd"/>
      <w:r w:rsidRPr="00F20A3F">
        <w:t xml:space="preserve"> v Taiwanskom prielive, postaviť sa proti akýmkoľvek jednostranným krokom, ktoré sa snažia násilím alebo nátlakom zmeniť súčasný stav, a vyzvať všetky strany, aby konali zdržanlivo a vyhli sa akýmkoľvek krokom, ktoré by mohli ďalej stupňovať napätie medzi Taiwanom a ČĽR;</w:t>
      </w:r>
    </w:p>
    <w:p w:rsidR="00335F7A" w:rsidRPr="00F20A3F" w:rsidRDefault="00335F7A" w:rsidP="00335F7A">
      <w:pPr>
        <w:pStyle w:val="NormalHanging12a"/>
      </w:pPr>
      <w:r w:rsidRPr="00F20A3F">
        <w:t>S.</w:t>
      </w:r>
      <w:r w:rsidRPr="00F20A3F">
        <w:tab/>
        <w:t xml:space="preserve">keďže ČĽR 23. mája 2024 začala vojenské cvičenie s názvom </w:t>
      </w:r>
      <w:proofErr w:type="spellStart"/>
      <w:r w:rsidRPr="00F20A3F">
        <w:t>Joint</w:t>
      </w:r>
      <w:proofErr w:type="spellEnd"/>
      <w:r w:rsidRPr="00F20A3F">
        <w:t xml:space="preserve"> Sword-2024A, len niekoľko dní po tom, čo bol inaugurovaný nový prezident Taiwanu </w:t>
      </w:r>
      <w:proofErr w:type="spellStart"/>
      <w:r w:rsidRPr="00F20A3F">
        <w:t>Laj</w:t>
      </w:r>
      <w:proofErr w:type="spellEnd"/>
      <w:r w:rsidRPr="00F20A3F">
        <w:t xml:space="preserve"> </w:t>
      </w:r>
      <w:proofErr w:type="spellStart"/>
      <w:r w:rsidRPr="00F20A3F">
        <w:t>Čching-te</w:t>
      </w:r>
      <w:proofErr w:type="spellEnd"/>
      <w:r w:rsidRPr="00F20A3F">
        <w:t>;</w:t>
      </w:r>
    </w:p>
    <w:p w:rsidR="00335F7A" w:rsidRPr="00F20A3F" w:rsidRDefault="00335F7A" w:rsidP="00335F7A">
      <w:pPr>
        <w:pStyle w:val="NormalHanging12a"/>
      </w:pPr>
      <w:r w:rsidRPr="00F20A3F">
        <w:lastRenderedPageBreak/>
        <w:t>T.</w:t>
      </w:r>
      <w:r w:rsidRPr="00F20A3F">
        <w:tab/>
        <w:t>keďže ČĽR za posledných pár rokov uskutočnila v okolí Taiwanu podobné vojenské cvičenia; keďže sa tieto vojenské cvičenia zintenzívnili a približujú sa k územiu Taiwanu; keďže počas predchádzajúceho cvičenia v auguste 2022 ČĽR vystrelila riadené strely aj do výhradnej hospodárskej zóny Japonska;</w:t>
      </w:r>
    </w:p>
    <w:p w:rsidR="00335F7A" w:rsidRPr="00F20A3F" w:rsidRDefault="00335F7A" w:rsidP="00335F7A">
      <w:pPr>
        <w:pStyle w:val="NormalHanging12a"/>
      </w:pPr>
      <w:r w:rsidRPr="00F20A3F">
        <w:t>U.</w:t>
      </w:r>
      <w:r w:rsidRPr="00F20A3F">
        <w:tab/>
        <w:t>keďže okrem vojenského tlaku ČĽR už dlho uplatňuje voči Taiwanu sofistikovanú stratégiu, pri ktorej využíva zahraničnú manipuláciu s informáciami a zahraničné zasahovanie vrátane hybridných a kybernetických útokov a ktorej cieľom je oslabiť demokratickú spoločnosť na Taiwane;</w:t>
      </w:r>
    </w:p>
    <w:p w:rsidR="00335F7A" w:rsidRPr="00F20A3F" w:rsidRDefault="00335F7A" w:rsidP="00335F7A">
      <w:pPr>
        <w:pStyle w:val="NormalHanging12a"/>
      </w:pPr>
      <w:r w:rsidRPr="00F20A3F">
        <w:t>V.</w:t>
      </w:r>
      <w:r w:rsidRPr="00F20A3F">
        <w:tab/>
        <w:t xml:space="preserve">keďže ČĽR pod vedením Si </w:t>
      </w:r>
      <w:proofErr w:type="spellStart"/>
      <w:r w:rsidRPr="00F20A3F">
        <w:t>Ťin-pchinga</w:t>
      </w:r>
      <w:proofErr w:type="spellEnd"/>
      <w:r w:rsidRPr="00F20A3F">
        <w:t xml:space="preserve"> vyhlásila, že v záujme zjednotenia s Taiwanom sa nezriekne použitia sily;</w:t>
      </w:r>
    </w:p>
    <w:p w:rsidR="00335F7A" w:rsidRPr="00F20A3F" w:rsidRDefault="00335F7A" w:rsidP="00335F7A">
      <w:pPr>
        <w:pStyle w:val="NormalHanging12a"/>
      </w:pPr>
      <w:r w:rsidRPr="00F20A3F">
        <w:t>W.</w:t>
      </w:r>
      <w:r w:rsidRPr="00F20A3F">
        <w:tab/>
        <w:t xml:space="preserve">keďže </w:t>
      </w:r>
      <w:proofErr w:type="spellStart"/>
      <w:r w:rsidRPr="00F20A3F">
        <w:t>antiseparačný</w:t>
      </w:r>
      <w:proofErr w:type="spellEnd"/>
      <w:r w:rsidRPr="00F20A3F">
        <w:t xml:space="preserve"> zákon ČĽR z roku 2005 umožňuje použitie sily na základe vágnych kritérií v záujme dosiahnutia toho, čo ČĽR nazýva „zjednotenie“ s Taiwanom; keďže takáto vojenská akcia predstavuje vážnu hrozbu pre bezpečnosť a stabilitu celého regiónu a môže mať katastrofálne dôsledky pre celý svet; keďže odrádzajúce opatrenia EÚ a USA majú strategický význam, aby sa ČĽR zabránilo v akýchkoľvek jednostranných krokoch voči Taiwanu;</w:t>
      </w:r>
    </w:p>
    <w:p w:rsidR="00335F7A" w:rsidRPr="00F20A3F" w:rsidRDefault="00335F7A" w:rsidP="00335F7A">
      <w:pPr>
        <w:pStyle w:val="NormalHanging12a"/>
      </w:pPr>
      <w:r w:rsidRPr="00F20A3F">
        <w:t>X.</w:t>
      </w:r>
      <w:r w:rsidRPr="00F20A3F">
        <w:tab/>
        <w:t>keďže čoraz agresívnejšie správanie ČĽR, najmä v jej vlastnom susedstve, ako je Taiwanský prieliv a Juhočínske more, predstavuje riziko pre regionálnu a globálnu bezpečnosť; keďže od roku 2019 ČĽR čoraz pravidelnejšie narúša taiwanské identifikačné pásmo protivzdušnej obrany (ďalej len „ADIZ“); keďže ČĽR sa v rozľahlých oblastiach indicko-tichomorského regiónu správa agresívne a vyvíja rôzne stupne vojenského alebo hospodárskeho nátlaku, čo viedlo k sporom so susedmi, ako sú Japonsko, India, Filipíny a Austrália;</w:t>
      </w:r>
    </w:p>
    <w:p w:rsidR="00335F7A" w:rsidRPr="00F20A3F" w:rsidRDefault="00335F7A" w:rsidP="00335F7A">
      <w:pPr>
        <w:pStyle w:val="NormalHanging12a"/>
      </w:pPr>
      <w:r w:rsidRPr="00F20A3F">
        <w:t>Y.</w:t>
      </w:r>
      <w:r w:rsidRPr="00F20A3F">
        <w:tab/>
        <w:t>keďže EÚ odsúdila nebezpečné činnosti čínskych plavidiel pobrežnej stráže proti zákonným námorným operáciám Filipín v Juhočínskom mori z 31. augusta 2024; keďže tento incident je posledný zo série udalostí, ktoré ohrozujú bezpečnosť života na mori a porušujú právo na slobodu plavby a preletu v súlade s medzinárodným právom; keďže námorná bezpečnosť a sloboda plavby sa musia zabezpečiť v súlade s medzinárodným právom, a najmä dohovorom UNCLOS;</w:t>
      </w:r>
    </w:p>
    <w:p w:rsidR="00335F7A" w:rsidRPr="00F20A3F" w:rsidRDefault="00335F7A" w:rsidP="00335F7A">
      <w:pPr>
        <w:pStyle w:val="NormalHanging12a"/>
        <w:rPr>
          <w:shd w:val="clear" w:color="auto" w:fill="FFFFFF"/>
        </w:rPr>
      </w:pPr>
      <w:r w:rsidRPr="00F20A3F">
        <w:t>Z.</w:t>
      </w:r>
      <w:r w:rsidRPr="00F20A3F">
        <w:tab/>
        <w:t>keďže ČĽR podporuje útočnú vojnu Ruska proti Ukrajine najmä tým, že do Ruska vyváža tovar s dvojakým použitím a že sa spoločnosti so sídlom v ČĽR neustále zapájajú do vyhýbania sa sankciám a ich obchádzania;</w:t>
      </w:r>
    </w:p>
    <w:p w:rsidR="00335F7A" w:rsidRPr="00F20A3F" w:rsidRDefault="00335F7A" w:rsidP="00335F7A">
      <w:pPr>
        <w:pStyle w:val="NormalHanging12a"/>
      </w:pPr>
      <w:r w:rsidRPr="00F20A3F">
        <w:t>AA.</w:t>
      </w:r>
      <w:r w:rsidRPr="00F20A3F">
        <w:tab/>
        <w:t>keďže ČĽR ako stály člen Bezpečnostnej rady OSN nesie zodpovednosť za snahy o mier a stabilitu v regióne, a to predovšetkým v Taiwanskom prielive;</w:t>
      </w:r>
    </w:p>
    <w:p w:rsidR="00335F7A" w:rsidRPr="00F20A3F" w:rsidRDefault="00335F7A" w:rsidP="00335F7A">
      <w:pPr>
        <w:pStyle w:val="NormalHanging12a"/>
      </w:pPr>
      <w:r w:rsidRPr="00F20A3F">
        <w:t>AB.</w:t>
      </w:r>
      <w:r w:rsidRPr="00F20A3F">
        <w:tab/>
        <w:t>keďže EÚ a jej členské štáty prostredníctvom svojej stratégie spolupráce v indicko-tichomorskom regióne z roku 2021 zintenzívnili svoju prítomnosť v regióne vrátane posilnenej vojenskej prítomnosti určitých členských štátov a pokračujúcich plavieb vojenských lodí cez Taiwanský prieliv;</w:t>
      </w:r>
    </w:p>
    <w:p w:rsidR="00335F7A" w:rsidRPr="00F20A3F" w:rsidRDefault="00335F7A" w:rsidP="00335F7A">
      <w:pPr>
        <w:pStyle w:val="NormalHanging12a"/>
      </w:pPr>
      <w:r w:rsidRPr="00F20A3F">
        <w:t>AC.</w:t>
      </w:r>
      <w:r w:rsidRPr="00F20A3F">
        <w:tab/>
        <w:t xml:space="preserve">keďže Taiwan má strategickú obchodnú polohu, najmä pokiaľ ide o dodávateľské reťazce špičkových technológií; keďže Taiwanský prieliv je hlavnou trasou pre lode smerujúce z Číny, Japonska, Južnej Kórey a Taiwanu do Európy; keďže Taiwan má dominantné postavenie na trhoch výroby polovodičov, pretože jeho výrobcovia </w:t>
      </w:r>
      <w:r w:rsidRPr="00F20A3F">
        <w:lastRenderedPageBreak/>
        <w:t>vyrábajú približne 50 % všetkých polovodičov na svete; keďže v stratégii EÚ pre spoluprácu v indicko-tichomorskom regióne sa presadzuje zintenzívnenie obchodnej a investičnej spolupráce s Taiwanom;</w:t>
      </w:r>
    </w:p>
    <w:p w:rsidR="00335F7A" w:rsidRPr="00F20A3F" w:rsidRDefault="00335F7A" w:rsidP="00335F7A">
      <w:pPr>
        <w:pStyle w:val="NormalHanging12a"/>
      </w:pPr>
      <w:r w:rsidRPr="00F20A3F">
        <w:t>AD.</w:t>
      </w:r>
      <w:r w:rsidRPr="00F20A3F">
        <w:tab/>
        <w:t>keďže EÚ je po ČĽR, Spojených štátoch amerických a Japonsku štvrtým najväčším obchodným partnerom Taiwanu; keďže v roku 2022 bol Taiwan 12. najväčším obchodným partnerom EÚ; keďže EÚ je najväčším zdrojom priamych zahraničných investícií v Taiwane; keďže taiwanské investície v EÚ sú aj naďalej pod úrovňou svojho potenciálu;</w:t>
      </w:r>
    </w:p>
    <w:p w:rsidR="00335F7A" w:rsidRPr="00F20A3F" w:rsidRDefault="00335F7A" w:rsidP="00335F7A">
      <w:pPr>
        <w:pStyle w:val="NormalHanging12a"/>
      </w:pPr>
      <w:r w:rsidRPr="00F20A3F">
        <w:t>AE.</w:t>
      </w:r>
      <w:r w:rsidRPr="00F20A3F">
        <w:tab/>
        <w:t>keďže poslanci austrálskeho Senátu a holandskej Druhej komory nedávno prijali uznesenia týkajúce sa skresľovania rezolúcie OSN č. 2758 zo strany ČĽR a vyzvali na podporu väčšej účasti Taiwanu v multilaterálnych organizáciách;</w:t>
      </w:r>
    </w:p>
    <w:p w:rsidR="00335F7A" w:rsidRPr="00F20A3F" w:rsidRDefault="00335F7A" w:rsidP="00335F7A">
      <w:pPr>
        <w:pStyle w:val="NormalHanging12a"/>
      </w:pPr>
      <w:r w:rsidRPr="00F20A3F">
        <w:t>1.</w:t>
      </w:r>
      <w:r w:rsidRPr="00F20A3F">
        <w:tab/>
        <w:t>opakuje, že Taiwan je kľúčovým partnerom EÚ a podobne zmýšľajúcim demokratickým priateľom v indicko-tichomorskom regióne; oceňuje Taiwan a taiwanský ľud za ich silnú demokraciu a dynamickú občiansku spoločnosť, o čom opätovne svedčia pokojné a dobre zorganizované voľby z 13. januára 2024;</w:t>
      </w:r>
    </w:p>
    <w:p w:rsidR="00335F7A" w:rsidRPr="00F20A3F" w:rsidRDefault="00335F7A" w:rsidP="00335F7A">
      <w:pPr>
        <w:pStyle w:val="NormalHanging12a"/>
      </w:pPr>
      <w:r w:rsidRPr="00F20A3F">
        <w:t>2.</w:t>
      </w:r>
      <w:r w:rsidRPr="00F20A3F">
        <w:tab/>
        <w:t xml:space="preserve">vznáša námietku voči neustálemu skresľovaniu rezolúcie OSN č. 2758 zo strany ČĽR a jej úsiliu o blokovanie účasti Taiwanu v multilaterálnych organizáciách; vyzýva EÚ a jej členské štáty, aby podporovali zmysluplnú účasť Taiwanu v príslušných medzinárodných organizáciách, ako sú WHO, ICAO, </w:t>
      </w:r>
      <w:proofErr w:type="spellStart"/>
      <w:r w:rsidRPr="00F20A3F">
        <w:t>Interpol</w:t>
      </w:r>
      <w:proofErr w:type="spellEnd"/>
      <w:r w:rsidRPr="00F20A3F">
        <w:t xml:space="preserve"> a UNFCCC; ďalej vyzýva sekretariát OSN, aby udelil taiwanským štátnym príslušníkom a novinárom právo na vstup do priestorov OSN na účely návštev, stretnutí a novinárskych činností;</w:t>
      </w:r>
    </w:p>
    <w:p w:rsidR="00335F7A" w:rsidRPr="00F20A3F" w:rsidRDefault="00335F7A" w:rsidP="00335F7A">
      <w:pPr>
        <w:pStyle w:val="NormalHanging12a"/>
      </w:pPr>
      <w:r w:rsidRPr="00F20A3F">
        <w:t>3.</w:t>
      </w:r>
      <w:r w:rsidRPr="00F20A3F">
        <w:tab/>
        <w:t>dôrazne odsudzuje neodôvodnené vojenské cvičenia ČĽR zo 14. októbra 2024, jej neprestávajúce vojenské provokácie voči Taiwanu a neustále posilňovanie vojenskej prítomnosti, ktoré mení rovnováhu moci v indicko-tichomorskom regióne, a opakuje, že dôrazne odmieta akúkoľvek jednostrannú zmenu súčasného stavu v Taiwanskom prielive; oceňuje zdržanlivú a disciplinovanú reakciu taiwanských orgánov a vyzýva na pravidelnú komunikáciu medzi EÚ a jej taiwanskými partnermi o relevantných bezpečnostných otázkach;</w:t>
      </w:r>
    </w:p>
    <w:p w:rsidR="00335F7A" w:rsidRPr="00F20A3F" w:rsidRDefault="00335F7A" w:rsidP="00335F7A">
      <w:pPr>
        <w:pStyle w:val="NormalHanging12a"/>
      </w:pPr>
      <w:r w:rsidRPr="00F20A3F">
        <w:t>4.</w:t>
      </w:r>
      <w:r w:rsidRPr="00F20A3F">
        <w:tab/>
        <w:t>opätovne potvrdzuje svoj pevný záväzok zachovať súčasný stav v Taiwanskom prielive; zdôrazňuje, že nebude akceptovaný žiadny pokus o jednostrannú zmenu súčasného stavu v Taiwanskom prielive, najmä prostredníctvom sily alebo nátlaku, a reakcia naň bude rozhodná a pevná;</w:t>
      </w:r>
    </w:p>
    <w:p w:rsidR="00335F7A" w:rsidRPr="00F20A3F" w:rsidRDefault="00335F7A" w:rsidP="00335F7A">
      <w:pPr>
        <w:pStyle w:val="NormalHanging12a"/>
      </w:pPr>
      <w:r w:rsidRPr="00F20A3F">
        <w:t>5.</w:t>
      </w:r>
      <w:r w:rsidRPr="00F20A3F">
        <w:tab/>
        <w:t>zdôrazňuje, že v rezolúcii OSN č. 2758 sa nezaujíma k Taiwanu žiadne stanovisko; dôrazne odmieta a popiera pokusy ČĽR o skreslenie histórie a medzinárodných pravidiel;</w:t>
      </w:r>
    </w:p>
    <w:p w:rsidR="00335F7A" w:rsidRPr="00F20A3F" w:rsidRDefault="00335F7A" w:rsidP="00335F7A">
      <w:pPr>
        <w:pStyle w:val="NormalHanging12a"/>
      </w:pPr>
      <w:r w:rsidRPr="00F20A3F">
        <w:t>6.</w:t>
      </w:r>
      <w:r w:rsidRPr="00F20A3F">
        <w:tab/>
        <w:t>zdôrazňuje záväzok EÚ presadzovať politiku „jednej Číny“ ako politický základ vzťahov medzi EÚ a Čínou; pripomína, že v stratégii EÚ pre Čínu sa zdôrazňuje, že konštruktívne vzťahy medzi oboma stranami Taiwanského prielivu sú súčasťou podpory mieru a bezpečnosti v celom ázijsko-tichomorskom regióne a že EÚ podporuje iniciatívy zamerané na dialóg a budovanie dôvery;</w:t>
      </w:r>
    </w:p>
    <w:p w:rsidR="00335F7A" w:rsidRPr="00F20A3F" w:rsidRDefault="00335F7A" w:rsidP="00335F7A">
      <w:pPr>
        <w:pStyle w:val="NormalHanging12a"/>
      </w:pPr>
      <w:r w:rsidRPr="00F20A3F">
        <w:t>7.</w:t>
      </w:r>
      <w:r w:rsidRPr="00F20A3F">
        <w:tab/>
        <w:t xml:space="preserve">zdôrazňuje, že obyvatelia Taiwanu by mali demokraticky rozhodnúť, ako chcú žiť, a že súčasný stav v Taiwanskom prielive sa nesmie jednostranne zmeniť použitím alebo </w:t>
      </w:r>
      <w:r w:rsidRPr="00F20A3F">
        <w:lastRenderedPageBreak/>
        <w:t>hrozbou sily;</w:t>
      </w:r>
    </w:p>
    <w:p w:rsidR="00335F7A" w:rsidRPr="00F20A3F" w:rsidRDefault="00335F7A" w:rsidP="00335F7A">
      <w:pPr>
        <w:pStyle w:val="NormalHanging12a"/>
      </w:pPr>
      <w:r w:rsidRPr="00F20A3F">
        <w:t>8.</w:t>
      </w:r>
      <w:r w:rsidRPr="00F20A3F">
        <w:tab/>
        <w:t xml:space="preserve">opätovne dôrazne odsudzuje vyhlásenia čínskeho prezidenta Si </w:t>
      </w:r>
      <w:proofErr w:type="spellStart"/>
      <w:r w:rsidRPr="00F20A3F">
        <w:t>Ťin-pchinga</w:t>
      </w:r>
      <w:proofErr w:type="spellEnd"/>
      <w:r w:rsidRPr="00F20A3F">
        <w:t>, že ČĽR sa nikdy nezriekne práva použiť vo vzťahu k Taiwanu silu; zdôrazňuje, že použitie sily či hrozieb alebo iných silných donucovacích opatrení zo strany ČĽR na dosiahnutie zjednotenia je nezlučiteľné s medzinárodným právom; vyjadruje vážne znepokojenie nad tým, že ČĽR využíva nepriateľské dezinformácie s cieľom podkopať dôveru v demokraciu a správu vecí verejných na Taiwane; opakuje svoje predchádzajúce výzvy, aby EÚ a jej členské štáty spolupracovali s medzinárodnými partnermi s cieľom pomôcť udržať na Taiwane demokraciu, aby nebol vystavený zahraničnému zasahovaniu a hrozbám; zdôrazňuje, že len demokraticky zvolená vláda Taiwanu môže zastupovať taiwanských ľudí na medzinárodnej scéne;</w:t>
      </w:r>
    </w:p>
    <w:p w:rsidR="00335F7A" w:rsidRPr="00F20A3F" w:rsidRDefault="00335F7A" w:rsidP="00335F7A">
      <w:pPr>
        <w:pStyle w:val="NormalHanging12a"/>
      </w:pPr>
      <w:r w:rsidRPr="00F20A3F">
        <w:t>9.</w:t>
      </w:r>
      <w:r w:rsidRPr="00F20A3F">
        <w:tab/>
        <w:t>odsudzuje systematické vojenské akcie ČĽR v šedej zóne vrátane kybernetických a dezinformačných kampaní proti Taiwanu a naliehavo vyzýva ČĽR, aby tieto činnosti okamžite zastavila; v tejto súvislosti vyzýva na ďalšie prehĺbenie spolupráce medzi EÚ a Taiwanom s cieľom posilniť štrukturálnu spoluprácu v boji proti dezinformáciám a zahraničnému zasahovaniu; víta vyslanie styčného dôstojníka do Európskeho hospodárskeho a obchodného úradu na Taiwane s cieľom koordinovať spoločné úsilie v boji proti dezinformáciám a zasahovaniu ako prvý dôležitý krok smerom k hlbšej spolupráci medzi EÚ a Taiwanom a vyzýva EÚ, aby ďalej prehlbovala spoluprácu s Taiwanom v tejto kľúčovej oblasti; oceňuje odvahu taiwanského ľudu a primeranú a dôstojnú reakciu taiwanských orgánov a inštitúcií na stupňujúce sa hrozby a aktivity Číny;</w:t>
      </w:r>
    </w:p>
    <w:p w:rsidR="00335F7A" w:rsidRPr="00F20A3F" w:rsidRDefault="00335F7A" w:rsidP="00335F7A">
      <w:pPr>
        <w:pStyle w:val="NormalHanging12a"/>
        <w:rPr>
          <w:bCs/>
        </w:rPr>
      </w:pPr>
      <w:r w:rsidRPr="00F20A3F">
        <w:t>10.</w:t>
      </w:r>
      <w:r w:rsidRPr="00F20A3F">
        <w:tab/>
        <w:t>dôrazne odmieta hospodársky nátlak ČĽR na Taiwan a ďalšie krajiny, ako aj na členské štáty EÚ a zdôrazňuje, že takéto praktiky sú nielen nezákonné podľa pravidiel Svetovej obchodnej organizácie, ale majú aj ničivý vplyv na povesť ČĽR vo svete a povedú k ďalšej strate dôvery k ČĽR ako zodpovednému aktérovi; zdôrazňuje nezávislé právo EÚ a jej členských štátov rozvíjať vzťahy s Taiwanom v súlade s ich záujmami a spoločnými hodnotami demokracie a ľudských práv bez zahraničného zasahovania; vyzýva misie EÚ a členských štátov v zahraničí, aby riešili škodlivé obchodné praktiky ČĽR a poskytovali k nim alternatívy, a to najmä na globálnom Juhu;</w:t>
      </w:r>
    </w:p>
    <w:p w:rsidR="00335F7A" w:rsidRPr="00F20A3F" w:rsidRDefault="00335F7A" w:rsidP="00335F7A">
      <w:pPr>
        <w:pStyle w:val="NormalHanging12a"/>
      </w:pPr>
      <w:r w:rsidRPr="00F20A3F">
        <w:t>11.</w:t>
      </w:r>
      <w:r w:rsidRPr="00F20A3F">
        <w:tab/>
        <w:t>je veľmi znepokojený prijatím tzv. usmernení na potrestanie separatistov bojujúcich za nezávislosť Taiwanu za spáchanie separatistických zločinov a za podnecovania separatizmu, ktoré spoločne oznámili Najvyšší ľudový súd, najvyšší ľudový prokurátor, ministerstvá pre verejnú bezpečnosť a štátnu bezpečnosť a ministerstvo spravodlivosti v júni 2024 a ktoré by mohli viesť k tvrdým trestom za trestný čin odtrhnutia vrátane trestu smrti; dôrazne odsudzuje odsúdenie jedného taiwanského aktivistu na deväť rokov väzenia v septembri 2024 po jeho zatknutí v ČĽR v roku 2022, ako aj neustále prenasledovanie taiwanských osôb, ktoré pracujú a žijú v ČĽR;</w:t>
      </w:r>
    </w:p>
    <w:p w:rsidR="00335F7A" w:rsidRPr="00F20A3F" w:rsidRDefault="00335F7A" w:rsidP="00335F7A">
      <w:pPr>
        <w:pStyle w:val="NormalHanging12a"/>
      </w:pPr>
      <w:r w:rsidRPr="00F20A3F">
        <w:t>12.</w:t>
      </w:r>
      <w:r w:rsidRPr="00F20A3F">
        <w:tab/>
        <w:t>vyjadruje vážne znepokojenie nad situáciou vo Východočínskom a Juhočínskom mori; pripomína, že je dôležité dodržiavať medzinárodné právo vrátane dohovoru UNCLOS, a najmä jeho ustanovenia o povinnosti urovnávať spory mierovými prostriedkami a zachovať slobodu plavby a preletu; vyzýva všetky krajiny, ktoré tak ešte neurobili, aby urýchlene ratifikovali dohovor UNCLOS; vyzýva EÚ a jej členské štáty, aby posilnili svoje námorné kapacity v regióne; pripomína ČĽR ako stálemu členovi Bezpečnostnej rady OSN jej povinnosť dodržiavať medzinárodné právo a zdôrazňuje jej povinnosť riešiť spory mierovou cestou;</w:t>
      </w:r>
    </w:p>
    <w:p w:rsidR="00335F7A" w:rsidRPr="00F20A3F" w:rsidRDefault="00335F7A" w:rsidP="00335F7A">
      <w:pPr>
        <w:pStyle w:val="NormalHanging12a"/>
      </w:pPr>
      <w:r w:rsidRPr="00F20A3F">
        <w:lastRenderedPageBreak/>
        <w:t>13.</w:t>
      </w:r>
      <w:r w:rsidRPr="00F20A3F">
        <w:tab/>
        <w:t>opätovne potvrdzuje svoje vážne znepokojenie nad rastúcimi vojenskými investíciami a spôsobilosťami Číny; vyjadruje vážne znepokojenie nad obnoveným záväzkom Číny a Ruska ďalej posilňovať svoje vojenské väzby a odsudzuje čínske dodávky komponentov a vybavenia pre moskovský vojenský priemysel; víta rozhodnutie Rady o uložení sankcií čínskym spoločnostiam za podporu vojny Ruska proti Ukrajine; vyjadruje poľutovanie nad partnerstvom „bez obmedzení“ medzi Ruskom a ČĽR; víta rastúcu angažovanosť a vojenskú prítomnosť Spojených štátov v indicko-tichomorskom regióne; opakuje svoju výzvu na koordinovaný prístup k prehĺbeniu spolupráce medzi EÚ a USA v otázkach bezpečnosti, a to aj prostredníctvom transatlantického parlamentného dialógu;</w:t>
      </w:r>
    </w:p>
    <w:p w:rsidR="00335F7A" w:rsidRPr="00F20A3F" w:rsidRDefault="00335F7A" w:rsidP="00335F7A">
      <w:pPr>
        <w:pStyle w:val="NormalHanging12a"/>
      </w:pPr>
      <w:r w:rsidRPr="00F20A3F">
        <w:t>14.</w:t>
      </w:r>
      <w:r w:rsidRPr="00F20A3F">
        <w:tab/>
        <w:t>rozhodne víta úzku spoluprácu a zosúladenie Taiwanu s EÚ a USA, pokiaľ ide o reakciu na vojnu Ruska proti Ukrajine a uvalenie sankcií v reakcii na toto hrubé porušenie medzinárodného práva; pripomína pomoc Taiwanu pri riešení humanitárnej krízy spôsobenej útočnou vojnou Ruska proti Ukrajine a jeho nepretržité zapojenie a podporu pre ukrajinskú vládu a krajiny, ktoré prijímajú ukrajinských utečencov;</w:t>
      </w:r>
    </w:p>
    <w:p w:rsidR="00335F7A" w:rsidRPr="00F20A3F" w:rsidRDefault="00335F7A" w:rsidP="00335F7A">
      <w:pPr>
        <w:pStyle w:val="NormalHanging12a"/>
      </w:pPr>
      <w:r w:rsidRPr="00F20A3F">
        <w:t>15.</w:t>
      </w:r>
      <w:r w:rsidRPr="00F20A3F">
        <w:tab/>
        <w:t>zdôrazňuje, že rôzne kroky ČĽR v oblasti kognitívnej a právnej vojny pomaly oslabujú súčasný stav a zároveň zintenzívňujú aktivity v šedej zóne, ktorých cieľom je obchádzať odhalenie, existujúce právne predpisy a kritériá reakcie; vyzýva EÚ, aby stanovila a presadzovala svoje limity prostredníctvom súboru sankcií vrátane odvetvových sankcií proti hybridným aktivitám a kybernetickým hrozbám a aby koordinovala silné diplomatické a hospodárske odstrašujúce opatrenia s podobne zmýšľajúcimi partnermi;</w:t>
      </w:r>
    </w:p>
    <w:p w:rsidR="00335F7A" w:rsidRPr="00F20A3F" w:rsidRDefault="00335F7A" w:rsidP="00335F7A">
      <w:pPr>
        <w:pStyle w:val="NormalHanging12a"/>
      </w:pPr>
      <w:r w:rsidRPr="00F20A3F">
        <w:t>16.</w:t>
      </w:r>
      <w:r w:rsidRPr="00F20A3F">
        <w:tab/>
        <w:t>vyjadruje Taiwanu vďaku za pomoc a podporu počas pandémie COVID-19;</w:t>
      </w:r>
    </w:p>
    <w:p w:rsidR="00335F7A" w:rsidRPr="00F20A3F" w:rsidRDefault="00335F7A" w:rsidP="00335F7A">
      <w:pPr>
        <w:pStyle w:val="NormalHanging12a"/>
      </w:pPr>
      <w:r w:rsidRPr="00F20A3F">
        <w:t>17.</w:t>
      </w:r>
      <w:r w:rsidRPr="00F20A3F">
        <w:tab/>
        <w:t>uznáva význam Taiwanu, pokiaľ ide o zabezpečenie globálnych dodávateľských reťazcov, najmä v odvetví špičkových technológií, kde je Taiwan popredným výrobcom polovodičov, a vyzýva EÚ a jej členské štáty, aby sa zapojili do užšej spolupráce s Taiwanom;</w:t>
      </w:r>
    </w:p>
    <w:p w:rsidR="00335F7A" w:rsidRPr="00F20A3F" w:rsidRDefault="00335F7A" w:rsidP="00335F7A">
      <w:pPr>
        <w:pStyle w:val="NormalHanging12a"/>
      </w:pPr>
      <w:r w:rsidRPr="00F20A3F">
        <w:t>18.</w:t>
      </w:r>
      <w:r w:rsidRPr="00F20A3F">
        <w:tab/>
        <w:t>vyzýva Komisiu, aby bezodkladne začala prípravné opatrenia na rokovania o bilaterálnej investičnej dohode, alebo o iných dohodách, s Taiwanom; zdôrazňuje potenciál spolupráce v oblasti politiky preverovania priamych zahraničných investícií a boja proti hospodárskemu nátlaku a odvetným opatreniam;</w:t>
      </w:r>
    </w:p>
    <w:p w:rsidR="00335F7A" w:rsidRPr="00F20A3F" w:rsidRDefault="00335F7A" w:rsidP="00335F7A">
      <w:pPr>
        <w:pStyle w:val="NormalHanging12a"/>
      </w:pPr>
      <w:r w:rsidRPr="00F20A3F">
        <w:t>19.</w:t>
      </w:r>
      <w:r w:rsidRPr="00F20A3F">
        <w:tab/>
        <w:t>oceňuje zvýšenie zásahov v záujme slobody plavby, ktoré uskutočnili viaceré krajiny EÚ vrátane Francúzska, Holandska a Nemecka; konštatuje, že tieto aktivity sú v súlade s medzinárodným právom, a vyzýva na intenzívnejšiu spoluprácu a koordináciu s regionálnymi partnermi s cieľom zvýšiť slobodu navigačných činností v regióne;</w:t>
      </w:r>
    </w:p>
    <w:p w:rsidR="00335F7A" w:rsidRPr="00F20A3F" w:rsidRDefault="00335F7A" w:rsidP="00335F7A">
      <w:pPr>
        <w:pStyle w:val="NormalHanging12a"/>
      </w:pPr>
      <w:r w:rsidRPr="00F20A3F">
        <w:t>20.</w:t>
      </w:r>
      <w:r w:rsidRPr="00F20A3F">
        <w:tab/>
        <w:t xml:space="preserve">víta návštevy bývalých a súčasných taiwanských politikov a političiek v Európe vrátane nedávnej návštevy bývalej prezidentky </w:t>
      </w:r>
      <w:proofErr w:type="spellStart"/>
      <w:r w:rsidRPr="00F20A3F">
        <w:t>Cchaj</w:t>
      </w:r>
      <w:proofErr w:type="spellEnd"/>
      <w:r w:rsidRPr="00F20A3F">
        <w:t xml:space="preserve"> </w:t>
      </w:r>
      <w:proofErr w:type="spellStart"/>
      <w:r w:rsidRPr="00F20A3F">
        <w:t>Jing-wen</w:t>
      </w:r>
      <w:proofErr w:type="spellEnd"/>
      <w:r w:rsidRPr="00F20A3F">
        <w:t xml:space="preserve"> v Európskom parlamente, ktorá sa konala 17. októbra 2024; okrem toho víta pokračujúce výmeny medzi svojimi poslancami a Taiwanom a nabáda na ďalšie návštevy oficiálnych delegácií Európskeho parlamentu na Taiwane; nabáda tiež na ďalšie výmeny medzi EÚ a Taiwanom na všetkých úrovniach vrátane politických zasadnutí a medziľudských kontaktov;</w:t>
      </w:r>
    </w:p>
    <w:p w:rsidR="00335F7A" w:rsidRPr="00F20A3F" w:rsidRDefault="00335F7A" w:rsidP="00335F7A">
      <w:pPr>
        <w:pStyle w:val="NormalHanging12a"/>
      </w:pPr>
      <w:r w:rsidRPr="00F20A3F">
        <w:t>21.</w:t>
      </w:r>
      <w:r w:rsidRPr="00F20A3F">
        <w:tab/>
        <w:t xml:space="preserve">v tejto súvislosti nabáda na zintenzívnenie hospodárskych, vedeckých a kultúrnych interakcií a výmen, ktoré sa budú okrem iného zameriavať na mládež, akademickú obec, občiansku spoločnosť, šport, kultúru a vzdelávanie, ako aj na partnerstvá medzi </w:t>
      </w:r>
      <w:r w:rsidRPr="00F20A3F">
        <w:lastRenderedPageBreak/>
        <w:t>mestami a regiónmi; opätovne vyzýva členské štáty, aby sa zapojili do zmysluplnej a štrukturálnej technickej spolupráce s taiwanskou Národnou hasičskou agentúrou a Národnou policajnou agentúrou a so subjektmi miestnej správy v oblasti civilnej ochrany a zvládania katastrof;</w:t>
      </w:r>
    </w:p>
    <w:p w:rsidR="00335F7A" w:rsidRPr="00F20A3F" w:rsidRDefault="00335F7A" w:rsidP="00335F7A">
      <w:pPr>
        <w:pStyle w:val="NormalHanging12a"/>
      </w:pPr>
      <w:r w:rsidRPr="00F20A3F">
        <w:t>22.</w:t>
      </w:r>
      <w:r w:rsidRPr="00F20A3F">
        <w:tab/>
        <w:t>poveruje svoju predsedníčku, aby postúpila toto uznesenie Rade, Komisii, podpredsedovi Komisie/vysokému predstaviteľovi Európskej únie pre zahraničné veci a bezpečnostnú politiku a vládam Čínskej ľudovej republiky a Taiwanu.</w:t>
      </w:r>
    </w:p>
    <w:sectPr w:rsidR="00335F7A" w:rsidRPr="00F20A3F" w:rsidSect="00912F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3B5" w:rsidRPr="00912FBA" w:rsidRDefault="00A403B5">
      <w:r w:rsidRPr="00912FBA">
        <w:separator/>
      </w:r>
    </w:p>
  </w:endnote>
  <w:endnote w:type="continuationSeparator" w:id="0">
    <w:p w:rsidR="00A403B5" w:rsidRPr="00912FBA" w:rsidRDefault="00A403B5">
      <w:r w:rsidRPr="00912F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F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F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F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3B5" w:rsidRPr="00912FBA" w:rsidRDefault="00A403B5">
      <w:r w:rsidRPr="00912FBA">
        <w:separator/>
      </w:r>
    </w:p>
  </w:footnote>
  <w:footnote w:type="continuationSeparator" w:id="0">
    <w:p w:rsidR="00A403B5" w:rsidRPr="00912FBA" w:rsidRDefault="00A403B5">
      <w:r w:rsidRPr="00912FBA">
        <w:continuationSeparator/>
      </w:r>
    </w:p>
  </w:footnote>
  <w:footnote w:id="1">
    <w:p w:rsidR="00335F7A" w:rsidRPr="00912FBA" w:rsidRDefault="00335F7A" w:rsidP="00912FBA">
      <w:pPr>
        <w:pStyle w:val="FootnoteText"/>
        <w:ind w:left="567" w:hanging="567"/>
        <w:rPr>
          <w:sz w:val="24"/>
          <w:lang w:val="sk-SK"/>
        </w:rPr>
      </w:pPr>
      <w:r w:rsidRPr="00912FBA">
        <w:rPr>
          <w:rStyle w:val="FootnoteReference"/>
          <w:sz w:val="24"/>
          <w:lang w:val="sk-SK"/>
        </w:rPr>
        <w:footnoteRef/>
      </w:r>
      <w:r w:rsidR="00912FBA" w:rsidRPr="00912FBA">
        <w:rPr>
          <w:sz w:val="24"/>
          <w:lang w:val="sk-SK"/>
        </w:rPr>
        <w:t xml:space="preserve"> </w:t>
      </w:r>
      <w:r w:rsidR="00912FBA" w:rsidRPr="00912FBA">
        <w:rPr>
          <w:sz w:val="24"/>
          <w:lang w:val="sk-SK"/>
        </w:rPr>
        <w:tab/>
      </w:r>
      <w:r w:rsidRPr="00912FBA">
        <w:rPr>
          <w:sz w:val="24"/>
          <w:lang w:val="sk-SK"/>
        </w:rPr>
        <w:t>Ú. v. EÚ C 117, 11.3.2022, s. 40.</w:t>
      </w:r>
    </w:p>
  </w:footnote>
  <w:footnote w:id="2">
    <w:p w:rsidR="00335F7A" w:rsidRPr="00912FBA" w:rsidRDefault="00335F7A" w:rsidP="00912FBA">
      <w:pPr>
        <w:pStyle w:val="FootnoteText"/>
        <w:ind w:left="567" w:hanging="567"/>
        <w:rPr>
          <w:sz w:val="24"/>
          <w:lang w:val="sk-SK"/>
        </w:rPr>
      </w:pPr>
      <w:r w:rsidRPr="00912FBA">
        <w:rPr>
          <w:rStyle w:val="FootnoteReference"/>
          <w:sz w:val="24"/>
          <w:lang w:val="sk-SK"/>
        </w:rPr>
        <w:footnoteRef/>
      </w:r>
      <w:r w:rsidR="00912FBA" w:rsidRPr="00912FBA">
        <w:rPr>
          <w:sz w:val="24"/>
          <w:lang w:val="sk-SK"/>
        </w:rPr>
        <w:t xml:space="preserve"> </w:t>
      </w:r>
      <w:r w:rsidR="00912FBA" w:rsidRPr="00912FBA">
        <w:rPr>
          <w:sz w:val="24"/>
          <w:lang w:val="sk-SK"/>
        </w:rPr>
        <w:tab/>
      </w:r>
      <w:r w:rsidRPr="00912FBA">
        <w:rPr>
          <w:sz w:val="24"/>
          <w:lang w:val="sk-SK"/>
        </w:rPr>
        <w:t>Ú. v. EÚ C 184, 5.5.2022, s. 170.</w:t>
      </w:r>
    </w:p>
  </w:footnote>
  <w:footnote w:id="3">
    <w:p w:rsidR="00335F7A" w:rsidRPr="00912FBA" w:rsidRDefault="00335F7A" w:rsidP="00912FBA">
      <w:pPr>
        <w:pStyle w:val="FootnoteText"/>
        <w:ind w:left="567" w:hanging="567"/>
        <w:rPr>
          <w:sz w:val="24"/>
          <w:lang w:val="sk-SK"/>
        </w:rPr>
      </w:pPr>
      <w:r w:rsidRPr="00912FBA">
        <w:rPr>
          <w:rStyle w:val="FootnoteReference"/>
          <w:sz w:val="24"/>
          <w:lang w:val="sk-SK"/>
        </w:rPr>
        <w:footnoteRef/>
      </w:r>
      <w:r w:rsidR="00912FBA" w:rsidRPr="00912FBA">
        <w:rPr>
          <w:sz w:val="24"/>
          <w:lang w:val="sk-SK"/>
        </w:rPr>
        <w:t xml:space="preserve"> </w:t>
      </w:r>
      <w:r w:rsidR="00912FBA" w:rsidRPr="00912FBA">
        <w:rPr>
          <w:sz w:val="24"/>
          <w:lang w:val="sk-SK"/>
        </w:rPr>
        <w:tab/>
      </w:r>
      <w:r w:rsidRPr="00912FBA">
        <w:rPr>
          <w:sz w:val="24"/>
          <w:lang w:val="sk-SK"/>
        </w:rPr>
        <w:t>Ú. v. EÚ C 493, 27.12.2022, s. 32.</w:t>
      </w:r>
    </w:p>
  </w:footnote>
  <w:footnote w:id="4">
    <w:p w:rsidR="00335F7A" w:rsidRPr="00912FBA" w:rsidRDefault="00335F7A" w:rsidP="00912FBA">
      <w:pPr>
        <w:pStyle w:val="FootnoteText"/>
        <w:ind w:left="567" w:hanging="567"/>
        <w:rPr>
          <w:sz w:val="24"/>
          <w:lang w:val="sk-SK"/>
        </w:rPr>
      </w:pPr>
      <w:r w:rsidRPr="00912FBA">
        <w:rPr>
          <w:rStyle w:val="FootnoteReference"/>
          <w:sz w:val="24"/>
          <w:lang w:val="sk-SK"/>
        </w:rPr>
        <w:footnoteRef/>
      </w:r>
      <w:r w:rsidR="00912FBA" w:rsidRPr="00912FBA">
        <w:rPr>
          <w:sz w:val="24"/>
          <w:lang w:val="sk-SK"/>
        </w:rPr>
        <w:t xml:space="preserve"> </w:t>
      </w:r>
      <w:r w:rsidR="00912FBA" w:rsidRPr="00912FBA">
        <w:rPr>
          <w:sz w:val="24"/>
          <w:lang w:val="sk-SK"/>
        </w:rPr>
        <w:tab/>
      </w:r>
      <w:r w:rsidRPr="00912FBA">
        <w:rPr>
          <w:sz w:val="24"/>
          <w:lang w:val="sk-SK"/>
        </w:rPr>
        <w:t>Ú. v. EÚ C 125, 5.4.2023, s. 149.</w:t>
      </w:r>
    </w:p>
  </w:footnote>
  <w:footnote w:id="5">
    <w:p w:rsidR="00335F7A" w:rsidRPr="00912FBA" w:rsidRDefault="00335F7A" w:rsidP="00912FBA">
      <w:pPr>
        <w:pStyle w:val="FootnoteText"/>
        <w:ind w:left="567" w:hanging="567"/>
        <w:rPr>
          <w:sz w:val="24"/>
          <w:lang w:val="sk-SK"/>
        </w:rPr>
      </w:pPr>
      <w:r w:rsidRPr="00912FBA">
        <w:rPr>
          <w:rStyle w:val="FootnoteReference"/>
          <w:sz w:val="24"/>
          <w:lang w:val="sk-SK"/>
        </w:rPr>
        <w:footnoteRef/>
      </w:r>
      <w:r w:rsidR="00912FBA" w:rsidRPr="00912FBA">
        <w:rPr>
          <w:sz w:val="24"/>
          <w:lang w:val="sk-SK"/>
        </w:rPr>
        <w:t xml:space="preserve"> </w:t>
      </w:r>
      <w:r w:rsidR="00912FBA" w:rsidRPr="00912FBA">
        <w:rPr>
          <w:sz w:val="24"/>
          <w:lang w:val="sk-SK"/>
        </w:rPr>
        <w:tab/>
      </w:r>
      <w:r w:rsidRPr="00912FBA">
        <w:rPr>
          <w:sz w:val="24"/>
          <w:lang w:val="sk-SK"/>
        </w:rPr>
        <w:t xml:space="preserve">Ú. v. EÚ C, C/2024/4174, 2.8.2024, ELI: </w:t>
      </w:r>
      <w:r w:rsidR="00CC6A22">
        <w:fldChar w:fldCharType="begin"/>
      </w:r>
      <w:r w:rsidR="00CC6A22" w:rsidRPr="00CC6A22">
        <w:rPr>
          <w:lang w:val="fi-FI"/>
        </w:rPr>
        <w:instrText xml:space="preserve"> HYPERLINK "http://data.europa.eu/eli/C/2024/4174/oj" </w:instrText>
      </w:r>
      <w:r w:rsidR="00CC6A22">
        <w:fldChar w:fldCharType="separate"/>
      </w:r>
      <w:r w:rsidR="00CA5298" w:rsidRPr="00F06CE3">
        <w:rPr>
          <w:rStyle w:val="Hyperlink"/>
          <w:sz w:val="24"/>
          <w:lang w:val="fi-FI"/>
        </w:rPr>
        <w:t>http://data.europa.eu/eli/C/2024/4174/oj</w:t>
      </w:r>
      <w:r w:rsidR="00CC6A22">
        <w:rPr>
          <w:rStyle w:val="Hyperlink"/>
          <w:sz w:val="24"/>
          <w:lang w:val="fi-FI"/>
        </w:rPr>
        <w:fldChar w:fldCharType="end"/>
      </w:r>
      <w:r w:rsidRPr="00912FBA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F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F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F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4, 0135, 0137, 0138 a 0140/2024"/>
    <w:docVar w:name="dvlangue" w:val="SK"/>
    <w:docVar w:name="dvnumam" w:val="0"/>
    <w:docVar w:name="dvpe" w:val="764.114"/>
    <w:docVar w:name="dvtitre" w:val="Uznesenie Európskeho parlamentu z xx. októbra 2024 o nesprávnom výklade rezolúcie OSN č. 2758 Čínskou ľudovou republikou a jej pokračujúcich vojenských provokáciách v okolí Taiwanu(2024/2891(RSP))"/>
  </w:docVars>
  <w:rsids>
    <w:rsidRoot w:val="00A403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5F7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0B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596"/>
    <w:rsid w:val="00817416"/>
    <w:rsid w:val="00842779"/>
    <w:rsid w:val="00865F67"/>
    <w:rsid w:val="00881A7B"/>
    <w:rsid w:val="008840E5"/>
    <w:rsid w:val="00887B3E"/>
    <w:rsid w:val="008C2AC6"/>
    <w:rsid w:val="00912FBA"/>
    <w:rsid w:val="00930C23"/>
    <w:rsid w:val="0093193B"/>
    <w:rsid w:val="0093755D"/>
    <w:rsid w:val="009509D8"/>
    <w:rsid w:val="00950B64"/>
    <w:rsid w:val="00981893"/>
    <w:rsid w:val="00A1687D"/>
    <w:rsid w:val="00A403B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298"/>
    <w:rsid w:val="00CC2357"/>
    <w:rsid w:val="00CC6A2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6CE3"/>
    <w:rsid w:val="00F075DC"/>
    <w:rsid w:val="00F149E9"/>
    <w:rsid w:val="00F20A3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D0E06-9149-4062-9613-9EFEA4472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35F7A"/>
    <w:pPr>
      <w:spacing w:after="240"/>
      <w:ind w:left="567" w:hanging="567"/>
    </w:pPr>
  </w:style>
  <w:style w:type="paragraph" w:customStyle="1" w:styleId="EPComma">
    <w:name w:val="EPComma"/>
    <w:basedOn w:val="Normal"/>
    <w:rsid w:val="00335F7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35F7A"/>
    <w:rPr>
      <w:sz w:val="24"/>
      <w:lang w:val="sk-SK"/>
    </w:rPr>
  </w:style>
  <w:style w:type="character" w:styleId="Hyperlink">
    <w:name w:val="Hyperlink"/>
    <w:basedOn w:val="DefaultParagraphFont"/>
    <w:rsid w:val="00335F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CF6E3-9365-4DA7-A989-18E3157A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3282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2024-11-18T18:02:00Z</dcterms:created>
  <dcterms:modified xsi:type="dcterms:W3CDTF">2024-11-18T18:02:00Z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B10-0134, 0135, 0137, 0138 a 0140/2024</vt:lpwstr>
  </property>
  <property fmtid="{D5CDD505-2E9C-101B-9397-08002B2CF9AE}" pid="4" name="&lt;Type&gt;">
    <vt:lpwstr>RR</vt:lpwstr>
  </property>
</Properties>
</file>