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4172" w:rsidTr="0010095E">
        <w:trPr>
          <w:trHeight w:hRule="exact" w:val="1418"/>
        </w:trPr>
        <w:tc>
          <w:tcPr>
            <w:tcW w:w="6804" w:type="dxa"/>
            <w:shd w:val="clear" w:color="auto" w:fill="auto"/>
            <w:vAlign w:val="center"/>
          </w:tcPr>
          <w:p w:rsidR="00751A4A" w:rsidRPr="00A84172" w:rsidRDefault="00EA2CDF" w:rsidP="0010095E">
            <w:pPr>
              <w:pStyle w:val="EPName"/>
            </w:pPr>
            <w:r w:rsidRPr="00A84172">
              <w:t>Evropski parlament</w:t>
            </w:r>
          </w:p>
          <w:p w:rsidR="00751A4A" w:rsidRPr="00A84172" w:rsidRDefault="005F1B17" w:rsidP="005F1B17">
            <w:pPr>
              <w:pStyle w:val="EPTerm"/>
              <w:rPr>
                <w:rStyle w:val="HideTWBExt"/>
                <w:noProof w:val="0"/>
                <w:vanish w:val="0"/>
                <w:color w:val="auto"/>
              </w:rPr>
            </w:pPr>
            <w:r w:rsidRPr="00A84172">
              <w:t>2024</w:t>
            </w:r>
            <w:r w:rsidR="00817416" w:rsidRPr="00A84172">
              <w:t>-202</w:t>
            </w:r>
            <w:r w:rsidRPr="00A84172">
              <w:t>9</w:t>
            </w:r>
          </w:p>
        </w:tc>
        <w:tc>
          <w:tcPr>
            <w:tcW w:w="2268" w:type="dxa"/>
            <w:shd w:val="clear" w:color="auto" w:fill="auto"/>
          </w:tcPr>
          <w:p w:rsidR="00751A4A" w:rsidRPr="00A84172" w:rsidRDefault="00187494" w:rsidP="0010095E">
            <w:pPr>
              <w:pStyle w:val="EPLogo"/>
            </w:pPr>
            <w:r w:rsidRPr="00A84172">
              <w:rPr>
                <w:noProof/>
                <w:lang w:eastAsia="sl-SI"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4172" w:rsidRDefault="00D058B8" w:rsidP="004C5D52">
      <w:pPr>
        <w:pStyle w:val="LineTop"/>
      </w:pPr>
    </w:p>
    <w:p w:rsidR="00680577" w:rsidRPr="00A84172" w:rsidRDefault="00EA2CDF" w:rsidP="00680577">
      <w:pPr>
        <w:pStyle w:val="EPBodyTA1"/>
      </w:pPr>
      <w:r w:rsidRPr="00A84172">
        <w:t>SPREJETA BESEDILA</w:t>
      </w:r>
    </w:p>
    <w:p w:rsidR="00D058B8" w:rsidRPr="00A84172" w:rsidRDefault="00D058B8" w:rsidP="00D058B8">
      <w:pPr>
        <w:pStyle w:val="LineBottom"/>
      </w:pPr>
    </w:p>
    <w:p w:rsidR="00EA2CDF" w:rsidRPr="00A84172" w:rsidRDefault="00EA2CDF" w:rsidP="00EA2CDF">
      <w:pPr>
        <w:pStyle w:val="ATHeading1"/>
      </w:pPr>
      <w:bookmarkStart w:id="0" w:name="TANumber"/>
      <w:r w:rsidRPr="00A84172">
        <w:t>P10_TA(2024)</w:t>
      </w:r>
      <w:bookmarkEnd w:id="0"/>
      <w:r w:rsidR="003A5ECB">
        <w:t>0030</w:t>
      </w:r>
    </w:p>
    <w:p w:rsidR="00EA2CDF" w:rsidRPr="00A84172" w:rsidRDefault="00EA2CDF" w:rsidP="00EA2CDF">
      <w:pPr>
        <w:pStyle w:val="ATHeading2"/>
      </w:pPr>
      <w:bookmarkStart w:id="1" w:name="title"/>
      <w:r w:rsidRPr="00A84172">
        <w:t>Napačna razlaga resolucije OZN št. 2758 s strani Ljudske republike Kitajske in njene stalne vojaške provokacije okoli Tajvana</w:t>
      </w:r>
      <w:bookmarkEnd w:id="1"/>
    </w:p>
    <w:p w:rsidR="00EA2CDF" w:rsidRPr="00A84172" w:rsidRDefault="00EA2CDF" w:rsidP="00EA2CDF">
      <w:pPr>
        <w:rPr>
          <w:i/>
          <w:vanish/>
        </w:rPr>
      </w:pPr>
      <w:r w:rsidRPr="00A84172">
        <w:rPr>
          <w:i/>
        </w:rPr>
        <w:fldChar w:fldCharType="begin"/>
      </w:r>
      <w:r w:rsidRPr="00A84172">
        <w:rPr>
          <w:i/>
        </w:rPr>
        <w:instrText xml:space="preserve"> TC"(</w:instrText>
      </w:r>
      <w:bookmarkStart w:id="2" w:name="DocNumber"/>
      <w:r w:rsidRPr="00A84172">
        <w:rPr>
          <w:i/>
        </w:rPr>
        <w:instrText>B10-0134, 0135, 0137, 0138 in 0140/2024</w:instrText>
      </w:r>
      <w:bookmarkEnd w:id="2"/>
      <w:r w:rsidRPr="00A84172">
        <w:rPr>
          <w:i/>
        </w:rPr>
        <w:instrText xml:space="preserve">)"\l3 \n&gt; \* MERGEFORMAT </w:instrText>
      </w:r>
      <w:r w:rsidRPr="00A84172">
        <w:rPr>
          <w:i/>
        </w:rPr>
        <w:fldChar w:fldCharType="end"/>
      </w:r>
    </w:p>
    <w:p w:rsidR="00EA2CDF" w:rsidRPr="00A84172" w:rsidRDefault="00EA2CDF" w:rsidP="00EA2CDF">
      <w:pPr>
        <w:rPr>
          <w:vanish/>
        </w:rPr>
      </w:pPr>
      <w:bookmarkStart w:id="3" w:name="PE"/>
      <w:r w:rsidRPr="00A84172">
        <w:rPr>
          <w:vanish/>
        </w:rPr>
        <w:t>PE764.114</w:t>
      </w:r>
      <w:bookmarkEnd w:id="3"/>
    </w:p>
    <w:p w:rsidR="00EA2CDF" w:rsidRPr="00A84172" w:rsidRDefault="00EA2CDF" w:rsidP="00EA2CDF">
      <w:pPr>
        <w:pStyle w:val="ATHeading3"/>
      </w:pPr>
      <w:bookmarkStart w:id="4" w:name="Sujet"/>
      <w:r w:rsidRPr="00A84172">
        <w:t xml:space="preserve">Resolucija Evropskega parlamenta z dne </w:t>
      </w:r>
      <w:r w:rsidR="00CA1B69">
        <w:t xml:space="preserve">24. oktobra </w:t>
      </w:r>
      <w:r w:rsidRPr="00A84172">
        <w:t>2024 o napačni razlagi resolucije OZN št. 2758 s strani Ljudske republike Kitajske in njenih stalnih vojaških provokacijah okoli Tajvana</w:t>
      </w:r>
      <w:bookmarkEnd w:id="4"/>
      <w:r w:rsidRPr="00A84172">
        <w:t xml:space="preserve"> </w:t>
      </w:r>
      <w:bookmarkStart w:id="5" w:name="References"/>
      <w:r w:rsidRPr="00A84172">
        <w:t>(2024/2891(RSP))</w:t>
      </w:r>
      <w:bookmarkEnd w:id="5"/>
    </w:p>
    <w:p w:rsidR="005421FB" w:rsidRPr="00A84172" w:rsidRDefault="005421FB" w:rsidP="005421FB">
      <w:pPr>
        <w:pStyle w:val="EPComma"/>
      </w:pPr>
      <w:bookmarkStart w:id="6" w:name="TextBodyBegin"/>
      <w:bookmarkEnd w:id="6"/>
      <w:r w:rsidRPr="00A84172">
        <w:rPr>
          <w:i/>
        </w:rPr>
        <w:t>Evropski parlament</w:t>
      </w:r>
      <w:r w:rsidRPr="00A84172">
        <w:t>,</w:t>
      </w:r>
    </w:p>
    <w:p w:rsidR="005421FB" w:rsidRPr="00A84172" w:rsidRDefault="005421FB" w:rsidP="005421FB">
      <w:pPr>
        <w:pStyle w:val="NormalHanging12a"/>
      </w:pPr>
      <w:r w:rsidRPr="00A84172">
        <w:t>–</w:t>
      </w:r>
      <w:r w:rsidRPr="00A84172">
        <w:tab/>
        <w:t>ob upoštevanju svojih prejšnjih resolucij o Ljudski republiki Kitajski in Tajvanu,</w:t>
      </w:r>
    </w:p>
    <w:p w:rsidR="005421FB" w:rsidRPr="00A84172" w:rsidRDefault="005421FB" w:rsidP="005421FB">
      <w:pPr>
        <w:pStyle w:val="NormalHanging12a"/>
      </w:pPr>
      <w:r w:rsidRPr="00A84172">
        <w:t>–</w:t>
      </w:r>
      <w:r w:rsidRPr="00A84172">
        <w:tab/>
        <w:t>ob upoštevanju svoje resolucije z dne 16. septembra 2021 o novi strategiji za odnose med EU in Kitajsko</w:t>
      </w:r>
      <w:r w:rsidRPr="00A84172">
        <w:rPr>
          <w:rStyle w:val="FootnoteReference"/>
        </w:rPr>
        <w:footnoteReference w:id="1"/>
      </w:r>
      <w:r w:rsidRPr="00A84172">
        <w:t>,</w:t>
      </w:r>
    </w:p>
    <w:p w:rsidR="005421FB" w:rsidRPr="00A84172" w:rsidRDefault="005421FB" w:rsidP="005421FB">
      <w:pPr>
        <w:pStyle w:val="NormalHanging12a"/>
      </w:pPr>
      <w:r w:rsidRPr="00A84172">
        <w:t>–</w:t>
      </w:r>
      <w:r w:rsidRPr="00A84172">
        <w:tab/>
        <w:t>ob upoštevanju svojega priporočila z dne 21. oktobra 2021 podpredsedniku Komisije/visokemu predstavniku Unije za zunanje zadeve in varnostno politiko o političnih odnosih in sodelovanju med EU in Tajvanom</w:t>
      </w:r>
      <w:r w:rsidRPr="00A84172">
        <w:rPr>
          <w:rStyle w:val="FootnoteReference"/>
        </w:rPr>
        <w:footnoteReference w:id="2"/>
      </w:r>
      <w:r w:rsidRPr="00A84172">
        <w:t>,</w:t>
      </w:r>
    </w:p>
    <w:p w:rsidR="005421FB" w:rsidRPr="00A84172" w:rsidRDefault="005421FB" w:rsidP="005421FB">
      <w:pPr>
        <w:pStyle w:val="NormalHanging12a"/>
      </w:pPr>
      <w:r w:rsidRPr="00A84172">
        <w:t>–</w:t>
      </w:r>
      <w:r w:rsidRPr="00A84172">
        <w:tab/>
        <w:t>ob upoštevanju svoje resolucije z dne 7. junija 2022 o EU in varnostnih izzivih v indijsko-pacifiški regiji</w:t>
      </w:r>
      <w:r w:rsidRPr="00A84172">
        <w:rPr>
          <w:rStyle w:val="FootnoteReference"/>
        </w:rPr>
        <w:footnoteReference w:id="3"/>
      </w:r>
      <w:r w:rsidRPr="00A84172">
        <w:t>,</w:t>
      </w:r>
    </w:p>
    <w:p w:rsidR="005421FB" w:rsidRPr="00A84172" w:rsidRDefault="005421FB" w:rsidP="005421FB">
      <w:pPr>
        <w:pStyle w:val="NormalHanging12a"/>
      </w:pPr>
      <w:r w:rsidRPr="00A84172">
        <w:t>–</w:t>
      </w:r>
      <w:r w:rsidRPr="00A84172">
        <w:tab/>
        <w:t>ob upoštevanju svoje resolucije z dne 15. septembra 2022 o razmerah v Tajvanski ožini</w:t>
      </w:r>
      <w:r w:rsidRPr="00A84172">
        <w:rPr>
          <w:rStyle w:val="FootnoteReference"/>
        </w:rPr>
        <w:footnoteReference w:id="4"/>
      </w:r>
      <w:r w:rsidRPr="00A84172">
        <w:t>,</w:t>
      </w:r>
    </w:p>
    <w:p w:rsidR="005421FB" w:rsidRPr="00A84172" w:rsidRDefault="005421FB" w:rsidP="005421FB">
      <w:pPr>
        <w:pStyle w:val="NormalHanging12a"/>
      </w:pPr>
      <w:r w:rsidRPr="00A84172">
        <w:t>–</w:t>
      </w:r>
      <w:r w:rsidRPr="00A84172">
        <w:tab/>
        <w:t>ob upoštevanju svoje resolucije z dne 13. decembra 2023 o trgovinskih in naložbenih odnosih med EU in Tajvanom</w:t>
      </w:r>
      <w:r w:rsidRPr="00A84172">
        <w:rPr>
          <w:rStyle w:val="FootnoteReference"/>
        </w:rPr>
        <w:footnoteReference w:id="5"/>
      </w:r>
      <w:r w:rsidRPr="00A84172">
        <w:t>,</w:t>
      </w:r>
    </w:p>
    <w:p w:rsidR="005421FB" w:rsidRPr="00A84172" w:rsidRDefault="005421FB" w:rsidP="005421FB">
      <w:pPr>
        <w:pStyle w:val="NormalHanging12a"/>
      </w:pPr>
      <w:r w:rsidRPr="00A84172">
        <w:t>–</w:t>
      </w:r>
      <w:r w:rsidRPr="00A84172">
        <w:tab/>
        <w:t>ob upoštevanju strateškega kompasa za varnost in obrambo, ki ga je Svet odobril 21. marca 2022,</w:t>
      </w:r>
    </w:p>
    <w:p w:rsidR="005421FB" w:rsidRPr="00A84172" w:rsidRDefault="005421FB" w:rsidP="005421FB">
      <w:pPr>
        <w:pStyle w:val="NormalHanging12a"/>
      </w:pPr>
      <w:r w:rsidRPr="00A84172">
        <w:t>–</w:t>
      </w:r>
      <w:r w:rsidRPr="00A84172">
        <w:tab/>
        <w:t xml:space="preserve">ob upoštevanju skupnega sporočila Komisije in visokega predstavnika Unije za zunanje zadeve in varnostno politiko z dne 16. septembra 2021 z naslovom Strategija EU za </w:t>
      </w:r>
      <w:r w:rsidRPr="00A84172">
        <w:lastRenderedPageBreak/>
        <w:t>sodelovanje v indijsko-pacifiški regiji (JOIN(2021)0024),</w:t>
      </w:r>
    </w:p>
    <w:p w:rsidR="005421FB" w:rsidRPr="00A84172" w:rsidRDefault="005421FB" w:rsidP="005421FB">
      <w:pPr>
        <w:pStyle w:val="NormalHanging12a"/>
      </w:pPr>
      <w:r w:rsidRPr="00A84172">
        <w:t>–</w:t>
      </w:r>
      <w:r w:rsidRPr="00A84172">
        <w:tab/>
        <w:t>ob upoštevanju politike „ene Kitajske“, ki jo vodi EU,</w:t>
      </w:r>
    </w:p>
    <w:p w:rsidR="005421FB" w:rsidRPr="00A84172" w:rsidRDefault="005421FB" w:rsidP="005421FB">
      <w:pPr>
        <w:pStyle w:val="NormalHanging12a"/>
      </w:pPr>
      <w:r w:rsidRPr="00A84172">
        <w:t>–</w:t>
      </w:r>
      <w:r w:rsidRPr="00A84172">
        <w:tab/>
        <w:t>ob upoštevanju vrha EU-Kitajska, ki je potekal 7. decembra 2023,</w:t>
      </w:r>
    </w:p>
    <w:p w:rsidR="005421FB" w:rsidRPr="00A84172" w:rsidRDefault="005421FB" w:rsidP="005421FB">
      <w:pPr>
        <w:pStyle w:val="NormalHanging12a"/>
      </w:pPr>
      <w:r w:rsidRPr="00A84172">
        <w:t>–</w:t>
      </w:r>
      <w:r w:rsidRPr="00A84172">
        <w:tab/>
        <w:t>ob upoštevanju sklepov Evropskega sveta o Kitajski z dne 30. junija 2023,</w:t>
      </w:r>
    </w:p>
    <w:p w:rsidR="005421FB" w:rsidRPr="00A84172" w:rsidRDefault="005421FB" w:rsidP="005421FB">
      <w:pPr>
        <w:pStyle w:val="NormalHanging12a"/>
      </w:pPr>
      <w:r w:rsidRPr="00A84172">
        <w:t>–</w:t>
      </w:r>
      <w:r w:rsidRPr="00A84172">
        <w:tab/>
        <w:t>ob upoštevanju obiskov Odbora za zunanje zadeve od 25. do 27. julija 2023 in Odbora za mednarodno trgovino od 19. do 21. decembra 2022 na Tajvanu,</w:t>
      </w:r>
    </w:p>
    <w:p w:rsidR="005421FB" w:rsidRPr="00A84172" w:rsidRDefault="005421FB" w:rsidP="005421FB">
      <w:pPr>
        <w:pStyle w:val="NormalHanging12a"/>
      </w:pPr>
      <w:r w:rsidRPr="00A84172">
        <w:t>–</w:t>
      </w:r>
      <w:r w:rsidRPr="00A84172">
        <w:tab/>
        <w:t>ob upoštevanju izjave uradnega govorca visokega predstavnika Unije za zunanje zadeve in varnostno politiko z dne 1. septembra 2024 o najnovejših nevarnih dejanjih v Južnokitajskem morju,</w:t>
      </w:r>
    </w:p>
    <w:p w:rsidR="005421FB" w:rsidRPr="00A84172" w:rsidRDefault="005421FB" w:rsidP="005421FB">
      <w:pPr>
        <w:pStyle w:val="NormalHanging12a"/>
      </w:pPr>
      <w:r w:rsidRPr="00A84172">
        <w:t>–</w:t>
      </w:r>
      <w:r w:rsidRPr="00A84172">
        <w:tab/>
        <w:t>ob upoštevanju izjav uradnega govorca visokega predstavnika Unije za zunanje zadeve in varnostno politiko o vojaških vajah Kitajske okoli Tajvana, vključno z najnovejšo izjavo z dne 14. oktobra 2024,</w:t>
      </w:r>
    </w:p>
    <w:p w:rsidR="005421FB" w:rsidRPr="00A84172" w:rsidRDefault="005421FB" w:rsidP="005421FB">
      <w:pPr>
        <w:pStyle w:val="NormalHanging12a"/>
      </w:pPr>
      <w:r w:rsidRPr="00A84172">
        <w:t>–</w:t>
      </w:r>
      <w:r w:rsidRPr="00A84172">
        <w:tab/>
        <w:t>ob upoštevanju izjav zunanjih ministrov skupine G7 z dne 18. aprila 2023 in 3. avgusta 2022 o ohranjanju miru in stabilnosti v Tajvanski ožini,</w:t>
      </w:r>
    </w:p>
    <w:p w:rsidR="005421FB" w:rsidRPr="00A84172" w:rsidRDefault="005421FB" w:rsidP="005421FB">
      <w:pPr>
        <w:pStyle w:val="NormalHanging12a"/>
      </w:pPr>
      <w:r w:rsidRPr="00A84172">
        <w:t>–</w:t>
      </w:r>
      <w:r w:rsidRPr="00A84172">
        <w:tab/>
        <w:t>ob upoštevanju izjave predsednika srečanja ministrov skupine G7 z dne 23. septembra 2024,</w:t>
      </w:r>
    </w:p>
    <w:p w:rsidR="005421FB" w:rsidRPr="00A84172" w:rsidRDefault="005421FB" w:rsidP="005421FB">
      <w:pPr>
        <w:pStyle w:val="NormalHanging12a"/>
      </w:pPr>
      <w:r w:rsidRPr="00A84172">
        <w:t>–</w:t>
      </w:r>
      <w:r w:rsidRPr="00A84172">
        <w:tab/>
        <w:t>ob upoštevanju skupne izjave obrambnih ministrov skupine G7 z dne 19. oktobra 2024,</w:t>
      </w:r>
    </w:p>
    <w:p w:rsidR="005421FB" w:rsidRPr="00A84172" w:rsidRDefault="005421FB" w:rsidP="005421FB">
      <w:pPr>
        <w:pStyle w:val="NormalHanging12a"/>
      </w:pPr>
      <w:r w:rsidRPr="00A84172">
        <w:t>–</w:t>
      </w:r>
      <w:r w:rsidRPr="00A84172">
        <w:tab/>
        <w:t>ob upoštevanju nujnega predloga o Tajvanu, ki ga je avstralski senat sprejel 21. avgusta 2024,</w:t>
      </w:r>
    </w:p>
    <w:p w:rsidR="005421FB" w:rsidRPr="00A84172" w:rsidRDefault="005421FB" w:rsidP="005421FB">
      <w:pPr>
        <w:pStyle w:val="NormalHanging12a"/>
      </w:pPr>
      <w:r w:rsidRPr="00A84172">
        <w:t>–</w:t>
      </w:r>
      <w:r w:rsidRPr="00A84172">
        <w:tab/>
        <w:t>ob upoštevanju resolucije generalne skupščine OZN št. 2758 (XXVI) z dne 25. oktobra 1971,</w:t>
      </w:r>
    </w:p>
    <w:p w:rsidR="005421FB" w:rsidRPr="00A84172" w:rsidRDefault="005421FB" w:rsidP="005421FB">
      <w:pPr>
        <w:pStyle w:val="NormalHanging12a"/>
      </w:pPr>
      <w:r w:rsidRPr="00A84172">
        <w:t>–</w:t>
      </w:r>
      <w:r w:rsidRPr="00A84172">
        <w:tab/>
        <w:t>ob upoštevanju predloga resolucije OZN št</w:t>
      </w:r>
      <w:bookmarkStart w:id="7" w:name="_GoBack"/>
      <w:bookmarkEnd w:id="7"/>
      <w:r w:rsidRPr="00A84172">
        <w:t>. 2758, ki ga je nizozemska poslanska zbornica sprejela 12. septembra 2024,</w:t>
      </w:r>
    </w:p>
    <w:p w:rsidR="005421FB" w:rsidRPr="00A84172" w:rsidRDefault="005421FB" w:rsidP="005421FB">
      <w:pPr>
        <w:pStyle w:val="NormalHanging12a"/>
      </w:pPr>
      <w:r w:rsidRPr="00A84172">
        <w:t>–</w:t>
      </w:r>
      <w:r w:rsidRPr="00A84172">
        <w:tab/>
        <w:t>ob upoštevanju izjave za javnost, ki jo je ameriško zunanje ministrstvo podalo 13. oktobra 2024,</w:t>
      </w:r>
    </w:p>
    <w:p w:rsidR="005421FB" w:rsidRPr="00A84172" w:rsidRDefault="005421FB" w:rsidP="005421FB">
      <w:pPr>
        <w:pStyle w:val="NormalHanging12a"/>
      </w:pPr>
      <w:r w:rsidRPr="00A84172">
        <w:t>–</w:t>
      </w:r>
      <w:r w:rsidRPr="00A84172">
        <w:tab/>
        <w:t>ob upoštevanju Konvencije OZN o pomorskem mednarodnem pravu (UNCLOS),</w:t>
      </w:r>
    </w:p>
    <w:p w:rsidR="005421FB" w:rsidRPr="00A84172" w:rsidRDefault="005421FB" w:rsidP="005421FB">
      <w:pPr>
        <w:pStyle w:val="NormalHanging12a"/>
      </w:pPr>
      <w:r w:rsidRPr="00A84172">
        <w:t>–</w:t>
      </w:r>
      <w:r w:rsidRPr="00A84172">
        <w:tab/>
        <w:t>ob upoštevanju člena 7 Okvirne konvencije OZN o podnebnih spremembah (UNFCCC), sklenjene 9. maja 1992,</w:t>
      </w:r>
    </w:p>
    <w:p w:rsidR="005421FB" w:rsidRPr="00A84172" w:rsidRDefault="005421FB" w:rsidP="005421FB">
      <w:pPr>
        <w:pStyle w:val="NormalHanging12a"/>
      </w:pPr>
      <w:r w:rsidRPr="00A84172">
        <w:t>–</w:t>
      </w:r>
      <w:r w:rsidRPr="00A84172">
        <w:tab/>
        <w:t>ob upoštevanju člena 5 poslovnika skupščine Mednarodne organizacije civilnega letalstva (ICAO),</w:t>
      </w:r>
    </w:p>
    <w:p w:rsidR="005421FB" w:rsidRPr="00A84172" w:rsidRDefault="005421FB" w:rsidP="005421FB">
      <w:pPr>
        <w:pStyle w:val="NormalHanging12a"/>
      </w:pPr>
      <w:r w:rsidRPr="00A84172">
        <w:t>–</w:t>
      </w:r>
      <w:r w:rsidRPr="00A84172">
        <w:tab/>
        <w:t>ob upoštevanju člena 4 ustanovne listine Mednarodne organizacije kriminalistične policije (Interpol),</w:t>
      </w:r>
    </w:p>
    <w:p w:rsidR="005421FB" w:rsidRPr="00A84172" w:rsidRDefault="005421FB" w:rsidP="005421FB">
      <w:pPr>
        <w:pStyle w:val="NormalHanging12a"/>
      </w:pPr>
      <w:r w:rsidRPr="00A84172">
        <w:t>–</w:t>
      </w:r>
      <w:r w:rsidRPr="00A84172">
        <w:tab/>
        <w:t>ob upoštevanju člena 8 in člena 18(h) ustave Svetovne zdravstvene organizacije (WHO),</w:t>
      </w:r>
    </w:p>
    <w:p w:rsidR="005421FB" w:rsidRPr="00A84172" w:rsidRDefault="005421FB" w:rsidP="005421FB">
      <w:pPr>
        <w:pStyle w:val="NormalHanging12a"/>
      </w:pPr>
      <w:r w:rsidRPr="00A84172">
        <w:lastRenderedPageBreak/>
        <w:t>–</w:t>
      </w:r>
      <w:r w:rsidRPr="00A84172">
        <w:tab/>
        <w:t>ob upoštevanju člena 136(2) in (4) Poslovnika,</w:t>
      </w:r>
    </w:p>
    <w:p w:rsidR="005421FB" w:rsidRPr="00A84172" w:rsidRDefault="005421FB" w:rsidP="005421FB">
      <w:pPr>
        <w:pStyle w:val="NormalHanging12a"/>
      </w:pPr>
      <w:r w:rsidRPr="00A84172">
        <w:t>A.</w:t>
      </w:r>
      <w:r w:rsidRPr="00A84172">
        <w:tab/>
        <w:t>ker je generalna skupščina OZN 25. oktobra 1971 sprejela resolucijo št. 2758 in s tem uradno priznanje zastopanja Kitajske prenesla z Republike Kitajske (Tajvan) na Ljudsko republiko Kitajsko; ker Tajvan danes, čeprav ni član OZN, vzdržuje diplomatske odnose z 11 od 193 držav članic OZN in s Svetim sedežem;</w:t>
      </w:r>
    </w:p>
    <w:p w:rsidR="005421FB" w:rsidRPr="00A84172" w:rsidRDefault="005421FB" w:rsidP="005421FB">
      <w:pPr>
        <w:pStyle w:val="NormalHanging12a"/>
      </w:pPr>
      <w:r w:rsidRPr="00A84172">
        <w:t>B.</w:t>
      </w:r>
      <w:r w:rsidRPr="00A84172">
        <w:tab/>
        <w:t>ker sta EU in Tajvan podobno misleča partnerja, ki imata skupne vrednote, kot so svoboda, demokracija, človekove pravice in pravna država; ker je Tajvan živahna demokracija z uspešno civilno družbo; ker so 13. januarja 2024 na Tajvanu potekale mirne in dobro organizirane volitve;</w:t>
      </w:r>
    </w:p>
    <w:p w:rsidR="005421FB" w:rsidRPr="00A84172" w:rsidRDefault="005421FB" w:rsidP="005421FB">
      <w:pPr>
        <w:pStyle w:val="NormalHanging12a"/>
      </w:pPr>
      <w:r w:rsidRPr="00A84172">
        <w:t>C.</w:t>
      </w:r>
      <w:r w:rsidRPr="00A84172">
        <w:tab/>
        <w:t>ker je Tajvan po sprejetju resolucije OZN št. 2758 izgubil dostop do sodelovanja v večstranskih forumih, kot je Svetovna zdravstvena organizacija;</w:t>
      </w:r>
    </w:p>
    <w:p w:rsidR="005421FB" w:rsidRPr="00A84172" w:rsidRDefault="005421FB" w:rsidP="005421FB">
      <w:pPr>
        <w:pStyle w:val="NormalHanging12a"/>
      </w:pPr>
      <w:r w:rsidRPr="00A84172">
        <w:t>D.</w:t>
      </w:r>
      <w:r w:rsidRPr="00A84172">
        <w:tab/>
        <w:t>ker Tajvan nikoli ni bil del Ljudske republike Kitajske; ker je bila Republika Kitajska ustanovljena leta 1912, Ljudska republika Kitajska pa leta 1949;</w:t>
      </w:r>
    </w:p>
    <w:p w:rsidR="005421FB" w:rsidRPr="00A84172" w:rsidRDefault="005421FB" w:rsidP="005421FB">
      <w:pPr>
        <w:pStyle w:val="NormalHanging12a"/>
      </w:pPr>
      <w:r w:rsidRPr="00A84172">
        <w:t>E.</w:t>
      </w:r>
      <w:r w:rsidRPr="00A84172">
        <w:tab/>
        <w:t>ker resolucija OZN št. 2758 obravnava status Ljudske republike Kitajske, vendar ne določa, da bi imela Ljudska republika Kitajska suverenost nad Tajvanom, prav tako pa ne presoja prihodnje vključitve Tajvana v OZN ali druge mednarodne organizacije; ker pa si Ljudska republika Kitajska še vedno napačno razlaga resolucijo OZN št. 2758 in preprečuje smotrno sodelovanje Tajvana v mednarodnih organizacijah ter poskuša enostransko spremeniti dosedanje stanje; ker to ravnanje kaže na željo Ljudske republike Kitajske, da bi spremenila dosedanji večstranski mednarodni red in spodkopala mednarodno pravo, kar je mogoče razumeti kot izraz sistemskega rivalstva;</w:t>
      </w:r>
    </w:p>
    <w:p w:rsidR="005421FB" w:rsidRPr="00A84172" w:rsidRDefault="005421FB" w:rsidP="005421FB">
      <w:pPr>
        <w:pStyle w:val="NormalHanging12a"/>
      </w:pPr>
      <w:r w:rsidRPr="00A84172">
        <w:t>F.</w:t>
      </w:r>
      <w:r w:rsidRPr="00A84172">
        <w:tab/>
        <w:t>ker EU še naprej ohranja svojo politiko „ene Kitajske“, ki se razlikuje od enako imenovanega načela Ljudske Republike Kitajske; ker EU že dolgo podpira dosedanje stanje in mirno rešitev nesoglasij v Tajvanski ožini, hkrati pa spodbuja k dialogu in konstruktivnemu sodelovanju;</w:t>
      </w:r>
    </w:p>
    <w:p w:rsidR="005421FB" w:rsidRPr="00A84172" w:rsidRDefault="005421FB" w:rsidP="005421FB">
      <w:pPr>
        <w:pStyle w:val="NormalHanging12a"/>
      </w:pPr>
      <w:r w:rsidRPr="00A84172">
        <w:t>G.</w:t>
      </w:r>
      <w:r w:rsidRPr="00A84172">
        <w:tab/>
        <w:t>ker so članice skupine G7 v izjavi z dne 23. septembra 2024 med drugim poudarile, da podpirajo smotrno sodelovanje Tajvana v mednarodnih organizacijah, in sicer kot člana, kjer državnost ni pogoj, ter kot opazovalca ali gosta, kjer državnost je pogoj;</w:t>
      </w:r>
    </w:p>
    <w:p w:rsidR="005421FB" w:rsidRPr="00A84172" w:rsidRDefault="005421FB" w:rsidP="005421FB">
      <w:pPr>
        <w:pStyle w:val="NormalHanging12a"/>
      </w:pPr>
      <w:r w:rsidRPr="00A84172">
        <w:t>H.</w:t>
      </w:r>
      <w:r w:rsidRPr="00A84172">
        <w:tab/>
        <w:t>ker podpora sodelovanju Tajvana v mednarodnih organizacijah ne spodkopava zaveze EU politiki „ene Kitajske“, ki je še naprej politični temelj odnosov med EU in Kitajsko;</w:t>
      </w:r>
    </w:p>
    <w:p w:rsidR="005421FB" w:rsidRPr="00A84172" w:rsidRDefault="005421FB" w:rsidP="005421FB">
      <w:pPr>
        <w:pStyle w:val="NormalHanging12a"/>
      </w:pPr>
      <w:r w:rsidRPr="00A84172">
        <w:t>I.</w:t>
      </w:r>
      <w:r w:rsidRPr="00A84172">
        <w:tab/>
        <w:t>ker poskuša Ljudska republika Kitajska v zadnjem desetletju vztrajno povečati svoj vpliv na mednarodne institucije in s tem iz njih izriniti Tajvan ter imetnikom tajvanskih potnih listov, vključno z novinarji, delavci nevladnih organizacij in političnimi aktivisti, preprečiti dostop do mednarodnih institucij; ker Ljudska republika Kitajska z zlorabo pogodb o izročitvi izvaja nadnacionalno represijo proti tajvanskim državljanom v tujini, zaradi česar so izpostavljeni samovoljnemu preganjanju in kršitvam človekovih pravic;</w:t>
      </w:r>
    </w:p>
    <w:p w:rsidR="005421FB" w:rsidRPr="00A84172" w:rsidRDefault="005421FB" w:rsidP="005421FB">
      <w:pPr>
        <w:pStyle w:val="NormalHanging12a"/>
      </w:pPr>
      <w:r w:rsidRPr="00A84172">
        <w:t>J.</w:t>
      </w:r>
      <w:r w:rsidRPr="00A84172">
        <w:tab/>
        <w:t>ker statuti večine mednarodnih organizacij, ki obravnavajo globalna vprašanja, vključno z WHO, UNFCCC, Interpolom in ICAO, subjektom kot je Tajvan omogočajo sodelovanje, ne da bi pri tem kršili pravice držav članic;</w:t>
      </w:r>
    </w:p>
    <w:p w:rsidR="005421FB" w:rsidRPr="00A84172" w:rsidRDefault="005421FB" w:rsidP="005421FB">
      <w:pPr>
        <w:pStyle w:val="NormalHanging12a"/>
      </w:pPr>
      <w:r w:rsidRPr="00A84172">
        <w:t>K.</w:t>
      </w:r>
      <w:r w:rsidRPr="00A84172">
        <w:tab/>
        <w:t xml:space="preserve">ker se Tajvan na svetovni ravni izkazuje za miroljubnega in kooperativnega partnerja, bistveno prispeva k svetovnemu razvoju in bi tako lahko pomembno prispeval k delu </w:t>
      </w:r>
      <w:r w:rsidRPr="00A84172">
        <w:lastRenderedPageBreak/>
        <w:t>različnih mednarodnih organizacij;</w:t>
      </w:r>
    </w:p>
    <w:p w:rsidR="005421FB" w:rsidRPr="00A84172" w:rsidRDefault="005421FB" w:rsidP="005421FB">
      <w:pPr>
        <w:pStyle w:val="NormalHanging12a"/>
      </w:pPr>
      <w:r w:rsidRPr="00A84172">
        <w:t>L.</w:t>
      </w:r>
      <w:r w:rsidRPr="00A84172">
        <w:tab/>
        <w:t>ker je Ljudska republika Kitajska enostrankarska država, ki jo v celoti nadzoruje in vodi Kitajska komunistična partija;</w:t>
      </w:r>
    </w:p>
    <w:p w:rsidR="005421FB" w:rsidRPr="00A84172" w:rsidRDefault="005421FB" w:rsidP="005421FB">
      <w:pPr>
        <w:pStyle w:val="NormalHanging12a"/>
      </w:pPr>
      <w:r w:rsidRPr="00A84172">
        <w:t>M.</w:t>
      </w:r>
      <w:r w:rsidRPr="00A84172">
        <w:tab/>
        <w:t>ker je tajvanski predsednik Laj Čingte v govoru 10. oktobra 2024 na dan tajvanske državnosti izjavil, da Ljudska republika Kitajska nima pravice zastopati Tajvana, in ponovno poudaril, da nobena od strani ni podrejena drugi; ker je Ljudska republika Kitajska nedavno vojaško vajo utemeljila s trditvijo, da predsednik Laj Čingte uveljavlja separatistično strategijo;</w:t>
      </w:r>
    </w:p>
    <w:p w:rsidR="005421FB" w:rsidRPr="00A84172" w:rsidRDefault="005421FB" w:rsidP="005421FB">
      <w:pPr>
        <w:pStyle w:val="NormalHanging12a"/>
      </w:pPr>
      <w:r w:rsidRPr="00A84172">
        <w:t>N.</w:t>
      </w:r>
      <w:r w:rsidRPr="00A84172">
        <w:tab/>
        <w:t>ker je Ljudska republika Kitajska 14. oktobra 2024 izvedla obsežno vojaško vajo, imenovano Joint Sword-2024B (Skupni meč), s katero je simulirala blokado Tajvana; ker so med to vajo okoli Tajvana zabeležili rekordnih 153 letal, 18 vojnih ladij in 17 ladij obalne straže Ljudske republike Kitajske;</w:t>
      </w:r>
    </w:p>
    <w:p w:rsidR="005421FB" w:rsidRPr="00A84172" w:rsidRDefault="005421FB" w:rsidP="005421FB">
      <w:pPr>
        <w:pStyle w:val="NormalHanging12a"/>
      </w:pPr>
      <w:r w:rsidRPr="00A84172">
        <w:t>O.</w:t>
      </w:r>
      <w:r w:rsidRPr="00A84172">
        <w:tab/>
        <w:t>ker so med vajo štiri formacije ladij obalne straže Ljudske republike Kitajske obkolile otok in na kratko vstopile v njegove omejene vode; ker Ljudska republika Kitajska s pogostimi napotitvami ladij obalne straže v Tajvansko ožino v okviru operacij, ki jih sama označuje za „misije za preprečevanje, odkrivanje in preiskovanje kaznivih dejanj“ izvaja stalen pritisk na tajvanske oblasti in nevarno povečuje tveganje trkov, kar je eden od najbolj konkretnih znakov, da skuša spodkopati dosedanje stanje; ker so bile vaje, ki so potekale 14. oktobra 2024, že četrte obsežne vojaške vaje Ljudske republike Kitajske v nekaj več kot dveh letih;</w:t>
      </w:r>
    </w:p>
    <w:p w:rsidR="005421FB" w:rsidRPr="00A84172" w:rsidRDefault="005421FB" w:rsidP="005421FB">
      <w:pPr>
        <w:pStyle w:val="NormalHanging12a"/>
      </w:pPr>
      <w:r w:rsidRPr="00A84172">
        <w:t>P.</w:t>
      </w:r>
      <w:r w:rsidRPr="00A84172">
        <w:tab/>
        <w:t>ker je Tajvan ta dejanja, ki so le zadnja v nizu vojaških manevrov Ljudske republike Kitajske proti Tajvanu, obsodil kot „nerazumno provokacijo“; ker so te vojaške vaje potekale le nekaj dni po tem, ko je novi predsednik Tajvana Laj Čingte v govoru obljubil, da bo zaščitil suverenost Tajvana v zvezi z izzivi, povezanimi z Ljudsko republiko Kitajsko;</w:t>
      </w:r>
    </w:p>
    <w:p w:rsidR="005421FB" w:rsidRPr="00A84172" w:rsidRDefault="005421FB" w:rsidP="005421FB">
      <w:pPr>
        <w:pStyle w:val="NormalHanging12a"/>
      </w:pPr>
      <w:r w:rsidRPr="00A84172">
        <w:t>Q.</w:t>
      </w:r>
      <w:r w:rsidRPr="00A84172">
        <w:tab/>
        <w:t>ker naj bi sredinska črta skozi Tajvansko ožino, vzpostavljena z desetletja starim dogovorom med stranema, zmanjšala nevarnost konfliktov, saj vojaška letala na obeh strani ožine ohranjajo varno razdaljo in s tem preprečujejo usodne posledice zaradi napačne presoje; ker je Ljudska osvobodilna vojska Ljudske republike Kitajske med letoma 1954 in 2020 le štirikrat prestopila sredinsko črto, zdaj pa jo redno prestopa, kar odraža namero Pekinga, da nepovratno spremeni dolgoletne dogovore;</w:t>
      </w:r>
    </w:p>
    <w:p w:rsidR="005421FB" w:rsidRPr="00A84172" w:rsidRDefault="005421FB" w:rsidP="005421FB">
      <w:pPr>
        <w:pStyle w:val="NormalHanging12a"/>
      </w:pPr>
      <w:r w:rsidRPr="00A84172">
        <w:t>R.</w:t>
      </w:r>
      <w:r w:rsidRPr="00A84172">
        <w:tab/>
        <w:t>ker sta visoki predstavnik Unije za zunanje zadeve in varnostno politiko in ameriško zunanje ministrstvo v izjavah za javnost ponovno potrdila, da sta mir in stabilnost v Tajvanski ožini strateškega pomena za regionalno in svetovno varnost in blaginjo; ker je visoki predstavnik v izjavi spomnil, da je treba ohraniti dosedanje stanje v Tajvanski ožini in se zoperstaviti enostranskim ukrepom za spreminjanje dosedanjega stanja s silo ali prisilo, ter vse strani pozval, naj ravnajo zadržano in se izogibajo dejanjem, zaradi katerih bi se utegnile napetosti med Ljudsko republiko Kitajsko in Tajvanom dodatno zaostriti;</w:t>
      </w:r>
    </w:p>
    <w:p w:rsidR="005421FB" w:rsidRPr="00A84172" w:rsidRDefault="005421FB" w:rsidP="005421FB">
      <w:pPr>
        <w:pStyle w:val="NormalHanging12a"/>
      </w:pPr>
      <w:r w:rsidRPr="00A84172">
        <w:t>S.</w:t>
      </w:r>
      <w:r w:rsidRPr="00A84172">
        <w:tab/>
        <w:t>ker je Ljudska republika Kitajska 23. maja 2024, le nekaj dni po inavguraciji novega tajvanskega predsednika Laj Čingteja izvedla vojaško vajo, imenovano Joint Sword-2024A (Skupni meč);</w:t>
      </w:r>
    </w:p>
    <w:p w:rsidR="005421FB" w:rsidRPr="00A84172" w:rsidRDefault="005421FB" w:rsidP="005421FB">
      <w:pPr>
        <w:pStyle w:val="NormalHanging12a"/>
      </w:pPr>
      <w:r w:rsidRPr="00A84172">
        <w:lastRenderedPageBreak/>
        <w:t>T.</w:t>
      </w:r>
      <w:r w:rsidRPr="00A84172">
        <w:tab/>
        <w:t>ker je Ljudska republika Kitajska v zadnjih letih že izvajala podobne vojaške vaje okoli Tajvana; ker te vaje postajajo vse bolj intenzivne in se izvajajo vse bližje Tajvanu; ker je Ljudska republika Kitajska med prejšnjimi vajami avgusta 2022 tudi izstrelila izstrelke v izključno ekonomsko cono Japonske;</w:t>
      </w:r>
    </w:p>
    <w:p w:rsidR="005421FB" w:rsidRPr="00A84172" w:rsidRDefault="005421FB" w:rsidP="005421FB">
      <w:pPr>
        <w:pStyle w:val="NormalHanging12a"/>
      </w:pPr>
      <w:r w:rsidRPr="00A84172">
        <w:t>U.</w:t>
      </w:r>
      <w:r w:rsidRPr="00A84172">
        <w:tab/>
        <w:t>ker Ljudska republika Kitajska poleg vojaškega pritiska že dolgo izvaja sofisticirano strategijo proti Tajvanu s tujim manipuliranjem z informacijami in vmešavanjem, vključno s hibridnimi in kibernetskimi napadi, da bi spodkopala tajvansko demokratično družbo;</w:t>
      </w:r>
    </w:p>
    <w:p w:rsidR="005421FB" w:rsidRPr="00A84172" w:rsidRDefault="005421FB" w:rsidP="005421FB">
      <w:pPr>
        <w:pStyle w:val="NormalHanging12a"/>
      </w:pPr>
      <w:r w:rsidRPr="00A84172">
        <w:t>V.</w:t>
      </w:r>
      <w:r w:rsidRPr="00A84172">
        <w:tab/>
        <w:t>ker je Ljudska republika Kitajska pod vodstvom Xi Jinpinga izjavila, da se ne bo odpovedala uporabi sile pri prizadevanjih za združitev s Tajvanom;</w:t>
      </w:r>
    </w:p>
    <w:p w:rsidR="005421FB" w:rsidRPr="00A84172" w:rsidRDefault="005421FB" w:rsidP="005421FB">
      <w:pPr>
        <w:pStyle w:val="NormalHanging12a"/>
      </w:pPr>
      <w:r w:rsidRPr="00A84172">
        <w:t>W.</w:t>
      </w:r>
      <w:r w:rsidRPr="00A84172">
        <w:tab/>
        <w:t>ker zakon Ljudske republike Kitajske proti odcepitvi iz leta 2005 vključuje uporabo nemirovnih sredstev, ki jo sprožijo dvoumni pragovi, s čimer se želi doseči, kar Ljudska republika Kitajska imenuje združitev s Tajvanom; ker takšno vojaško posredovanje resno ogroža varnost in stabilnost vse regije in ima lahko hude posledice na svetovni ravni; ker so odvračilni ukrepi, ki so jih sprejele ZDA in EU, strateškega pomena, da se Ljudsko republiko Kitajsko odvrne od tega, da bi sprejela enostranske ukrepe proti Tajvanu;</w:t>
      </w:r>
    </w:p>
    <w:p w:rsidR="005421FB" w:rsidRPr="00A84172" w:rsidRDefault="005421FB" w:rsidP="005421FB">
      <w:pPr>
        <w:pStyle w:val="NormalHanging12a"/>
      </w:pPr>
      <w:r w:rsidRPr="00A84172">
        <w:t>X.</w:t>
      </w:r>
      <w:r w:rsidRPr="00A84172">
        <w:tab/>
        <w:t>ker Ljudska republika Kitajska z vse agresivnejšim ravnanjem, zlasti v bližnjem sosedstvu, kot sta Tajvanska ožina in Južnokitajsko morje, ogroža regionalno in svetovno varnost; ker Ljudska republika Kitajska od leta 2019 vse pogosteje krši identifikacijsko cono tajvanske zračne obrambe; ker Ljudska republika Kitajska agresivno nastopa na obsežnih območjih indijsko-pacifiške regije ter izvaja bolj ali manj ostro vojaško ali gospodarsko prisilo, kar povzroča spore s sosednjimi državami, kot so Japonska, Indija, Filipini in Avstralija;</w:t>
      </w:r>
    </w:p>
    <w:p w:rsidR="005421FB" w:rsidRPr="00A84172" w:rsidRDefault="005421FB" w:rsidP="005421FB">
      <w:pPr>
        <w:pStyle w:val="NormalHanging12a"/>
      </w:pPr>
      <w:r w:rsidRPr="00A84172">
        <w:t>Y.</w:t>
      </w:r>
      <w:r w:rsidRPr="00A84172">
        <w:tab/>
        <w:t>ker je EU obsodila nevarna dejanja, ki jih je kitajska obalna straža 31. avgusta 2024 s plovili izvedla zoper zakonite filipinske pomorske operacije v Južnokitajskem morju; ker je ta incident le zadnji v nizu dejanj, ki ogrožajo varstvo človeškega življenja na morju in kršijo pravico do proste plovbe in preleta v skladu z mednarodnim pravom; ker morata biti pomorska varnost in svoboda plovbe zagotovljeni v skladu z mednarodnim pravom, zlasti s Konvencijo OZN o pomorskem mednarodnem pravu;</w:t>
      </w:r>
    </w:p>
    <w:p w:rsidR="005421FB" w:rsidRPr="00A84172" w:rsidRDefault="005421FB" w:rsidP="005421FB">
      <w:pPr>
        <w:pStyle w:val="NormalHanging12a"/>
        <w:rPr>
          <w:shd w:val="clear" w:color="auto" w:fill="FFFFFF"/>
        </w:rPr>
      </w:pPr>
      <w:r w:rsidRPr="00A84172">
        <w:t>Z.</w:t>
      </w:r>
      <w:r w:rsidRPr="00A84172">
        <w:tab/>
        <w:t>ker Ljudska republika Kitajska podpira rusko vojaško agresijo proti Ukrajini, zlasti z izvozom blaga z dvojno rabo v Rusijo ter tako, da podjetja s sedežem na Kitajskem sodelujejo pri izogibanju sankcijam;</w:t>
      </w:r>
    </w:p>
    <w:p w:rsidR="005421FB" w:rsidRPr="00A84172" w:rsidRDefault="005421FB" w:rsidP="005421FB">
      <w:pPr>
        <w:pStyle w:val="NormalHanging12a"/>
      </w:pPr>
      <w:r w:rsidRPr="00A84172">
        <w:t>AA.</w:t>
      </w:r>
      <w:r w:rsidRPr="00A84172">
        <w:tab/>
        <w:t>ker si mora Ljudska republika Kitajska kot stalna članica varnostnega sveta OZN prizadevati za mir in stabilnost v tej regiji, predvsem v Tajvanski ožini;</w:t>
      </w:r>
    </w:p>
    <w:p w:rsidR="005421FB" w:rsidRPr="00A84172" w:rsidRDefault="005421FB" w:rsidP="005421FB">
      <w:pPr>
        <w:pStyle w:val="NormalHanging12a"/>
      </w:pPr>
      <w:r w:rsidRPr="00A84172">
        <w:t>AB.</w:t>
      </w:r>
      <w:r w:rsidRPr="00A84172">
        <w:tab/>
        <w:t>ker so EU in njene države članice s strategijo za sodelovanje v indijsko-pacifiški regiji iz leta 2021 povečale svojo prisotnost v regiji, vključno z večjo vojaško prisotnostjo nekaterih držav članic in rednim prehodom vojaških ladij skozi Tajvansko ožino;</w:t>
      </w:r>
    </w:p>
    <w:p w:rsidR="005421FB" w:rsidRPr="00A84172" w:rsidRDefault="005421FB" w:rsidP="005421FB">
      <w:pPr>
        <w:pStyle w:val="NormalHanging12a"/>
      </w:pPr>
      <w:r w:rsidRPr="00A84172">
        <w:t>AC.</w:t>
      </w:r>
      <w:r w:rsidRPr="00A84172">
        <w:tab/>
        <w:t xml:space="preserve">ker ima Tajvan strateški trgovinski položaj, zlasti v zvezi z visokotehnološkimi dobavnimi verigami; ker je Tajvanska ožina glavna pot za ladje, ki s Kitajske, Japonske, Tajvana in iz Južne Koreje potujejo v Evropo; ker Tajvan obvladuje trge proizvodnje polprevodnikov, saj njegovi proizvajalci proizvedejo približno 50 % vseh </w:t>
      </w:r>
      <w:r w:rsidRPr="00A84172">
        <w:lastRenderedPageBreak/>
        <w:t>polprevodnikov na svetu; ker se EU v svoji strategiji za sodelovanje v indijsko-pacifiški regiji zavzema za to, da se okrepi trgovinsko in naložbeno sodelovanje s Tajvanom;</w:t>
      </w:r>
    </w:p>
    <w:p w:rsidR="005421FB" w:rsidRPr="00A84172" w:rsidRDefault="005421FB" w:rsidP="005421FB">
      <w:pPr>
        <w:pStyle w:val="NormalHanging12a"/>
      </w:pPr>
      <w:r w:rsidRPr="00A84172">
        <w:t>AD.</w:t>
      </w:r>
      <w:r w:rsidRPr="00A84172">
        <w:tab/>
        <w:t>ker je Evropska unija četrta največja trgovinska partnerica Tajvana, takoj za Ljudsko republiko Kitajsko, ZDA in Japonsko; ker je bil Tajvan leta 2022 dvanajsti največji trgovinski partner EU; ker je EU največji vir neposrednih tujih naložb na Tajvanu; ker tajvanske naložbe v EU še vedno ne dosegajo svojega potenciala;</w:t>
      </w:r>
    </w:p>
    <w:p w:rsidR="005421FB" w:rsidRPr="00A84172" w:rsidRDefault="005421FB" w:rsidP="005421FB">
      <w:pPr>
        <w:pStyle w:val="NormalHanging12a"/>
      </w:pPr>
      <w:r w:rsidRPr="00A84172">
        <w:t>AE.</w:t>
      </w:r>
      <w:r w:rsidRPr="00A84172">
        <w:tab/>
        <w:t>ker so člani avstralskega senata in nizozemske poslanske zbornice nedavno sprejeli predloge v zvezi s tem, da Ljudska republika Kitajska izkrivljeno tolmači resolucijo OZN št. 2758, in pozvali k podpori večjega sodelovanja Tajvana v večstranskih organizacijah;</w:t>
      </w:r>
    </w:p>
    <w:p w:rsidR="005421FB" w:rsidRPr="00A84172" w:rsidRDefault="005421FB" w:rsidP="005421FB">
      <w:pPr>
        <w:pStyle w:val="NormalHanging12a"/>
      </w:pPr>
      <w:r w:rsidRPr="00A84172">
        <w:t>1.</w:t>
      </w:r>
      <w:r w:rsidRPr="00A84172">
        <w:tab/>
        <w:t>ponovno poudarja, da je Tajvan ključni partner EU in enako misleč demokratični prijatelj v indijsko-pacifiški regiji; izreka pohvalo Tajvanu in tajvanskemu ljudstvu za trdno demokracijo in živahno civilno družbo, kot so ponovno pokazale mirne in dobro organizirane volitve 13. januarja 2024;</w:t>
      </w:r>
    </w:p>
    <w:p w:rsidR="005421FB" w:rsidRPr="00A84172" w:rsidRDefault="005421FB" w:rsidP="005421FB">
      <w:pPr>
        <w:pStyle w:val="NormalHanging12a"/>
      </w:pPr>
      <w:r w:rsidRPr="00A84172">
        <w:t>2.</w:t>
      </w:r>
      <w:r w:rsidRPr="00A84172">
        <w:tab/>
        <w:t>nasprotuje stalnemu izkrivljanju resolucije OZN št. 2758 s strani Ljudske republike Kitajske in njenim prizadevanjem za preprečitev sodelovanja Tajvana v mnogostranskih organizacijah; poziva EU in njene države članice, naj podprejo smotrno sodelovanje Tajvana v ustreznih mednarodnih organizacijah, kot so Svetovna zdravstvena organizacija, ICAO, Interpol in UNFCCC; nadalje poziva sekretariat OZN, naj tajvanskim državljanom in novinarjem omogoči dostop do prostorov OZN, da jih bodo lahko obiskali, pa tudi za sestanke in izvajanje informativnih dejavnosti;</w:t>
      </w:r>
    </w:p>
    <w:p w:rsidR="005421FB" w:rsidRPr="00A84172" w:rsidRDefault="005421FB" w:rsidP="005421FB">
      <w:pPr>
        <w:pStyle w:val="NormalHanging12a"/>
      </w:pPr>
      <w:r w:rsidRPr="00A84172">
        <w:t>3.</w:t>
      </w:r>
      <w:r w:rsidRPr="00A84172">
        <w:tab/>
        <w:t>ostro obsoja neupravičene vojaške vaje Ljudske republike Kitajske 14. oktobra 2024, njene nenehne vojaške provokacije proti Tajvanu in vztrajno kopičenje vojaških sil, ki spreminja ravnovesje moči v indijsko-pacifiški regiji, ter ponovno odločno zavrača vsakršno enostransko spremembo dosedanjega stanja v Tajvanski ožini; pozdravlja zadržani odziv tajvanskih oblasti ter poziva k rednim izmenjavam med EU in njenimi tajvanskimi sogovorniki o pomembnih varnostnih vprašanjih;</w:t>
      </w:r>
    </w:p>
    <w:p w:rsidR="005421FB" w:rsidRPr="00A84172" w:rsidRDefault="005421FB" w:rsidP="005421FB">
      <w:pPr>
        <w:pStyle w:val="NormalHanging12a"/>
      </w:pPr>
      <w:r w:rsidRPr="00A84172">
        <w:t>4.</w:t>
      </w:r>
      <w:r w:rsidRPr="00A84172">
        <w:tab/>
        <w:t>potrjuje svojo trdno zavezanost sedanjemu stanju v Tajvanski ožini; poudarja, da kakršen koli poskus enostranske spremembe sedanjega stanja v Tajvanski ožini, zlasti s silo ali prisilo, ne bo sprejet in bo izzval odločen in trden odziv;</w:t>
      </w:r>
    </w:p>
    <w:p w:rsidR="005421FB" w:rsidRPr="00A84172" w:rsidRDefault="005421FB" w:rsidP="005421FB">
      <w:pPr>
        <w:pStyle w:val="NormalHanging12a"/>
      </w:pPr>
      <w:r w:rsidRPr="00A84172">
        <w:t>5.</w:t>
      </w:r>
      <w:r w:rsidRPr="00A84172">
        <w:tab/>
        <w:t>poudarja, da resolucija OZN št. 2758 ne zavzema stališča o Tajvanu; odločno zavrača in zanika poskuse Ljudske republike Kitajske, da bi izkrivila zgodovino in mednarodna pravila;</w:t>
      </w:r>
    </w:p>
    <w:p w:rsidR="005421FB" w:rsidRPr="00A84172" w:rsidRDefault="005421FB" w:rsidP="005421FB">
      <w:pPr>
        <w:pStyle w:val="NormalHanging12a"/>
      </w:pPr>
      <w:r w:rsidRPr="00A84172">
        <w:t>6.</w:t>
      </w:r>
      <w:r w:rsidRPr="00A84172">
        <w:tab/>
        <w:t>poudarja zavezanost EU politiki „ene Kitajske“ kot političnemu temelju odnosov med EU in Kitajsko; želi spomniti na strategijo EU za odnose s Kitajsko, ki poudarja, da so konstruktivni odnosi med obema stranema ob Tajvanski ožini del prizadevanj za ohranjanje miru in varnosti v vsej azijsko-pacifiški regiji ter da EU podpira pobude za dialog in krepitev zaupanja;</w:t>
      </w:r>
    </w:p>
    <w:p w:rsidR="005421FB" w:rsidRPr="00A84172" w:rsidRDefault="005421FB" w:rsidP="005421FB">
      <w:pPr>
        <w:pStyle w:val="NormalHanging12a"/>
      </w:pPr>
      <w:r w:rsidRPr="00A84172">
        <w:t>7.</w:t>
      </w:r>
      <w:r w:rsidRPr="00A84172">
        <w:tab/>
        <w:t xml:space="preserve">poudarja, da se na Tajvanu ljudje sami demokratično odločajo, kako želijo živeti, ter da se </w:t>
      </w:r>
      <w:r w:rsidRPr="00A84172">
        <w:rPr>
          <w:i/>
          <w:iCs/>
        </w:rPr>
        <w:t>status quo</w:t>
      </w:r>
      <w:r w:rsidRPr="00A84172">
        <w:t xml:space="preserve"> v Tajvanski ožini ne sme enostransko spreminjati z uporabo sile ali grožnjami;</w:t>
      </w:r>
    </w:p>
    <w:p w:rsidR="005421FB" w:rsidRPr="00A84172" w:rsidRDefault="005421FB" w:rsidP="005421FB">
      <w:pPr>
        <w:pStyle w:val="NormalHanging12a"/>
      </w:pPr>
      <w:r w:rsidRPr="00A84172">
        <w:t>8.</w:t>
      </w:r>
      <w:r w:rsidRPr="00A84172">
        <w:tab/>
        <w:t xml:space="preserve">ponovno odločno obsoja izjave kitajskega predsednika Xi Jinpinga, da se Ljudska </w:t>
      </w:r>
      <w:r w:rsidRPr="00A84172">
        <w:lastRenderedPageBreak/>
        <w:t>republika Kitajska ne bo nikoli odpovedala pravici do uporabe sile, ko gre za Tajvan; poudarja, da je uporaba sile ali groženj ali drugih skrajno prisilnih ukrepov s strani Ljudske republike Kitajske za doseganje združitve v nasprotju z mednarodnim pravom; izraža globoko zaskrbljenost, ker Ljudska republika Kitajska uporablja sovražne dezinformacije, ki spodkopavajo zaupanje v tajvansko demokracijo in upravljanje; ponavlja svoje pretekle pozive EU in njenim državam članicam, naj sodelujejo z mednarodnimi partnerji, da bi pomagale ohraniti demokracijo na Tajvanu, da ne bi bila izpostavljena tujemu vmešavanju in grožnjam; poudarja, da lahko tajvansko ljudstvo na mednarodnem prizorišču zastopa le demokratično izvoljena vlada Tajvana;</w:t>
      </w:r>
    </w:p>
    <w:p w:rsidR="005421FB" w:rsidRPr="00A84172" w:rsidRDefault="005421FB" w:rsidP="005421FB">
      <w:pPr>
        <w:pStyle w:val="NormalHanging12a"/>
      </w:pPr>
      <w:r w:rsidRPr="00A84172">
        <w:t>9.</w:t>
      </w:r>
      <w:r w:rsidRPr="00A84172">
        <w:tab/>
        <w:t>obsoja sistematične vojaške akcije Ljudske republike Kitajske na sivem vojaškem območju, vključno s kibernetskimi in dezinformacijskimi kampanjami, uperjenimi proti Tajvanu, ter jo poziva, naj te dejavnosti nemudoma ustavi; v zvezi s tem poziva k nadaljnji poglobitvi sodelovanja med EU in Tajvanom, da bi izboljšali strukturno sodelovanje v boju proti dezinformacijam in tujemu vmešavanju; pozdravlja napotitev uradnika za zvezo v Evropski gospodarski in trgovinski urad na Tajvanu, ki bo usklajeval skupna prizadevanja za boj proti dezinformacijam in vmešavanju, kar je prvi pomemben korak k tesnejšemu sodelovanju med EU in Tajvanom, ter poziva Unijo, naj ga še poglobi; pozdravlja pogum Tajvancev ter sorazmerne in dostojanstvene odzive tajvanskih oblasti na zaostrovanje kitajskih groženj;</w:t>
      </w:r>
    </w:p>
    <w:p w:rsidR="005421FB" w:rsidRPr="00A84172" w:rsidRDefault="005421FB" w:rsidP="005421FB">
      <w:pPr>
        <w:pStyle w:val="NormalHanging12a"/>
        <w:rPr>
          <w:bCs/>
        </w:rPr>
      </w:pPr>
      <w:r w:rsidRPr="00A84172">
        <w:t>10.</w:t>
      </w:r>
      <w:r w:rsidRPr="00A84172">
        <w:tab/>
        <w:t>odločno zavrača prakso gospodarske prisile, ki jo Ljudska republika Kitajska uporablja proti Tajvanu in drugim državam, pa tudi proti državam članicam EU, in poudarja, da to ni nezakonito samo po pravilih Svetovne trgovinske organizacije, temveč ima tudi uničujoče posledice za ugled Ljudske republike Kitajske po svetu in bo še bolj omajala zaupanje vanjo kot odgovornega akterja; poudarja neodvisno pravico EU in njenih držav članic, da razvijajo odnose s Tajvanom v skladu s svojimi interesi in skupnimi vrednotami demokracije in človekovih pravic brez tujega vmešavanja; poziva predstavništva EU in držav članic v tujini, naj obravnavajo škodljive poslovne prakse Ljudske republike Kitajske in poiščejo alternative zanje, zlasti na svetovnem jugu;</w:t>
      </w:r>
    </w:p>
    <w:p w:rsidR="005421FB" w:rsidRPr="00A84172" w:rsidRDefault="005421FB" w:rsidP="005421FB">
      <w:pPr>
        <w:pStyle w:val="NormalHanging12a"/>
      </w:pPr>
      <w:r w:rsidRPr="00A84172">
        <w:t>11.</w:t>
      </w:r>
      <w:r w:rsidRPr="00A84172">
        <w:tab/>
        <w:t>je zelo zaskrbljen zaradi sprejetja tako imenovanih smernic za kaznovanje „zagrizenih separatistov za neodvisnost“ Tajvana zaradi kaznivih dejanj odcepitve in spodbujanja k odcepitvi, ki so jih junija 2024 skupaj napovedali vrhovno ljudsko sodišče, vrhovni ljudski tožilec, ministrstvi za javno in državno varnost ter ministrstvo za pravosodje, kar bi lahko privedlo do strogih kazni za kaznivo dejanje odcepitve, celo do smrtne kazni; odločno obsoja obsodbo tajvanskega aktivista na devet let zapora septembra 2024, potem ko je bil leta 2022 aretiran v Ljudski republiki Kitajski, ter nenehno nadlegovanje Tajvancev, ki delajo in živijo na Kitajskem;</w:t>
      </w:r>
    </w:p>
    <w:p w:rsidR="005421FB" w:rsidRPr="00A84172" w:rsidRDefault="005421FB" w:rsidP="005421FB">
      <w:pPr>
        <w:pStyle w:val="NormalHanging12a"/>
      </w:pPr>
      <w:r w:rsidRPr="00A84172">
        <w:t>12.</w:t>
      </w:r>
      <w:r w:rsidRPr="00A84172">
        <w:tab/>
        <w:t>je resno zaskrbljen zaradi razmer v Vzhodnokitajskem in Južnokitajskem morju; poudarja, kako pomembno je, da se spoštuje mednarodno pravo, vključno s Konvencijo OZN o pomorskem mednarodnem pravu, zlasti njena določba o obveznosti miroljubnega reševanja sporov ter ohranitvi svobode plovbe in preleta; poziva vse države, ki te konvencije še niso ratificirale, naj to čim prej storijo; poziva EU in njene države članice, naj okrepijo svoje pomorske zmogljivosti v tej regiji; opozarja Ljudsko republiko Kitajsko na njeno odgovornost, da kot stalna članica varnostnega sveta OZN spoštuje mednarodno pravo, in poudarja, da je treba spore reševati na miren način;</w:t>
      </w:r>
    </w:p>
    <w:p w:rsidR="005421FB" w:rsidRPr="00A84172" w:rsidRDefault="005421FB" w:rsidP="005421FB">
      <w:pPr>
        <w:pStyle w:val="NormalHanging12a"/>
      </w:pPr>
      <w:r w:rsidRPr="00A84172">
        <w:t>13.</w:t>
      </w:r>
      <w:r w:rsidRPr="00A84172">
        <w:tab/>
        <w:t xml:space="preserve">ponavlja, da je resno zaskrbljen zaradi vse večjih vojaških naložb in zmogljivosti Kitajske; izraža veliko zaskrbljenost, ker sta Kitajska in Rusija obnovili zavezo, da </w:t>
      </w:r>
      <w:r w:rsidRPr="00A84172">
        <w:lastRenderedPageBreak/>
        <w:t>bosta svoje vojaške vezi še okrepili, in obsoja, da Kitajska moskovski vojaški industriji dobavlja sestavne dele in opremo; pozdravlja sklep Sveta, da se proti kitajskim podjetjem, ki podpirajo rusko vojno proti Ukrajini, uvedejo sankcije; obžaluje „brezmejno“ partnerstvo med Rusijo in Ljudsko republiko Kitajsko; pozdravlja vse večjo zavezanost in vojaško prisotnost Združenih držav v indijsko-pacifiški regiji; ponovno poziva, naj se za poglabljanje sodelovanja med EU in ZDA na področju varnostnih zadev uporabi usklajen pristop, ki bo vključeval čezatlantski parlamentarni dialog;</w:t>
      </w:r>
    </w:p>
    <w:p w:rsidR="005421FB" w:rsidRPr="00A84172" w:rsidRDefault="005421FB" w:rsidP="005421FB">
      <w:pPr>
        <w:pStyle w:val="NormalHanging12a"/>
      </w:pPr>
      <w:r w:rsidRPr="00A84172">
        <w:t>14.</w:t>
      </w:r>
      <w:r w:rsidRPr="00A84172">
        <w:tab/>
        <w:t>odločno pozdravlja tesno sodelovanje in usklajevanje med Tajvanom ter EU in ZDA pri odzivu na rusko vojno proti Ukrajini in uvedbo sankcij kot odgovor na to očitno kršitev mednarodnega prava; opozarja na pomoč Tajvana pri reševanju humanitarne krize, ki jo je povzročila ruska vojaška agresija proti Ukrajini, pa tudi na njegovo stalno sodelovanje in podporo ukrajinski vladi in državam, ki gostijo ukrajinske begunce;</w:t>
      </w:r>
    </w:p>
    <w:p w:rsidR="005421FB" w:rsidRPr="00A84172" w:rsidRDefault="005421FB" w:rsidP="005421FB">
      <w:pPr>
        <w:pStyle w:val="NormalHanging12a"/>
      </w:pPr>
      <w:r w:rsidRPr="00A84172">
        <w:t>15.</w:t>
      </w:r>
      <w:r w:rsidRPr="00A84172">
        <w:tab/>
        <w:t xml:space="preserve">poudarja, da različni ukrepi Ljudske republike Kitajske na področju kognitivnega in pravnega vojskovanja počasi spodkopavajo </w:t>
      </w:r>
      <w:r w:rsidRPr="00A84172">
        <w:rPr>
          <w:i/>
          <w:iCs/>
        </w:rPr>
        <w:t>status quo</w:t>
      </w:r>
      <w:r w:rsidRPr="00A84172">
        <w:t xml:space="preserve"> ter krepijo dejavnosti v sivem območju, katerih namen je izogibanje odkrivanju ter zaobhajanje veljavnih zakonov in pragov za odzivanje; poziva EU, naj z uporabo nabora sankcij proti hibridnim dejavnostim in kibernetskim grožnjam, vključno s sektorskimi sankcijami, določi in začne uveljavljati svoje skrajne meje ter naj s podobno mislečimi partnerji usklajuje odločne diplomatske in gospodarske odvračilne ukrepe;</w:t>
      </w:r>
    </w:p>
    <w:p w:rsidR="005421FB" w:rsidRPr="00A84172" w:rsidRDefault="005421FB" w:rsidP="005421FB">
      <w:pPr>
        <w:pStyle w:val="NormalHanging12a"/>
      </w:pPr>
      <w:r w:rsidRPr="00A84172">
        <w:t>16.</w:t>
      </w:r>
      <w:r w:rsidRPr="00A84172">
        <w:tab/>
        <w:t>se zahvaljuje Tajvanu za pomoč in podporo med pandemijo covida-19;</w:t>
      </w:r>
    </w:p>
    <w:p w:rsidR="005421FB" w:rsidRPr="00A84172" w:rsidRDefault="005421FB" w:rsidP="005421FB">
      <w:pPr>
        <w:pStyle w:val="NormalHanging12a"/>
      </w:pPr>
      <w:r w:rsidRPr="00A84172">
        <w:t>17.</w:t>
      </w:r>
      <w:r w:rsidRPr="00A84172">
        <w:tab/>
        <w:t>priznava pomembno vlogo Tajvana pri vzdrževanju svetovnih dobavnih verig, zlasti v visokotehnološkem sektorju, kjer je Tajvan vodilni proizvajalec polprevodnikov, ter poziva EU in njene države članice, naj tesneje sodelujejo z njim;</w:t>
      </w:r>
    </w:p>
    <w:p w:rsidR="005421FB" w:rsidRPr="00A84172" w:rsidRDefault="005421FB" w:rsidP="005421FB">
      <w:pPr>
        <w:pStyle w:val="NormalHanging12a"/>
      </w:pPr>
      <w:r w:rsidRPr="00A84172">
        <w:t>18.</w:t>
      </w:r>
      <w:r w:rsidRPr="00A84172">
        <w:tab/>
        <w:t>poziva Komisijo, naj nemudoma začne izvajati pripravljalne ukrepe za pogajanja o dvostranskem sporazumu o naložbah ali drugih vrstah sporazumov s Tajvanom; poudarja potencial za sodelovanje na področju politike o pregledu neposrednih tujih naložb ter boja proti gospodarski prisili in povračilnim ukrepom;</w:t>
      </w:r>
    </w:p>
    <w:p w:rsidR="005421FB" w:rsidRPr="00A84172" w:rsidRDefault="005421FB" w:rsidP="005421FB">
      <w:pPr>
        <w:pStyle w:val="NormalHanging12a"/>
      </w:pPr>
      <w:r w:rsidRPr="00A84172">
        <w:t>19.</w:t>
      </w:r>
      <w:r w:rsidRPr="00A84172">
        <w:tab/>
        <w:t>pozdravlja povečanje vaj svobode plovbe, ki jih izvaja več držav EU, med njimi Francija, Nizozemska in Nemčija; ugotavlja, da so te dejavnosti v skladu z mednarodnim pravom in poziva k večjemu sodelovanju in usklajevanju s partnerji v regiji, da bi povečali število operacij svobode plovbe v tej regiji;</w:t>
      </w:r>
    </w:p>
    <w:p w:rsidR="005421FB" w:rsidRPr="00A84172" w:rsidRDefault="005421FB" w:rsidP="005421FB">
      <w:pPr>
        <w:pStyle w:val="NormalHanging12a"/>
      </w:pPr>
      <w:r w:rsidRPr="00A84172">
        <w:t>20.</w:t>
      </w:r>
      <w:r w:rsidRPr="00A84172">
        <w:tab/>
        <w:t>pozdravlja obiske nekdanjih in sedanjih tajvanskih politikov v Evropi, vključno z nedavnim obiskom nekdanje predsednice Caj Ingven v Evropskem parlamentu 17. oktobra 2024; poleg tega pozdravlja stalne izmenjave med evropskimi poslanci in Tajvanom ter spodbuja k nadaljnjim obiskom uradnih delegacij Evropskega parlamenta na Tajvanu; spodbuja tudi k nadaljnjim izmenjavam med EU in Tajvanom na vseh ravneh, vključno s političnimi in medosebnimi srečanji;</w:t>
      </w:r>
    </w:p>
    <w:p w:rsidR="005421FB" w:rsidRPr="00A84172" w:rsidRDefault="005421FB" w:rsidP="005421FB">
      <w:pPr>
        <w:pStyle w:val="NormalHanging12a"/>
      </w:pPr>
      <w:r w:rsidRPr="00A84172">
        <w:t>21.</w:t>
      </w:r>
      <w:r w:rsidRPr="00A84172">
        <w:tab/>
        <w:t xml:space="preserve">v zvezi s tem spodbuja k več gospodarskim, znanstvenim in kulturnim interakcijam in izmenjavam, med drugim s poudarkom na mladih, akademskih krogih, civilni družbi, športu, kulturi in izobraževanju ter partnerstvih med mesti in regijami; ponovno poziva države članice, naj smiselno in strukturno tehnično sodelujejo s tajvansko gasilsko agencijo in policijsko agencijo ter z lokalnimi upravami na področju civilne zaščite in </w:t>
      </w:r>
      <w:r w:rsidRPr="00A84172">
        <w:lastRenderedPageBreak/>
        <w:t>obvladovanja nesreč;</w:t>
      </w:r>
    </w:p>
    <w:p w:rsidR="005421FB" w:rsidRPr="00A84172" w:rsidRDefault="005421FB" w:rsidP="00CA1B69">
      <w:pPr>
        <w:pStyle w:val="NormalHanging12a"/>
      </w:pPr>
      <w:r w:rsidRPr="00A84172">
        <w:t>22.</w:t>
      </w:r>
      <w:r w:rsidRPr="00A84172">
        <w:tab/>
        <w:t>naroči svoji predsednici, naj to resolucijo posreduje Svetu, Komisiji, podpredsedniku Komisije/visokemu predstavniku Unije za zunanje zadeve in varnostno politiko ter vladama Ljudske republike Kitajske in Tajvana.</w:t>
      </w:r>
    </w:p>
    <w:sectPr w:rsidR="005421FB" w:rsidRPr="00A84172" w:rsidSect="00A841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CDF" w:rsidRPr="00A84172" w:rsidRDefault="00EA2CDF">
      <w:r w:rsidRPr="00A84172">
        <w:separator/>
      </w:r>
    </w:p>
  </w:endnote>
  <w:endnote w:type="continuationSeparator" w:id="0">
    <w:p w:rsidR="00EA2CDF" w:rsidRPr="00A84172" w:rsidRDefault="00EA2CDF">
      <w:r w:rsidRPr="00A841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17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1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1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CDF" w:rsidRPr="00A84172" w:rsidRDefault="00EA2CDF">
      <w:r w:rsidRPr="00A84172">
        <w:separator/>
      </w:r>
    </w:p>
  </w:footnote>
  <w:footnote w:type="continuationSeparator" w:id="0">
    <w:p w:rsidR="00EA2CDF" w:rsidRPr="00A84172" w:rsidRDefault="00EA2CDF">
      <w:r w:rsidRPr="00A84172">
        <w:continuationSeparator/>
      </w:r>
    </w:p>
  </w:footnote>
  <w:footnote w:id="1">
    <w:p w:rsidR="005421FB" w:rsidRPr="00A84172" w:rsidRDefault="005421FB" w:rsidP="00A84172">
      <w:pPr>
        <w:pStyle w:val="FootnoteText"/>
        <w:ind w:left="567" w:hanging="567"/>
        <w:rPr>
          <w:sz w:val="24"/>
          <w:lang w:val="sl-SI"/>
        </w:rPr>
      </w:pPr>
      <w:r w:rsidRPr="00A84172">
        <w:rPr>
          <w:rStyle w:val="FootnoteReference"/>
          <w:sz w:val="24"/>
          <w:lang w:val="sl-SI"/>
        </w:rPr>
        <w:footnoteRef/>
      </w:r>
      <w:r w:rsidR="00A84172" w:rsidRPr="00A84172">
        <w:rPr>
          <w:sz w:val="24"/>
          <w:lang w:val="sl-SI"/>
        </w:rPr>
        <w:t xml:space="preserve"> </w:t>
      </w:r>
      <w:r w:rsidR="00A84172" w:rsidRPr="00A84172">
        <w:rPr>
          <w:sz w:val="24"/>
          <w:lang w:val="sl-SI"/>
        </w:rPr>
        <w:tab/>
      </w:r>
      <w:r w:rsidRPr="00A84172">
        <w:rPr>
          <w:sz w:val="24"/>
          <w:lang w:val="sl-SI"/>
        </w:rPr>
        <w:t>UL C 117, 11.3.2022, str. 40.</w:t>
      </w:r>
    </w:p>
  </w:footnote>
  <w:footnote w:id="2">
    <w:p w:rsidR="005421FB" w:rsidRPr="00A84172" w:rsidRDefault="005421FB" w:rsidP="00A84172">
      <w:pPr>
        <w:pStyle w:val="FootnoteText"/>
        <w:ind w:left="567" w:hanging="567"/>
        <w:rPr>
          <w:sz w:val="24"/>
          <w:lang w:val="sl-SI"/>
        </w:rPr>
      </w:pPr>
      <w:r w:rsidRPr="00A84172">
        <w:rPr>
          <w:rStyle w:val="FootnoteReference"/>
          <w:sz w:val="24"/>
          <w:lang w:val="sl-SI"/>
        </w:rPr>
        <w:footnoteRef/>
      </w:r>
      <w:r w:rsidR="00A84172" w:rsidRPr="00A84172">
        <w:rPr>
          <w:sz w:val="24"/>
          <w:lang w:val="sl-SI"/>
        </w:rPr>
        <w:t xml:space="preserve"> </w:t>
      </w:r>
      <w:r w:rsidR="00A84172" w:rsidRPr="00A84172">
        <w:rPr>
          <w:sz w:val="24"/>
          <w:lang w:val="sl-SI"/>
        </w:rPr>
        <w:tab/>
      </w:r>
      <w:r w:rsidRPr="00A84172">
        <w:rPr>
          <w:sz w:val="24"/>
          <w:lang w:val="sl-SI"/>
        </w:rPr>
        <w:t>UL C 184, 5.5.2022, str. 170.</w:t>
      </w:r>
    </w:p>
  </w:footnote>
  <w:footnote w:id="3">
    <w:p w:rsidR="005421FB" w:rsidRPr="00A84172" w:rsidRDefault="005421FB" w:rsidP="00A84172">
      <w:pPr>
        <w:pStyle w:val="FootnoteText"/>
        <w:ind w:left="567" w:hanging="567"/>
        <w:rPr>
          <w:sz w:val="24"/>
          <w:lang w:val="sl-SI"/>
        </w:rPr>
      </w:pPr>
      <w:r w:rsidRPr="00A84172">
        <w:rPr>
          <w:rStyle w:val="FootnoteReference"/>
          <w:sz w:val="24"/>
          <w:lang w:val="sl-SI"/>
        </w:rPr>
        <w:footnoteRef/>
      </w:r>
      <w:r w:rsidR="00A84172" w:rsidRPr="00A84172">
        <w:rPr>
          <w:sz w:val="24"/>
          <w:lang w:val="sl-SI"/>
        </w:rPr>
        <w:t xml:space="preserve"> </w:t>
      </w:r>
      <w:r w:rsidR="00A84172" w:rsidRPr="00A84172">
        <w:rPr>
          <w:sz w:val="24"/>
          <w:lang w:val="sl-SI"/>
        </w:rPr>
        <w:tab/>
      </w:r>
      <w:r w:rsidRPr="00A84172">
        <w:rPr>
          <w:sz w:val="24"/>
          <w:lang w:val="sl-SI"/>
        </w:rPr>
        <w:t>UL C 493, 27.12.2022, str. 32.</w:t>
      </w:r>
    </w:p>
  </w:footnote>
  <w:footnote w:id="4">
    <w:p w:rsidR="005421FB" w:rsidRPr="00A84172" w:rsidRDefault="005421FB" w:rsidP="00A84172">
      <w:pPr>
        <w:pStyle w:val="FootnoteText"/>
        <w:ind w:left="567" w:hanging="567"/>
        <w:rPr>
          <w:sz w:val="24"/>
          <w:lang w:val="sl-SI"/>
        </w:rPr>
      </w:pPr>
      <w:r w:rsidRPr="00A84172">
        <w:rPr>
          <w:rStyle w:val="FootnoteReference"/>
          <w:sz w:val="24"/>
          <w:lang w:val="sl-SI"/>
        </w:rPr>
        <w:footnoteRef/>
      </w:r>
      <w:r w:rsidR="00A84172" w:rsidRPr="00A84172">
        <w:rPr>
          <w:sz w:val="24"/>
          <w:lang w:val="sl-SI"/>
        </w:rPr>
        <w:t xml:space="preserve"> </w:t>
      </w:r>
      <w:r w:rsidR="00A84172" w:rsidRPr="00A84172">
        <w:rPr>
          <w:sz w:val="24"/>
          <w:lang w:val="sl-SI"/>
        </w:rPr>
        <w:tab/>
      </w:r>
      <w:r w:rsidRPr="00A84172">
        <w:rPr>
          <w:sz w:val="24"/>
          <w:lang w:val="sl-SI"/>
        </w:rPr>
        <w:t>UL C 125, 5.4.2023, str. 149.</w:t>
      </w:r>
    </w:p>
  </w:footnote>
  <w:footnote w:id="5">
    <w:p w:rsidR="005421FB" w:rsidRPr="00A84172" w:rsidRDefault="005421FB" w:rsidP="00A84172">
      <w:pPr>
        <w:pStyle w:val="FootnoteText"/>
        <w:ind w:left="567" w:hanging="567"/>
        <w:rPr>
          <w:sz w:val="24"/>
          <w:lang w:val="sl-SI"/>
        </w:rPr>
      </w:pPr>
      <w:r w:rsidRPr="00A84172">
        <w:rPr>
          <w:rStyle w:val="FootnoteReference"/>
          <w:sz w:val="24"/>
          <w:lang w:val="sl-SI"/>
        </w:rPr>
        <w:footnoteRef/>
      </w:r>
      <w:r w:rsidR="00A84172" w:rsidRPr="00A84172">
        <w:rPr>
          <w:sz w:val="24"/>
          <w:lang w:val="sl-SI"/>
        </w:rPr>
        <w:t xml:space="preserve"> </w:t>
      </w:r>
      <w:r w:rsidR="00A84172" w:rsidRPr="00A84172">
        <w:rPr>
          <w:sz w:val="24"/>
          <w:lang w:val="sl-SI"/>
        </w:rPr>
        <w:tab/>
      </w:r>
      <w:r w:rsidRPr="00A84172">
        <w:rPr>
          <w:sz w:val="24"/>
          <w:lang w:val="sl-SI"/>
        </w:rPr>
        <w:t xml:space="preserve">UL C, C/2024/4174, 2.8.2024, ELI: </w:t>
      </w:r>
      <w:hyperlink r:id="rId1" w:history="1">
        <w:r w:rsidRPr="00A84172">
          <w:rPr>
            <w:rStyle w:val="Hyperlink"/>
            <w:sz w:val="24"/>
            <w:lang w:val="sl-SI"/>
          </w:rPr>
          <w:t>http://data.europa.eu/eli/C/2024/4174/oj</w:t>
        </w:r>
      </w:hyperlink>
      <w:r w:rsidRPr="00A84172">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1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1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1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 0135, 0137, 0138 in 0140/2024"/>
    <w:docVar w:name="dvlangue" w:val="SL"/>
    <w:docVar w:name="dvnumam" w:val="0"/>
    <w:docVar w:name="dvpe" w:val="764.114"/>
    <w:docVar w:name="dvtitre" w:val="Resolucija Evropskega parlamenta z dne … 2024 o napačni razlagi resolucije OZN št. 2758 s strani Ljudske republike Kitajske in njenih stalnih vojaških provokacijah okoli Tajvana(2024/2891(RSP))"/>
  </w:docVars>
  <w:rsids>
    <w:rsidRoot w:val="00EA2CDF"/>
    <w:rsid w:val="00002272"/>
    <w:rsid w:val="00064002"/>
    <w:rsid w:val="000677B9"/>
    <w:rsid w:val="000831BA"/>
    <w:rsid w:val="000A42CC"/>
    <w:rsid w:val="000E7DD9"/>
    <w:rsid w:val="0010095E"/>
    <w:rsid w:val="00125B37"/>
    <w:rsid w:val="00187494"/>
    <w:rsid w:val="001E4786"/>
    <w:rsid w:val="001F32AE"/>
    <w:rsid w:val="002767FF"/>
    <w:rsid w:val="002B18FE"/>
    <w:rsid w:val="002B5493"/>
    <w:rsid w:val="00343214"/>
    <w:rsid w:val="00361C00"/>
    <w:rsid w:val="00395FA1"/>
    <w:rsid w:val="003A5ECB"/>
    <w:rsid w:val="003E15D4"/>
    <w:rsid w:val="00411CCE"/>
    <w:rsid w:val="0041666E"/>
    <w:rsid w:val="00421060"/>
    <w:rsid w:val="00471C19"/>
    <w:rsid w:val="004867E3"/>
    <w:rsid w:val="00494A28"/>
    <w:rsid w:val="004C0004"/>
    <w:rsid w:val="004C5D52"/>
    <w:rsid w:val="0050519A"/>
    <w:rsid w:val="005072A1"/>
    <w:rsid w:val="00514517"/>
    <w:rsid w:val="005421F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4172"/>
    <w:rsid w:val="00AB441E"/>
    <w:rsid w:val="00AB6293"/>
    <w:rsid w:val="00AE0928"/>
    <w:rsid w:val="00AF3B82"/>
    <w:rsid w:val="00B12E95"/>
    <w:rsid w:val="00B22876"/>
    <w:rsid w:val="00B558F0"/>
    <w:rsid w:val="00B91E7E"/>
    <w:rsid w:val="00BD48FE"/>
    <w:rsid w:val="00BD7BD8"/>
    <w:rsid w:val="00BE6ADC"/>
    <w:rsid w:val="00C05BFE"/>
    <w:rsid w:val="00C23CD4"/>
    <w:rsid w:val="00C61C0C"/>
    <w:rsid w:val="00C941CB"/>
    <w:rsid w:val="00CA1B69"/>
    <w:rsid w:val="00CC2357"/>
    <w:rsid w:val="00CF071A"/>
    <w:rsid w:val="00D058B8"/>
    <w:rsid w:val="00D56C11"/>
    <w:rsid w:val="00D834A0"/>
    <w:rsid w:val="00D872DF"/>
    <w:rsid w:val="00D91E21"/>
    <w:rsid w:val="00DA7FCD"/>
    <w:rsid w:val="00E365E1"/>
    <w:rsid w:val="00E820A4"/>
    <w:rsid w:val="00EA2CD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2B0AD"/>
  <w15:chartTrackingRefBased/>
  <w15:docId w15:val="{B3A86B0C-E8BD-4C55-B560-2BF61B98B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421FB"/>
    <w:pPr>
      <w:spacing w:after="240"/>
      <w:ind w:left="567" w:hanging="567"/>
    </w:pPr>
  </w:style>
  <w:style w:type="paragraph" w:customStyle="1" w:styleId="EPComma">
    <w:name w:val="EPComma"/>
    <w:basedOn w:val="Normal"/>
    <w:rsid w:val="005421FB"/>
    <w:pPr>
      <w:spacing w:before="480" w:after="240"/>
    </w:pPr>
  </w:style>
  <w:style w:type="character" w:customStyle="1" w:styleId="NormalHanging12aChar">
    <w:name w:val="NormalHanging12a Char"/>
    <w:basedOn w:val="DefaultParagraphFont"/>
    <w:link w:val="NormalHanging12a"/>
    <w:rsid w:val="005421FB"/>
    <w:rPr>
      <w:sz w:val="24"/>
      <w:lang w:val="sl-SI"/>
    </w:rPr>
  </w:style>
  <w:style w:type="character" w:styleId="Hyperlink">
    <w:name w:val="Hyperlink"/>
    <w:basedOn w:val="DefaultParagraphFont"/>
    <w:rsid w:val="005421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6A112-E6B7-47D0-95D7-7A575EBDD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3532</Words>
  <Characters>20138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2024-11-18T13:45:00Z</dcterms:created>
  <dcterms:modified xsi:type="dcterms:W3CDTF">2024-11-18T13:45:00Z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B10-0134, 0135, 0137, 0138 in 0140/2024</vt:lpwstr>
  </property>
  <property fmtid="{D5CDD505-2E9C-101B-9397-08002B2CF9AE}" pid="4" name="&lt;Type&gt;">
    <vt:lpwstr>RR</vt:lpwstr>
  </property>
</Properties>
</file>