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13D9" w14:paraId="233B043F" w14:textId="77777777" w:rsidTr="0010095E">
        <w:trPr>
          <w:trHeight w:hRule="exact" w:val="1418"/>
        </w:trPr>
        <w:tc>
          <w:tcPr>
            <w:tcW w:w="6804" w:type="dxa"/>
            <w:shd w:val="clear" w:color="auto" w:fill="auto"/>
            <w:vAlign w:val="center"/>
          </w:tcPr>
          <w:p w14:paraId="49A2AF05" w14:textId="77777777" w:rsidR="00751A4A" w:rsidRPr="001D13D9" w:rsidRDefault="00E605E9" w:rsidP="0010095E">
            <w:pPr>
              <w:pStyle w:val="EPName"/>
            </w:pPr>
            <w:r w:rsidRPr="001D13D9">
              <w:t>Europaparlamentet</w:t>
            </w:r>
          </w:p>
          <w:p w14:paraId="01211F53" w14:textId="77777777" w:rsidR="00751A4A" w:rsidRPr="001D13D9" w:rsidRDefault="005F1B17" w:rsidP="005F1B17">
            <w:pPr>
              <w:pStyle w:val="EPTerm"/>
              <w:rPr>
                <w:rStyle w:val="HideTWBExt"/>
                <w:noProof w:val="0"/>
                <w:vanish w:val="0"/>
                <w:color w:val="auto"/>
              </w:rPr>
            </w:pPr>
            <w:r w:rsidRPr="001D13D9">
              <w:t>2024</w:t>
            </w:r>
            <w:r w:rsidR="00817416" w:rsidRPr="001D13D9">
              <w:t>-202</w:t>
            </w:r>
            <w:r w:rsidRPr="001D13D9">
              <w:t>9</w:t>
            </w:r>
          </w:p>
        </w:tc>
        <w:tc>
          <w:tcPr>
            <w:tcW w:w="2268" w:type="dxa"/>
            <w:shd w:val="clear" w:color="auto" w:fill="auto"/>
          </w:tcPr>
          <w:p w14:paraId="6EBB51B8" w14:textId="77777777" w:rsidR="00751A4A" w:rsidRPr="001D13D9" w:rsidRDefault="00187494" w:rsidP="0010095E">
            <w:pPr>
              <w:pStyle w:val="EPLogo"/>
            </w:pPr>
            <w:r w:rsidRPr="001D13D9">
              <w:rPr>
                <w:noProof/>
                <w:lang w:eastAsia="sv-SE"/>
              </w:rPr>
              <w:drawing>
                <wp:inline distT="0" distB="0" distL="0" distR="0" wp14:anchorId="5CCCF840" wp14:editId="3E5C9E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1EA268" w14:textId="77777777" w:rsidR="00D058B8" w:rsidRPr="001D13D9" w:rsidRDefault="00D058B8" w:rsidP="004C5D52">
      <w:pPr>
        <w:pStyle w:val="LineTop"/>
      </w:pPr>
    </w:p>
    <w:p w14:paraId="74492820" w14:textId="77777777" w:rsidR="00680577" w:rsidRPr="001D13D9" w:rsidRDefault="00E605E9" w:rsidP="00680577">
      <w:pPr>
        <w:pStyle w:val="EPBodyTA1"/>
      </w:pPr>
      <w:r w:rsidRPr="001D13D9">
        <w:t>ANTAGNA TEXTER</w:t>
      </w:r>
    </w:p>
    <w:p w14:paraId="3595443E" w14:textId="77777777" w:rsidR="00D058B8" w:rsidRPr="001D13D9" w:rsidRDefault="00D058B8" w:rsidP="00D058B8">
      <w:pPr>
        <w:pStyle w:val="LineBottom"/>
      </w:pPr>
    </w:p>
    <w:p w14:paraId="3A67D8AA" w14:textId="1A82606C" w:rsidR="00E605E9" w:rsidRPr="001D13D9" w:rsidRDefault="00E605E9" w:rsidP="00E605E9">
      <w:pPr>
        <w:pStyle w:val="ATHeading1"/>
      </w:pPr>
      <w:bookmarkStart w:id="0" w:name="TANumber"/>
      <w:r w:rsidRPr="001D13D9">
        <w:t>P10_TA(2024)00</w:t>
      </w:r>
      <w:r w:rsidR="001D13D9" w:rsidRPr="001D13D9">
        <w:t>30</w:t>
      </w:r>
      <w:bookmarkEnd w:id="0"/>
    </w:p>
    <w:p w14:paraId="3CEFB8F1" w14:textId="225B7615" w:rsidR="00E605E9" w:rsidRPr="001D13D9" w:rsidRDefault="00E605E9" w:rsidP="00E605E9">
      <w:pPr>
        <w:pStyle w:val="ATHeading2"/>
      </w:pPr>
      <w:bookmarkStart w:id="1" w:name="title"/>
      <w:r w:rsidRPr="001D13D9">
        <w:t>Folkrepubliken Kinas feltolkning av FN:s resolution 2758 och landets kontinuerliga militära provokationer runt Taiwan</w:t>
      </w:r>
      <w:bookmarkEnd w:id="1"/>
    </w:p>
    <w:p w14:paraId="5396BE75" w14:textId="62FEB0E8" w:rsidR="00E605E9" w:rsidRPr="001D13D9" w:rsidRDefault="00E605E9" w:rsidP="00E605E9">
      <w:pPr>
        <w:rPr>
          <w:i/>
          <w:vanish/>
        </w:rPr>
      </w:pPr>
      <w:r w:rsidRPr="001D13D9">
        <w:rPr>
          <w:i/>
        </w:rPr>
        <w:fldChar w:fldCharType="begin"/>
      </w:r>
      <w:r w:rsidRPr="001D13D9">
        <w:rPr>
          <w:i/>
        </w:rPr>
        <w:instrText xml:space="preserve"> TC"(</w:instrText>
      </w:r>
      <w:bookmarkStart w:id="2" w:name="DocNumber"/>
      <w:r w:rsidR="00516F7C" w:rsidRPr="001D13D9">
        <w:rPr>
          <w:i/>
        </w:rPr>
        <w:instrText>B10-0134, 0135, 0137, 0138 och 0140/2024</w:instrText>
      </w:r>
      <w:bookmarkEnd w:id="2"/>
      <w:r w:rsidRPr="001D13D9">
        <w:rPr>
          <w:i/>
        </w:rPr>
        <w:instrText xml:space="preserve">)"\l3 \n&gt; \* MERGEFORMAT </w:instrText>
      </w:r>
      <w:r w:rsidRPr="001D13D9">
        <w:rPr>
          <w:i/>
        </w:rPr>
        <w:fldChar w:fldCharType="end"/>
      </w:r>
    </w:p>
    <w:p w14:paraId="59155E3A" w14:textId="77777777" w:rsidR="00E605E9" w:rsidRPr="001D13D9" w:rsidRDefault="00E605E9" w:rsidP="00E605E9">
      <w:pPr>
        <w:rPr>
          <w:vanish/>
        </w:rPr>
      </w:pPr>
      <w:bookmarkStart w:id="3" w:name="PE"/>
      <w:r w:rsidRPr="001D13D9">
        <w:rPr>
          <w:vanish/>
        </w:rPr>
        <w:t>PE764.114</w:t>
      </w:r>
      <w:bookmarkEnd w:id="3"/>
    </w:p>
    <w:p w14:paraId="23CCBB1A" w14:textId="0DC70032" w:rsidR="00E605E9" w:rsidRPr="001D13D9" w:rsidRDefault="00E605E9" w:rsidP="00516F7C">
      <w:pPr>
        <w:pStyle w:val="ATHeading3"/>
      </w:pPr>
      <w:bookmarkStart w:id="4" w:name="Sujet"/>
      <w:r w:rsidRPr="001D13D9">
        <w:t xml:space="preserve">Europaparlamentets resolution av den </w:t>
      </w:r>
      <w:r w:rsidR="00516F7C" w:rsidRPr="001D13D9">
        <w:t>24</w:t>
      </w:r>
      <w:r w:rsidRPr="001D13D9">
        <w:t xml:space="preserve"> </w:t>
      </w:r>
      <w:r w:rsidR="00516F7C" w:rsidRPr="001D13D9">
        <w:t>oktober</w:t>
      </w:r>
      <w:r w:rsidRPr="001D13D9">
        <w:t xml:space="preserve"> 2024 om F</w:t>
      </w:r>
      <w:r w:rsidR="00516F7C" w:rsidRPr="001D13D9">
        <w:t>olkrepubliken Kinas feltolkning</w:t>
      </w:r>
      <w:r w:rsidR="001D13D9" w:rsidRPr="001D13D9">
        <w:t xml:space="preserve"> </w:t>
      </w:r>
      <w:r w:rsidRPr="001D13D9">
        <w:t>av FN:s resolution 2758 och landets kontinuerliga militära provokationer runt Taiwan</w:t>
      </w:r>
      <w:bookmarkEnd w:id="4"/>
      <w:r w:rsidRPr="001D13D9">
        <w:t xml:space="preserve"> </w:t>
      </w:r>
      <w:bookmarkStart w:id="5" w:name="References"/>
      <w:r w:rsidRPr="001D13D9">
        <w:t>(2024/2891(RSP))</w:t>
      </w:r>
      <w:bookmarkEnd w:id="5"/>
    </w:p>
    <w:p w14:paraId="00329ABB" w14:textId="77777777" w:rsidR="0090356A" w:rsidRPr="001D13D9" w:rsidRDefault="0090356A" w:rsidP="0090356A">
      <w:pPr>
        <w:pStyle w:val="EPComma"/>
      </w:pPr>
      <w:bookmarkStart w:id="6" w:name="TextBodyBegin"/>
      <w:bookmarkEnd w:id="6"/>
      <w:r w:rsidRPr="001D13D9">
        <w:rPr>
          <w:i/>
          <w:iCs/>
        </w:rPr>
        <w:t>Europaparlamentet utfärdar denna resolution</w:t>
      </w:r>
    </w:p>
    <w:p w14:paraId="3066B9F2" w14:textId="77777777" w:rsidR="0090356A" w:rsidRPr="001D13D9" w:rsidRDefault="0090356A" w:rsidP="0090356A">
      <w:pPr>
        <w:pStyle w:val="NormalHanging12a"/>
      </w:pPr>
      <w:r w:rsidRPr="001D13D9">
        <w:t>–</w:t>
      </w:r>
      <w:r w:rsidRPr="001D13D9">
        <w:tab/>
        <w:t>med beaktande av sina tidigare resolutioner om Folkrepubliken Kina och Taiwan,</w:t>
      </w:r>
    </w:p>
    <w:p w14:paraId="6FF853BA" w14:textId="77777777" w:rsidR="0090356A" w:rsidRPr="001D13D9" w:rsidRDefault="0090356A" w:rsidP="0090356A">
      <w:pPr>
        <w:pStyle w:val="NormalHanging12a"/>
      </w:pPr>
      <w:r w:rsidRPr="001D13D9">
        <w:t>–</w:t>
      </w:r>
      <w:r w:rsidRPr="001D13D9">
        <w:tab/>
        <w:t>med beaktande av sin resolution av den 16 september 2021 om en ny EU-Kina-strategi</w:t>
      </w:r>
      <w:r w:rsidRPr="001D13D9">
        <w:rPr>
          <w:rStyle w:val="FootnoteReference"/>
        </w:rPr>
        <w:footnoteReference w:id="1"/>
      </w:r>
      <w:r w:rsidRPr="001D13D9">
        <w:t>,</w:t>
      </w:r>
    </w:p>
    <w:p w14:paraId="24B0F47E" w14:textId="77777777" w:rsidR="0090356A" w:rsidRPr="001D13D9" w:rsidRDefault="0090356A" w:rsidP="0090356A">
      <w:pPr>
        <w:pStyle w:val="NormalHanging12a"/>
      </w:pPr>
      <w:r w:rsidRPr="001D13D9">
        <w:t>–</w:t>
      </w:r>
      <w:r w:rsidRPr="001D13D9">
        <w:tab/>
        <w:t>med beaktande av sin rekommendation av den 21 oktober 2021 till vice ordföranden för kommissionen/unionens höga representant för utrikes frågor och säkerhetspolitik om de politiska förbindelserna och samarbetet mellan EU och Taiwan</w:t>
      </w:r>
      <w:r w:rsidRPr="001D13D9">
        <w:rPr>
          <w:rStyle w:val="FootnoteReference"/>
        </w:rPr>
        <w:footnoteReference w:id="2"/>
      </w:r>
      <w:r w:rsidRPr="001D13D9">
        <w:t>,</w:t>
      </w:r>
    </w:p>
    <w:p w14:paraId="33A04B3C" w14:textId="77777777" w:rsidR="0090356A" w:rsidRPr="001D13D9" w:rsidRDefault="0090356A" w:rsidP="0090356A">
      <w:pPr>
        <w:pStyle w:val="NormalHanging12a"/>
      </w:pPr>
      <w:r w:rsidRPr="001D13D9">
        <w:t>–</w:t>
      </w:r>
      <w:r w:rsidRPr="001D13D9">
        <w:tab/>
        <w:t>med beaktande av sin resolution av den 7 juni 2022 om EU och säkerhetsutmaningarna i regionen Indiska oceanen/Stilla havet</w:t>
      </w:r>
      <w:r w:rsidRPr="001D13D9">
        <w:rPr>
          <w:rStyle w:val="FootnoteReference"/>
        </w:rPr>
        <w:footnoteReference w:id="3"/>
      </w:r>
      <w:r w:rsidRPr="001D13D9">
        <w:t>,</w:t>
      </w:r>
    </w:p>
    <w:p w14:paraId="2772FEE3" w14:textId="77777777" w:rsidR="0090356A" w:rsidRPr="001D13D9" w:rsidRDefault="0090356A" w:rsidP="0090356A">
      <w:pPr>
        <w:pStyle w:val="NormalHanging12a"/>
      </w:pPr>
      <w:r w:rsidRPr="001D13D9">
        <w:t>–</w:t>
      </w:r>
      <w:r w:rsidRPr="001D13D9">
        <w:tab/>
        <w:t>med beaktande av sin resolution av den 15 september 2022 om situationen i Taiwansundet</w:t>
      </w:r>
      <w:r w:rsidRPr="001D13D9">
        <w:rPr>
          <w:rStyle w:val="FootnoteReference"/>
        </w:rPr>
        <w:footnoteReference w:id="4"/>
      </w:r>
      <w:r w:rsidRPr="001D13D9">
        <w:t>,</w:t>
      </w:r>
    </w:p>
    <w:p w14:paraId="01A905E3" w14:textId="77777777" w:rsidR="0090356A" w:rsidRPr="001D13D9" w:rsidRDefault="0090356A" w:rsidP="0090356A">
      <w:pPr>
        <w:pStyle w:val="NormalHanging12a"/>
      </w:pPr>
      <w:r w:rsidRPr="001D13D9">
        <w:t>–</w:t>
      </w:r>
      <w:r w:rsidRPr="001D13D9">
        <w:tab/>
        <w:t>med beaktande av sin resolution av den 13 december 2023 om handels- och investeringsförbindelserna mellan EU och Taiwan</w:t>
      </w:r>
      <w:r w:rsidRPr="001D13D9">
        <w:rPr>
          <w:rStyle w:val="FootnoteReference"/>
        </w:rPr>
        <w:footnoteReference w:id="5"/>
      </w:r>
      <w:r w:rsidRPr="001D13D9">
        <w:t>,</w:t>
      </w:r>
    </w:p>
    <w:p w14:paraId="4C538A83" w14:textId="77777777" w:rsidR="0090356A" w:rsidRPr="001D13D9" w:rsidRDefault="0090356A" w:rsidP="0090356A">
      <w:pPr>
        <w:pStyle w:val="NormalHanging12a"/>
      </w:pPr>
      <w:r w:rsidRPr="001D13D9">
        <w:t>–</w:t>
      </w:r>
      <w:r w:rsidRPr="001D13D9">
        <w:tab/>
        <w:t>med beaktande av den strategiska kompass för säkerhet och försvar som godkändes av rådet den 21 mars 2022,</w:t>
      </w:r>
    </w:p>
    <w:p w14:paraId="3BF5B482" w14:textId="77777777" w:rsidR="0090356A" w:rsidRPr="001D13D9" w:rsidRDefault="0090356A" w:rsidP="0090356A">
      <w:pPr>
        <w:pStyle w:val="NormalHanging12a"/>
      </w:pPr>
      <w:r w:rsidRPr="001D13D9">
        <w:t>–</w:t>
      </w:r>
      <w:r w:rsidRPr="001D13D9">
        <w:tab/>
        <w:t>med beaktande av det gemensamma meddelandet av den 16 september 2021 från kommissionen och unionens höga representant för utrikes frågor och säkerhetspolitik om EU:s strategi för samarbete i regionen Indiska oceanen/Stilla havet (JOIN(2021)0024),</w:t>
      </w:r>
    </w:p>
    <w:p w14:paraId="5C1ABA43" w14:textId="77777777" w:rsidR="0090356A" w:rsidRPr="001D13D9" w:rsidRDefault="0090356A" w:rsidP="0090356A">
      <w:pPr>
        <w:pStyle w:val="NormalHanging12a"/>
      </w:pPr>
      <w:r w:rsidRPr="001D13D9">
        <w:lastRenderedPageBreak/>
        <w:t>–</w:t>
      </w:r>
      <w:r w:rsidRPr="001D13D9">
        <w:tab/>
        <w:t>med beaktande av EU:s politik för ett enat Kina,</w:t>
      </w:r>
    </w:p>
    <w:p w14:paraId="086890C8" w14:textId="77777777" w:rsidR="0090356A" w:rsidRPr="001D13D9" w:rsidRDefault="0090356A" w:rsidP="0090356A">
      <w:pPr>
        <w:pStyle w:val="NormalHanging12a"/>
      </w:pPr>
      <w:r w:rsidRPr="001D13D9">
        <w:t>–</w:t>
      </w:r>
      <w:r w:rsidRPr="001D13D9">
        <w:tab/>
        <w:t>med beaktande av toppmötet mellan EU och Kina den 7 december 2023,</w:t>
      </w:r>
    </w:p>
    <w:p w14:paraId="2E870679" w14:textId="77777777" w:rsidR="0090356A" w:rsidRPr="001D13D9" w:rsidRDefault="0090356A" w:rsidP="0090356A">
      <w:pPr>
        <w:pStyle w:val="NormalHanging12a"/>
      </w:pPr>
      <w:r w:rsidRPr="001D13D9">
        <w:t>–</w:t>
      </w:r>
      <w:r w:rsidRPr="001D13D9">
        <w:tab/>
        <w:t>med beaktande av Europeiska rådets slutsatser om Kina av den 30 juni 2023,</w:t>
      </w:r>
    </w:p>
    <w:p w14:paraId="0D10242E" w14:textId="77777777" w:rsidR="0090356A" w:rsidRPr="001D13D9" w:rsidRDefault="0090356A" w:rsidP="0090356A">
      <w:pPr>
        <w:pStyle w:val="NormalHanging12a"/>
      </w:pPr>
      <w:r w:rsidRPr="001D13D9">
        <w:t>–</w:t>
      </w:r>
      <w:r w:rsidRPr="001D13D9">
        <w:tab/>
        <w:t>med beaktande av besöken i Taiwan från utskottet för utrikesfrågor den 25–27 juli 2023 och från utskottet för internationell handel den 19–21 december 2022,</w:t>
      </w:r>
    </w:p>
    <w:p w14:paraId="3F48B27B" w14:textId="77777777" w:rsidR="0090356A" w:rsidRPr="001D13D9" w:rsidRDefault="0090356A" w:rsidP="0090356A">
      <w:pPr>
        <w:pStyle w:val="NormalHanging12a"/>
        <w:widowControl/>
      </w:pPr>
      <w:r w:rsidRPr="001D13D9">
        <w:t>–</w:t>
      </w:r>
      <w:r w:rsidRPr="001D13D9">
        <w:tab/>
        <w:t>med beaktande av uttalandet av den 1 september 2024 från unionens höga representant för utrikes frågor och säkerhetspolitik om de senaste farliga åtgärderna i Sydkinesiska havet,</w:t>
      </w:r>
    </w:p>
    <w:p w14:paraId="62F3F43F" w14:textId="77777777" w:rsidR="0090356A" w:rsidRPr="001D13D9" w:rsidRDefault="0090356A" w:rsidP="0090356A">
      <w:pPr>
        <w:pStyle w:val="NormalHanging12a"/>
      </w:pPr>
      <w:r w:rsidRPr="001D13D9">
        <w:t>–</w:t>
      </w:r>
      <w:r w:rsidRPr="001D13D9">
        <w:tab/>
        <w:t>med beaktande av uttalandena av talespersonen för unionens höga representant för utrikes frågor och säkerhetspolitik om Kinas militärövningar runt Taiwan, bland annat det senaste uttalandet av den 14 oktober 2024,</w:t>
      </w:r>
    </w:p>
    <w:p w14:paraId="43EDED61" w14:textId="77777777" w:rsidR="0090356A" w:rsidRPr="001D13D9" w:rsidRDefault="0090356A" w:rsidP="0090356A">
      <w:pPr>
        <w:pStyle w:val="NormalHanging12a"/>
      </w:pPr>
      <w:r w:rsidRPr="001D13D9">
        <w:t>–</w:t>
      </w:r>
      <w:r w:rsidRPr="001D13D9">
        <w:tab/>
        <w:t>med beaktande av uttalandena av G7-ländernas utrikesministrar av den 18 april 2023 och 3 augusti 2022 om att bevara freden och stabiliteten i Taiwansundet,</w:t>
      </w:r>
    </w:p>
    <w:p w14:paraId="19B86993" w14:textId="77777777" w:rsidR="0090356A" w:rsidRPr="001D13D9" w:rsidRDefault="0090356A" w:rsidP="0090356A">
      <w:pPr>
        <w:pStyle w:val="NormalHanging12a"/>
      </w:pPr>
      <w:r w:rsidRPr="001D13D9">
        <w:t>–</w:t>
      </w:r>
      <w:r w:rsidRPr="001D13D9">
        <w:tab/>
        <w:t>med beaktande av ordförandens uttalande efter mötet för G7-ländernas utrikesministrar den 23 september 2024,</w:t>
      </w:r>
    </w:p>
    <w:p w14:paraId="52B6DCE1" w14:textId="77777777" w:rsidR="0090356A" w:rsidRPr="001D13D9" w:rsidRDefault="0090356A" w:rsidP="0090356A">
      <w:pPr>
        <w:pStyle w:val="NormalHanging12a"/>
      </w:pPr>
      <w:r w:rsidRPr="001D13D9">
        <w:t>–</w:t>
      </w:r>
      <w:r w:rsidRPr="001D13D9">
        <w:tab/>
        <w:t>med beaktande av den gemensamma förklaringen av den 19 oktober 2024 från G7</w:t>
      </w:r>
      <w:r w:rsidRPr="001D13D9">
        <w:noBreakHyphen/>
        <w:t>ländernas försvarsministrar,</w:t>
      </w:r>
    </w:p>
    <w:p w14:paraId="4C449195" w14:textId="77777777" w:rsidR="0090356A" w:rsidRPr="001D13D9" w:rsidRDefault="0090356A" w:rsidP="0090356A">
      <w:pPr>
        <w:pStyle w:val="NormalHanging12a"/>
      </w:pPr>
      <w:r w:rsidRPr="001D13D9">
        <w:t>–</w:t>
      </w:r>
      <w:r w:rsidRPr="001D13D9">
        <w:tab/>
        <w:t>med beaktande av det brådskande förslag om Taiwan som antogs av den australiska senaten den 21 augusti 2024,</w:t>
      </w:r>
    </w:p>
    <w:p w14:paraId="7D91E5E7" w14:textId="77777777" w:rsidR="0090356A" w:rsidRPr="001D13D9" w:rsidRDefault="0090356A" w:rsidP="0090356A">
      <w:pPr>
        <w:pStyle w:val="NormalHanging12a"/>
      </w:pPr>
      <w:r w:rsidRPr="001D13D9">
        <w:t>–</w:t>
      </w:r>
      <w:r w:rsidRPr="001D13D9">
        <w:tab/>
        <w:t>med beaktande av FN:s generalförsamlings resolution 2758 (XXVI) av den 25 oktober 1971,</w:t>
      </w:r>
    </w:p>
    <w:p w14:paraId="612DDAE2" w14:textId="77777777" w:rsidR="0090356A" w:rsidRPr="001D13D9" w:rsidRDefault="0090356A" w:rsidP="0090356A">
      <w:pPr>
        <w:pStyle w:val="NormalHanging12a"/>
      </w:pPr>
      <w:r w:rsidRPr="001D13D9">
        <w:t>–</w:t>
      </w:r>
      <w:r w:rsidRPr="001D13D9">
        <w:tab/>
        <w:t>med beaktande av det förslag om FN:s resolution 2758 som antogs av den nederländska andra kammaren den 12 september 2024,</w:t>
      </w:r>
    </w:p>
    <w:p w14:paraId="3732F5A1" w14:textId="38AB43C9" w:rsidR="0090356A" w:rsidRPr="001D13D9" w:rsidRDefault="0090356A" w:rsidP="0090356A">
      <w:pPr>
        <w:pStyle w:val="NormalHanging12a"/>
      </w:pPr>
      <w:r w:rsidRPr="001D13D9">
        <w:t>–</w:t>
      </w:r>
      <w:r w:rsidRPr="001D13D9">
        <w:tab/>
        <w:t>med beaktande av pressuttalandet av USA:s utrikesdepartement av den 13 oktober 20</w:t>
      </w:r>
      <w:r w:rsidR="00904F1C">
        <w:t>2</w:t>
      </w:r>
      <w:bookmarkStart w:id="7" w:name="_GoBack"/>
      <w:bookmarkEnd w:id="7"/>
      <w:r w:rsidRPr="001D13D9">
        <w:t>4,</w:t>
      </w:r>
    </w:p>
    <w:p w14:paraId="3906000C" w14:textId="77777777" w:rsidR="0090356A" w:rsidRPr="001D13D9" w:rsidRDefault="0090356A" w:rsidP="0090356A">
      <w:pPr>
        <w:pStyle w:val="NormalHanging12a"/>
      </w:pPr>
      <w:r w:rsidRPr="001D13D9">
        <w:t>–</w:t>
      </w:r>
      <w:r w:rsidRPr="001D13D9">
        <w:tab/>
        <w:t>med beaktande av FN:s havsrättskonvention (Unclos),</w:t>
      </w:r>
    </w:p>
    <w:p w14:paraId="363CAF0A" w14:textId="77777777" w:rsidR="0090356A" w:rsidRPr="001D13D9" w:rsidRDefault="0090356A" w:rsidP="0090356A">
      <w:pPr>
        <w:pStyle w:val="NormalHanging12a"/>
      </w:pPr>
      <w:r w:rsidRPr="001D13D9">
        <w:t>–</w:t>
      </w:r>
      <w:r w:rsidRPr="001D13D9">
        <w:tab/>
        <w:t>med beaktande av artikel 7 i FN:s ramkonvention om klimatförändringar (UNFCCC), som ingicks den 9 maj 1992,</w:t>
      </w:r>
    </w:p>
    <w:p w14:paraId="5113F4F0" w14:textId="77777777" w:rsidR="0090356A" w:rsidRPr="001D13D9" w:rsidRDefault="0090356A" w:rsidP="0090356A">
      <w:pPr>
        <w:pStyle w:val="NormalHanging12a"/>
      </w:pPr>
      <w:r w:rsidRPr="001D13D9">
        <w:t>–</w:t>
      </w:r>
      <w:r w:rsidRPr="001D13D9">
        <w:tab/>
        <w:t>med beaktande av artikel 5 i den gällande arbetsordningen för Internationella civila luftfartsorganisationens (Icao) församling,</w:t>
      </w:r>
    </w:p>
    <w:p w14:paraId="05A88105" w14:textId="77777777" w:rsidR="0090356A" w:rsidRPr="001D13D9" w:rsidRDefault="0090356A" w:rsidP="0090356A">
      <w:pPr>
        <w:pStyle w:val="NormalHanging12a"/>
      </w:pPr>
      <w:r w:rsidRPr="001D13D9">
        <w:t>–</w:t>
      </w:r>
      <w:r w:rsidRPr="001D13D9">
        <w:tab/>
        <w:t>med beaktande av artikel 4 i Internationella kriminalpolisorganisationens (Interpol) stadga,</w:t>
      </w:r>
    </w:p>
    <w:p w14:paraId="2C6A4A86" w14:textId="77777777" w:rsidR="0090356A" w:rsidRPr="001D13D9" w:rsidRDefault="0090356A" w:rsidP="0090356A">
      <w:pPr>
        <w:pStyle w:val="NormalHanging12a"/>
      </w:pPr>
      <w:r w:rsidRPr="001D13D9">
        <w:t>–</w:t>
      </w:r>
      <w:r w:rsidRPr="001D13D9">
        <w:tab/>
        <w:t>med beaktande av artiklarna 8 och 18 h i Världshälsoorganisationens (WHO) stadga,</w:t>
      </w:r>
    </w:p>
    <w:p w14:paraId="04B9C8E1" w14:textId="77777777" w:rsidR="0090356A" w:rsidRPr="001D13D9" w:rsidRDefault="0090356A" w:rsidP="0090356A">
      <w:pPr>
        <w:pStyle w:val="NormalHanging12a"/>
      </w:pPr>
      <w:r w:rsidRPr="001D13D9">
        <w:t>–</w:t>
      </w:r>
      <w:r w:rsidRPr="001D13D9">
        <w:tab/>
        <w:t>med beaktande av artikel 136.2 och 136.4 i arbetsordningen, och av följande skäl:</w:t>
      </w:r>
    </w:p>
    <w:p w14:paraId="665C1D2D" w14:textId="77777777" w:rsidR="0090356A" w:rsidRPr="001D13D9" w:rsidRDefault="0090356A" w:rsidP="0090356A">
      <w:pPr>
        <w:pStyle w:val="NormalHanging12a"/>
      </w:pPr>
      <w:r w:rsidRPr="001D13D9">
        <w:lastRenderedPageBreak/>
        <w:t>A.</w:t>
      </w:r>
      <w:r w:rsidRPr="001D13D9">
        <w:tab/>
        <w:t>FN:s resolution 2758 antogs av FN:s generalförsamling den 25 oktober 1971 och innebar att det officiella erkännandet gick över från Republiken Kina (Taiwan) till Folkrepubliken Kina. Taiwan är inte medlem i FN men upprätthåller i dag ändå diplomatiska förbindelser med 11 av FN:s 193 medlemsstater och med Heliga stolen.</w:t>
      </w:r>
    </w:p>
    <w:p w14:paraId="76D84573" w14:textId="77777777" w:rsidR="0090356A" w:rsidRPr="001D13D9" w:rsidRDefault="0090356A" w:rsidP="0090356A">
      <w:pPr>
        <w:pStyle w:val="NormalHanging12a"/>
      </w:pPr>
      <w:r w:rsidRPr="001D13D9">
        <w:t>B.</w:t>
      </w:r>
      <w:r w:rsidRPr="001D13D9">
        <w:tab/>
        <w:t>EU och Taiwan är likasinnade partner som delar gemensamma värden som frihet, demokrati, mänskliga rättigheter och rättsstatsprincipen. Taiwan är en levande demokrati med ett blomstrande civilt samhälle. Taiwan höll ett fredligt och välorganiserat val den 13 januari 2024.</w:t>
      </w:r>
    </w:p>
    <w:p w14:paraId="61ED4184" w14:textId="77777777" w:rsidR="0090356A" w:rsidRPr="001D13D9" w:rsidRDefault="0090356A" w:rsidP="0090356A">
      <w:pPr>
        <w:pStyle w:val="NormalHanging12a"/>
      </w:pPr>
      <w:r w:rsidRPr="001D13D9">
        <w:t>C.</w:t>
      </w:r>
      <w:r w:rsidRPr="001D13D9">
        <w:tab/>
        <w:t>Efter antagandet av FN:s resolution 2758 förlorade Taiwan sin tillgång till deltagande i multilaterala forum, såsom WHO.</w:t>
      </w:r>
    </w:p>
    <w:p w14:paraId="65F73ECA" w14:textId="77777777" w:rsidR="0090356A" w:rsidRPr="001D13D9" w:rsidRDefault="0090356A" w:rsidP="0090356A">
      <w:pPr>
        <w:pStyle w:val="NormalHanging12a"/>
      </w:pPr>
      <w:r w:rsidRPr="001D13D9">
        <w:t>D.</w:t>
      </w:r>
      <w:r w:rsidRPr="001D13D9">
        <w:tab/>
        <w:t>Taiwan har aldrig varit en del av Folkrepubliken Kina. Republiken Kina grundades 1912 och Folkrepubliken Kina 1949.</w:t>
      </w:r>
    </w:p>
    <w:p w14:paraId="5930C36B" w14:textId="77777777" w:rsidR="0090356A" w:rsidRPr="001D13D9" w:rsidRDefault="0090356A" w:rsidP="0090356A">
      <w:pPr>
        <w:pStyle w:val="NormalHanging12a"/>
      </w:pPr>
      <w:r w:rsidRPr="001D13D9">
        <w:t>E.</w:t>
      </w:r>
      <w:r w:rsidRPr="001D13D9">
        <w:tab/>
        <w:t>FN:s resolution 2758 tar upp Folkrepubliken Kinas status, men fastställer inte att Folkrepubliken Kina har överhöghet över Taiwan och tar inte heller ställning till Taiwans framtida inkludering i FN eller någon annan internationell organisation. Folkrepubliken Kina fortsätter dock att feltolka FN:s resolution 2758 för att blockera Taiwans meningsfulla deltagande i internationella organisationer och ensidigt ändra status quo. Dessa åtgärder belyser Folkrepubliken Kinas ambition att ändra den rådande multilaterala världsordningen och undergräva folkrätten och kan ses som ett uttryck för systemrivalitet.</w:t>
      </w:r>
    </w:p>
    <w:p w14:paraId="3EC5B943" w14:textId="77777777" w:rsidR="0090356A" w:rsidRPr="001D13D9" w:rsidRDefault="0090356A" w:rsidP="0090356A">
      <w:pPr>
        <w:pStyle w:val="NormalHanging12a"/>
      </w:pPr>
      <w:r w:rsidRPr="001D13D9">
        <w:t>F.</w:t>
      </w:r>
      <w:r w:rsidRPr="001D13D9">
        <w:tab/>
        <w:t>EU fortsätter att upprätthålla sin egen politik för ett enat Kina, som skiljer sig från Folkrepubliken Kinas princip om ett enat Kina. EU:s ståndpunkt har sedan länge varit att stödja status quo och en fredlig lösning av meningsskiljaktigheterna över Taiwansundet och att samtidigt uppmuntra dialog och konstruktivt engagemang.</w:t>
      </w:r>
    </w:p>
    <w:p w14:paraId="42610D91" w14:textId="77777777" w:rsidR="0090356A" w:rsidRPr="001D13D9" w:rsidRDefault="0090356A" w:rsidP="0090356A">
      <w:pPr>
        <w:pStyle w:val="NormalHanging12a"/>
      </w:pPr>
      <w:r w:rsidRPr="001D13D9">
        <w:t>G.</w:t>
      </w:r>
      <w:r w:rsidRPr="001D13D9">
        <w:tab/>
        <w:t>Genom sitt uttalande av den 23 september 2024 underströk G7-medlemmarna bland annat sitt stöd för ”Taiwans meningsfulla deltagande i internationella organisationer som medlem där status som stat inte är en förutsättning och som observatör eller gäst där det är en förutsättning”.</w:t>
      </w:r>
    </w:p>
    <w:p w14:paraId="20523F6E" w14:textId="77777777" w:rsidR="0090356A" w:rsidRPr="001D13D9" w:rsidRDefault="0090356A" w:rsidP="0090356A">
      <w:pPr>
        <w:pStyle w:val="NormalHanging12a"/>
      </w:pPr>
      <w:r w:rsidRPr="001D13D9">
        <w:t>H.</w:t>
      </w:r>
      <w:r w:rsidRPr="001D13D9">
        <w:tab/>
        <w:t>Att stödja Taiwans deltagande i internationella organisationer undergräver inte EU:s engagemang för sin politik för ett enat Kina, som förblir den politiska grundvalen för förbindelserna mellan EU och Kina.</w:t>
      </w:r>
    </w:p>
    <w:p w14:paraId="0E582AF1" w14:textId="77777777" w:rsidR="0090356A" w:rsidRPr="001D13D9" w:rsidRDefault="0090356A" w:rsidP="0090356A">
      <w:pPr>
        <w:pStyle w:val="NormalHanging12a"/>
      </w:pPr>
      <w:r w:rsidRPr="001D13D9">
        <w:t>I.</w:t>
      </w:r>
      <w:r w:rsidRPr="001D13D9">
        <w:tab/>
        <w:t>Under det senaste årtiondet har Folkrepubliken Kina ständigt försökt öka sitt inflytande över internationella institutioner och använt detta för att marginalisera Taiwan och hindra innehavare av taiwanesiska pass, däribland journalister, arbetstagare från icke</w:t>
      </w:r>
      <w:r w:rsidRPr="001D13D9">
        <w:noBreakHyphen/>
        <w:t>statliga organisationer och politiska aktivister, från att få tillträde till internationella institutioner. Folkrepubliken Kina utövar transnationellt förtryck genom att missbruka utlämningsavtal för att rikta in sig på taiwaneser utomlands som därmed riskerar godtycklig förföljelse och kränkningar av de mänskliga rättigheterna.</w:t>
      </w:r>
    </w:p>
    <w:p w14:paraId="67741A11" w14:textId="77777777" w:rsidR="0090356A" w:rsidRPr="001D13D9" w:rsidRDefault="0090356A" w:rsidP="0090356A">
      <w:pPr>
        <w:pStyle w:val="NormalHanging12a"/>
      </w:pPr>
      <w:r w:rsidRPr="001D13D9">
        <w:t>J.</w:t>
      </w:r>
      <w:r w:rsidRPr="001D13D9">
        <w:tab/>
        <w:t>Stadgarna för de flesta internationella organisationer som har till uppgift att hantera globala frågor, däribland WHO, UNFCCC, Interpol och Icao, ger entiteter såsom Taiwan möjlighet att delta utan att medlemsstaternas rättigheter kränks.</w:t>
      </w:r>
    </w:p>
    <w:p w14:paraId="6C18F90E" w14:textId="77777777" w:rsidR="0090356A" w:rsidRPr="001D13D9" w:rsidRDefault="0090356A" w:rsidP="0090356A">
      <w:pPr>
        <w:pStyle w:val="NormalHanging12a"/>
        <w:widowControl/>
      </w:pPr>
      <w:r w:rsidRPr="001D13D9">
        <w:lastRenderedPageBreak/>
        <w:t>K.</w:t>
      </w:r>
      <w:r w:rsidRPr="001D13D9">
        <w:tab/>
        <w:t>Taiwan har konsekvent visat en fredlig och samarbetsinriktad attityd globalt och har avsevärt stärkt den globala utvecklingen. Taiwan skulle därmed i hög grad kunna bidra till arbetet i olika internationella organisationer.</w:t>
      </w:r>
    </w:p>
    <w:p w14:paraId="15178A18" w14:textId="77777777" w:rsidR="0090356A" w:rsidRPr="001D13D9" w:rsidRDefault="0090356A" w:rsidP="0090356A">
      <w:pPr>
        <w:pStyle w:val="NormalHanging12a"/>
      </w:pPr>
      <w:r w:rsidRPr="001D13D9">
        <w:t>L.</w:t>
      </w:r>
      <w:r w:rsidRPr="001D13D9">
        <w:tab/>
        <w:t>Folkrepubliken Kina är en enpartistat som helt kontrolleras och styrs av det kinesiska kommunistpartiet.</w:t>
      </w:r>
    </w:p>
    <w:p w14:paraId="431985DF" w14:textId="77777777" w:rsidR="0090356A" w:rsidRPr="001D13D9" w:rsidRDefault="0090356A" w:rsidP="0090356A">
      <w:pPr>
        <w:pStyle w:val="NormalHanging12a"/>
      </w:pPr>
      <w:r w:rsidRPr="001D13D9">
        <w:t>M.</w:t>
      </w:r>
      <w:r w:rsidRPr="001D13D9">
        <w:tab/>
        <w:t>I ett tal på Taiwans nationaldag den 10 oktober 2024 sade Taiwans president Lai Ching</w:t>
      </w:r>
      <w:r w:rsidRPr="001D13D9">
        <w:noBreakHyphen/>
        <w:t>te att Folkrepubliken Kina ”inte har någon rätt att företräda Taiwan” och upprepade att ingen av parterna är ”underordnad” den andra. Folkrepubliken Kina har motiverat sin senaste militärövning med att hävda att president Lai Ching-te bedriver en separatistisk strategi.</w:t>
      </w:r>
    </w:p>
    <w:p w14:paraId="45319CF8" w14:textId="77777777" w:rsidR="0090356A" w:rsidRPr="001D13D9" w:rsidRDefault="0090356A" w:rsidP="0090356A">
      <w:pPr>
        <w:pStyle w:val="NormalHanging12a"/>
      </w:pPr>
      <w:r w:rsidRPr="001D13D9">
        <w:t>N.</w:t>
      </w:r>
      <w:r w:rsidRPr="001D13D9">
        <w:tab/>
        <w:t>Den 14 oktober 2024 inledde Folkrepubliken Kina en storskalig militärövning kallad Förenade svärdet 2024B, som simulerade en blockad av Taiwan. Under denna övning upptäcktes 153 kinesiska flygplan, 18 krigsfartyg och 17 kinesiska kustbevakningsfartyg runt Taiwan, ett rekordstort antal.</w:t>
      </w:r>
    </w:p>
    <w:p w14:paraId="1B5FB195" w14:textId="77777777" w:rsidR="0090356A" w:rsidRPr="001D13D9" w:rsidRDefault="0090356A" w:rsidP="0090356A">
      <w:pPr>
        <w:pStyle w:val="NormalHanging12a"/>
      </w:pPr>
      <w:r w:rsidRPr="001D13D9">
        <w:t>O.</w:t>
      </w:r>
      <w:r w:rsidRPr="001D13D9">
        <w:tab/>
        <w:t>Under övningarna patrullerade fyra förband med kinesiska kustbevakningsfartyg nära ön och befann sig en kort stund i Taiwans begränsade farvatten. Folkrepubliken Kinas mycket frekventa användning av kustbevakning i sundet för vad landet kallar ”brottsbekämpande” uppdrag sätter konstant press på de taiwanesiska myndigheterna och ökar risken för kollisioner på ett farligt sätt i samband med något som är ett av de mest konkreta tecknen på Folkrepubliken Kinas avsikt att urholka status quo. Övningarna som inleddes den 14 oktober 2024 var den fjärde omgången med storskaliga krigsövningar från Folkrepubliken Kinas sida på drygt två år.</w:t>
      </w:r>
    </w:p>
    <w:p w14:paraId="412C72A7" w14:textId="77777777" w:rsidR="0090356A" w:rsidRPr="001D13D9" w:rsidRDefault="0090356A" w:rsidP="0090356A">
      <w:pPr>
        <w:pStyle w:val="NormalHanging12a"/>
      </w:pPr>
      <w:r w:rsidRPr="001D13D9">
        <w:t>P.</w:t>
      </w:r>
      <w:r w:rsidRPr="001D13D9">
        <w:tab/>
        <w:t>Aktiviteterna fördömdes av Taiwan som en ”orimlig provokation” och är den senaste i raden av Folkrepubliken Kinas krigsövningar riktade mot Taiwan. Militärövningarna kom några dagar efter det att Taiwans nye president Lai Ching-te hade hållit ett tal där han lovade att skydda Taiwans suveränitet mot prövningarna från Folkrepublikens sida.</w:t>
      </w:r>
    </w:p>
    <w:p w14:paraId="61373C1E" w14:textId="77777777" w:rsidR="0090356A" w:rsidRPr="001D13D9" w:rsidRDefault="0090356A" w:rsidP="0090356A">
      <w:pPr>
        <w:pStyle w:val="NormalHanging12a"/>
      </w:pPr>
      <w:r w:rsidRPr="001D13D9">
        <w:t>Q.</w:t>
      </w:r>
      <w:r w:rsidRPr="001D13D9">
        <w:tab/>
        <w:t>Medianlinjen, som fastställdes för flera årtionden sedan i en tyst överenskommelse mellan parterna på vardera sidan av Taiwansundet, utformades för att minska konfliktrisken genom att hålla de båda parternas militärflygplan på säkert avstånd från varandra och på så sätt förhindra ödesdigra felberäkningar. Den kinesiska folkbefrielsearmén överskred medianlinjen bara fyra gånger mellan 1954 och 2020, men dagens rutinmässiga intrång speglar Pekings avsikt att oåterkalleligen sätta gamla referenspunkter ur spel.</w:t>
      </w:r>
    </w:p>
    <w:p w14:paraId="1F0A47BB" w14:textId="77777777" w:rsidR="0090356A" w:rsidRPr="001D13D9" w:rsidRDefault="0090356A" w:rsidP="0090356A">
      <w:pPr>
        <w:pStyle w:val="NormalHanging12a"/>
      </w:pPr>
      <w:r w:rsidRPr="001D13D9">
        <w:t>R.</w:t>
      </w:r>
      <w:r w:rsidRPr="001D13D9">
        <w:tab/>
        <w:t>Pressuttalanden från unionens höga representant för utrikes frågor och säkerhetspolitik och USA:s utrikesdepartement bekräftar att fred och stabilitet i Taiwansundet är av strategisk betydelse för säkerheten och välståndet regionalt och globalt. Den höga representanten erinrar i sitt uttalande om behovet av att bevara status quo i Taiwansundet, motsätter sig unilaterala åtgärder som ändrar status quo genom våld eller tvång och uppmanar alla parter att visa prov på återhållsamhet och undvika åtgärder som riskerar att ytterligare öka spänningarna över sundet.</w:t>
      </w:r>
    </w:p>
    <w:p w14:paraId="686E9BEF" w14:textId="77777777" w:rsidR="0090356A" w:rsidRPr="001D13D9" w:rsidRDefault="0090356A" w:rsidP="0090356A">
      <w:pPr>
        <w:pStyle w:val="NormalHanging12a"/>
      </w:pPr>
      <w:r w:rsidRPr="001D13D9">
        <w:t>S.</w:t>
      </w:r>
      <w:r w:rsidRPr="001D13D9">
        <w:tab/>
        <w:t>Den 23 maj 2024 inledde Folkrepubliken Kina en militärövning kallad Förenade svärdet 2024A, bara några dagar efter installationen av Lai Ching-te som Taiwans nye president.</w:t>
      </w:r>
    </w:p>
    <w:p w14:paraId="76611934" w14:textId="77777777" w:rsidR="0090356A" w:rsidRPr="001D13D9" w:rsidRDefault="0090356A" w:rsidP="0090356A">
      <w:pPr>
        <w:pStyle w:val="NormalHanging12a"/>
      </w:pPr>
      <w:r w:rsidRPr="001D13D9">
        <w:lastRenderedPageBreak/>
        <w:t>T.</w:t>
      </w:r>
      <w:r w:rsidRPr="001D13D9">
        <w:tab/>
        <w:t>Under de senaste åren har Folkrepubliken Kina genomfört liknande militärövningar runt Taiwan. Militärövningarna har ökat i intensitet och flyttats närmare och närmare Taiwans fastland. Under en tidigare övning i augusti 2022 avfyrade Folkrepubliken Kina också missiler som slog ned i Japans exklusiva ekonomiska zon.</w:t>
      </w:r>
    </w:p>
    <w:p w14:paraId="0610E9FD" w14:textId="77777777" w:rsidR="0090356A" w:rsidRPr="001D13D9" w:rsidRDefault="0090356A" w:rsidP="0090356A">
      <w:pPr>
        <w:pStyle w:val="NormalHanging12a"/>
      </w:pPr>
      <w:r w:rsidRPr="001D13D9">
        <w:t>U.</w:t>
      </w:r>
      <w:r w:rsidRPr="001D13D9">
        <w:tab/>
        <w:t>Vid sidan av militära påtryckningar har Folkrepubliken Kina länge drivit en sofistikerad strategi som går ut på att utsätta Taiwan för utländsk informationsmanipulering och inblandning, inbegripet hybrid- och cyberattacker, i syfte att undergräva Taiwans demokratiska samhälle.</w:t>
      </w:r>
    </w:p>
    <w:p w14:paraId="51ED3965" w14:textId="77777777" w:rsidR="0090356A" w:rsidRPr="001D13D9" w:rsidRDefault="0090356A" w:rsidP="0090356A">
      <w:pPr>
        <w:pStyle w:val="NormalHanging12a"/>
      </w:pPr>
      <w:r w:rsidRPr="001D13D9">
        <w:t>V.</w:t>
      </w:r>
      <w:r w:rsidRPr="001D13D9">
        <w:tab/>
        <w:t>Under Xi Jinpings styre har Folkrepubliken Kina sagt att landet inte kommer att avstå från att använda våld för att få till stånd en förening med Taiwan.</w:t>
      </w:r>
    </w:p>
    <w:p w14:paraId="14BFB129" w14:textId="77777777" w:rsidR="0090356A" w:rsidRPr="001D13D9" w:rsidRDefault="0090356A" w:rsidP="0090356A">
      <w:pPr>
        <w:pStyle w:val="NormalHanging12a"/>
      </w:pPr>
      <w:r w:rsidRPr="001D13D9">
        <w:t>W.</w:t>
      </w:r>
      <w:r w:rsidRPr="001D13D9">
        <w:tab/>
        <w:t>Folkrepubliken Kinas lag från 2005 mot utträde omfattar användning av icke-fredliga medel som aktiveras enligt tvetydiga tröskelvärden för att uppnå vad Folkrepubliken Kina kallar en ”förening” med Taiwan. Sådana militära insatser utgör ett allvarligt hot mot säkerheten och stabiliteten i hela regionen, med potentiellt svåra globala konsekvenser. Avskräckande åtgärder från EU och USA är av strategisk betydelse för att avhålla Folkrepubliken Kina från att vidta unilaterala åtgärder mot Taiwan.</w:t>
      </w:r>
    </w:p>
    <w:p w14:paraId="18FC20BA" w14:textId="77777777" w:rsidR="0090356A" w:rsidRPr="001D13D9" w:rsidRDefault="0090356A" w:rsidP="0090356A">
      <w:pPr>
        <w:pStyle w:val="NormalHanging12a"/>
      </w:pPr>
      <w:r w:rsidRPr="001D13D9">
        <w:t>X.</w:t>
      </w:r>
      <w:r w:rsidRPr="001D13D9">
        <w:tab/>
        <w:t>Folkrepubliken Kinas alltmer aggressiva beteende, särskilt i det egna grannskapet såsom Taiwansundet och Sydkinesiska havet, hotar den regionala och globala säkerheten. Sedan 2019 har Folkrepubliken Kina alltmer regelbundet kränkt Taiwans luftförsvarsidentifieringszon. Folkrepubliken Kina har uppträtt aggressivt i stora delar av regionen Indiska oceanen/Stilla havet och utövat olika grader av militärt eller ekonomiskt tvång, vilket har lett till tvister med grannländer som Japan, Indien, Filippinerna och Australien.</w:t>
      </w:r>
    </w:p>
    <w:p w14:paraId="1B804734" w14:textId="77777777" w:rsidR="0090356A" w:rsidRPr="001D13D9" w:rsidRDefault="0090356A" w:rsidP="0090356A">
      <w:pPr>
        <w:pStyle w:val="NormalHanging12a"/>
      </w:pPr>
      <w:r w:rsidRPr="001D13D9">
        <w:t>Y.</w:t>
      </w:r>
      <w:r w:rsidRPr="001D13D9">
        <w:tab/>
        <w:t>EU har fördömt de farliga åtgärder som kinesiska kustbevakningsfartyg vidtog mot lagliga filippinska sjöfartsinsatser i Sydkinesiska havet den 31 augusti 2024. Händelsen är den senaste i raden av åtgärder som äventyrar säkerheten för människoliv till sjöss och som strider mot rätten till fri navigering och överflygning i enlighet med folkrätten. Säkerheten till sjöss och navigeringsfriheten måste säkerställas i enlighet med folkrätten, särskilt FN:s havsrättskonvention (Unclos).</w:t>
      </w:r>
    </w:p>
    <w:p w14:paraId="2338623F" w14:textId="77777777" w:rsidR="0090356A" w:rsidRPr="001D13D9" w:rsidRDefault="0090356A" w:rsidP="0090356A">
      <w:pPr>
        <w:pStyle w:val="NormalHanging12a"/>
        <w:rPr>
          <w:shd w:val="clear" w:color="auto" w:fill="FFFFFF"/>
        </w:rPr>
      </w:pPr>
      <w:r w:rsidRPr="001D13D9">
        <w:t>Z.</w:t>
      </w:r>
      <w:r w:rsidRPr="001D13D9">
        <w:tab/>
        <w:t>Folkrepubliken Kina stöder Rysslands anfallskrig mot Ukraina genom i synnerhet export av varor med dubbla användningsområden till Ryssland och Kinabaserade företags kontinuerliga medverkan till att kringgå och undvika sanktioner.</w:t>
      </w:r>
    </w:p>
    <w:p w14:paraId="451DC1E2" w14:textId="77777777" w:rsidR="0090356A" w:rsidRPr="001D13D9" w:rsidRDefault="0090356A" w:rsidP="0090356A">
      <w:pPr>
        <w:pStyle w:val="NormalHanging12a"/>
      </w:pPr>
      <w:r w:rsidRPr="001D13D9">
        <w:t>AA.</w:t>
      </w:r>
      <w:r w:rsidRPr="001D13D9">
        <w:tab/>
        <w:t>Som ständig medlem av FN:s säkerhetsråd har Folkrepubliken Kina ett ansvar att arbeta för fred och stabilitet i regionen och särskilt i Taiwansundet.</w:t>
      </w:r>
    </w:p>
    <w:p w14:paraId="21A3E161" w14:textId="77777777" w:rsidR="0090356A" w:rsidRPr="001D13D9" w:rsidRDefault="0090356A" w:rsidP="0090356A">
      <w:pPr>
        <w:pStyle w:val="NormalHanging12a"/>
        <w:widowControl/>
      </w:pPr>
      <w:r w:rsidRPr="001D13D9">
        <w:t>AB.</w:t>
      </w:r>
      <w:r w:rsidRPr="001D13D9">
        <w:tab/>
        <w:t>Genom sin strategi från 2021 för samarbete i regionen Indiska oceanen/Stilla havet har EU och dess medlemsstater ökat sin närvaro i regionen, bland annat genom att en del medlemsstater har en högre militär närvaro och att militära fartyg kontinuerligt passerar genom Taiwansundet.</w:t>
      </w:r>
    </w:p>
    <w:p w14:paraId="270A1DC2" w14:textId="77777777" w:rsidR="0090356A" w:rsidRPr="001D13D9" w:rsidRDefault="0090356A" w:rsidP="0090356A">
      <w:pPr>
        <w:pStyle w:val="NormalHanging12a"/>
      </w:pPr>
      <w:r w:rsidRPr="001D13D9">
        <w:t>AC.</w:t>
      </w:r>
      <w:r w:rsidRPr="001D13D9">
        <w:tab/>
        <w:t xml:space="preserve">Taiwan har ett handelsmässigt strategiskt läge, särskilt för de högteknologiska leveranskedjorna. Taiwansundet är den främsta rutten för fartyg som går från Kina, Japan, Sydkorea och Taiwan till Europa. Taiwan dominerar marknaderna för </w:t>
      </w:r>
      <w:r w:rsidRPr="001D13D9">
        <w:lastRenderedPageBreak/>
        <w:t>tillverkning av halvledare, då dess producenter står för omkring 50 procent av världens halvledarproduktion. I EU:s strategi för samarbete i regionen Indiska oceanen/Stilla havet förespråkas ett ökat handels- och investeringssamarbete med Taiwan.</w:t>
      </w:r>
    </w:p>
    <w:p w14:paraId="4A2454F2" w14:textId="77777777" w:rsidR="0090356A" w:rsidRPr="001D13D9" w:rsidRDefault="0090356A" w:rsidP="0090356A">
      <w:pPr>
        <w:pStyle w:val="NormalHanging12a"/>
      </w:pPr>
      <w:r w:rsidRPr="001D13D9">
        <w:t>AD.</w:t>
      </w:r>
      <w:r w:rsidRPr="001D13D9">
        <w:tab/>
        <w:t>EU är Taiwans fjärde största handelspartner efter Folkrepubliken Kina, USA och Japan. Taiwan var 2022 EU:s 12:e största handelspartner. EU är den största källan till utländska direktinvesteringar i Taiwan. Taiwans investeringar i EU ligger fortfarande under sin potential.</w:t>
      </w:r>
    </w:p>
    <w:p w14:paraId="6EDBADF7" w14:textId="77777777" w:rsidR="0090356A" w:rsidRPr="001D13D9" w:rsidRDefault="0090356A" w:rsidP="0090356A">
      <w:pPr>
        <w:pStyle w:val="NormalHanging12a"/>
      </w:pPr>
      <w:r w:rsidRPr="001D13D9">
        <w:t>AE.</w:t>
      </w:r>
      <w:r w:rsidRPr="001D13D9">
        <w:tab/>
        <w:t>Ledamöterna i den australiska senaten och det nederländska representanthuset har nyligen antagit förslag om Folkrepubliken Kinas förvanskning av FN:s resolution 2758 och efterlyst stöd för Taiwans ökade deltagande i multilaterala organisationer.</w:t>
      </w:r>
    </w:p>
    <w:p w14:paraId="7CADC5B4" w14:textId="77777777" w:rsidR="0090356A" w:rsidRPr="001D13D9" w:rsidRDefault="0090356A" w:rsidP="0090356A">
      <w:pPr>
        <w:pStyle w:val="NormalHanging12a"/>
      </w:pPr>
      <w:r w:rsidRPr="001D13D9">
        <w:t>1.</w:t>
      </w:r>
      <w:r w:rsidRPr="001D13D9">
        <w:tab/>
        <w:t>Europaparlamentet upprepar att Taiwan är en central partner för EU och en likasinnad demokratisk vän i regionen Indiska oceanen/Stilla havet. Parlamentet berömmer Taiwan och det taiwanesiska folket för deras starka demokrati och livskraftiga civila samhälle, vilket än en gång visades genom det fredliga och välorganiserade valet den 13 januari 2024.</w:t>
      </w:r>
    </w:p>
    <w:p w14:paraId="318676AA" w14:textId="77777777" w:rsidR="0090356A" w:rsidRPr="001D13D9" w:rsidRDefault="0090356A" w:rsidP="0090356A">
      <w:pPr>
        <w:pStyle w:val="NormalHanging12a"/>
      </w:pPr>
      <w:r w:rsidRPr="001D13D9">
        <w:t>2.</w:t>
      </w:r>
      <w:r w:rsidRPr="001D13D9">
        <w:tab/>
        <w:t>Europaparlamentet motsätter sig Folkrepubliken Kinas ständiga förvanskning av FN:s resolution 2758 och landets ansträngningar för att blockera Taiwans deltagande i multilaterala organisationer. Parlamentet uppmanar EU och dess medlemsstater att stödja Taiwans meningsfulla deltagande i relevanta internationella organisationer såsom WHO, Icao, Interpol och UNFCCC. Parlamentet uppmanar vidare FN-sekretariatet att ge taiwanesiska medborgare och journalister rätt att komma in i FN:s lokaler för besök, möten och nyhetsförmedling.</w:t>
      </w:r>
    </w:p>
    <w:p w14:paraId="0E831D5F" w14:textId="77777777" w:rsidR="0090356A" w:rsidRPr="001D13D9" w:rsidRDefault="0090356A" w:rsidP="0090356A">
      <w:pPr>
        <w:pStyle w:val="NormalHanging12a"/>
      </w:pPr>
      <w:r w:rsidRPr="001D13D9">
        <w:t>3.</w:t>
      </w:r>
      <w:r w:rsidRPr="001D13D9">
        <w:tab/>
        <w:t>Europaparlamentet fördömer skarpt Folkrepubliken Kinas oberättigade militärövningar den 14 oktober 2024, landets fortsatta militära provokationer mot Taiwan och landets fortsatta militära uppbyggnad som förändrar maktbalansen i regionen Indiska oceanen/Stilla havet, och upprepar sitt starka avvisande av alla ensidiga ändringar av status quo i Taiwansundet. Parlamentet lovordar de taiwanesiska myndigheternas återhållsamhet och disciplinerade reaktion och efterlyser regelbundna diskussioner mellan EU och dess taiwanesiska motparter om relevanta säkerhetsfrågor.</w:t>
      </w:r>
    </w:p>
    <w:p w14:paraId="570A6F2C" w14:textId="77777777" w:rsidR="0090356A" w:rsidRPr="001D13D9" w:rsidRDefault="0090356A" w:rsidP="0090356A">
      <w:pPr>
        <w:pStyle w:val="NormalHanging12a"/>
      </w:pPr>
      <w:r w:rsidRPr="001D13D9">
        <w:t>4.</w:t>
      </w:r>
      <w:r w:rsidRPr="001D13D9">
        <w:tab/>
        <w:t>Europaparlamentet bekräftar på nytt sitt kraftfulla åtagande för status quo i Taiwansundet. Parlamentet understryker att eventuella försök att ensidigt ändra status quo i Taiwansundet, särskilt genom våld eller tvång, inte kommer att accepteras och kommer att mötas med en orubblig och hård reaktion.</w:t>
      </w:r>
    </w:p>
    <w:p w14:paraId="4657C486" w14:textId="77777777" w:rsidR="0090356A" w:rsidRPr="001D13D9" w:rsidRDefault="0090356A" w:rsidP="0090356A">
      <w:pPr>
        <w:pStyle w:val="NormalHanging12a"/>
      </w:pPr>
      <w:r w:rsidRPr="001D13D9">
        <w:t>5.</w:t>
      </w:r>
      <w:r w:rsidRPr="001D13D9">
        <w:tab/>
        <w:t>Europaparlamentet understryker att FN:s resolution 2758 inte intar någon ståndpunkt om Taiwan. Parlamentet avvisar bestämt och tillbakavisar Folkrepubliken Kinas försök att förvanska historien och de internationella reglerna.</w:t>
      </w:r>
    </w:p>
    <w:p w14:paraId="301B24D8" w14:textId="77777777" w:rsidR="0090356A" w:rsidRPr="001D13D9" w:rsidRDefault="0090356A" w:rsidP="0090356A">
      <w:pPr>
        <w:pStyle w:val="NormalHanging12a"/>
      </w:pPr>
      <w:r w:rsidRPr="001D13D9">
        <w:t>6.</w:t>
      </w:r>
      <w:r w:rsidRPr="001D13D9">
        <w:tab/>
        <w:t>Europaparlamentet upprepar EU:s engagemang för politiken för ett enat Kina som den politiska grunden för förbindelserna mellan EU och Kina. Parlamentet påminner om att det i EU:s strategi för Kina betonas att konstruktiva förbindelser över sundet är en del av främjandet av fred och säkerhet i hela Asien–Stillahavsregionen och att EU stöder initiativ som syftar till dialog och uppbyggnad av tillit.</w:t>
      </w:r>
    </w:p>
    <w:p w14:paraId="1C6135FB" w14:textId="77777777" w:rsidR="0090356A" w:rsidRPr="001D13D9" w:rsidRDefault="0090356A" w:rsidP="0090356A">
      <w:pPr>
        <w:pStyle w:val="NormalHanging12a"/>
      </w:pPr>
      <w:r w:rsidRPr="001D13D9">
        <w:t>7.</w:t>
      </w:r>
      <w:r w:rsidRPr="001D13D9">
        <w:tab/>
        <w:t xml:space="preserve">Europaparlamentet understryker att det i Taiwan är upp till folket att demokratiskt </w:t>
      </w:r>
      <w:r w:rsidRPr="001D13D9">
        <w:lastRenderedPageBreak/>
        <w:t>bestämma hur de vill leva och att status quo i Taiwansundet inte ensidigt får ändras genom användning av eller hot om våld.</w:t>
      </w:r>
    </w:p>
    <w:p w14:paraId="5860AAE9" w14:textId="77777777" w:rsidR="0090356A" w:rsidRPr="001D13D9" w:rsidRDefault="0090356A" w:rsidP="0090356A">
      <w:pPr>
        <w:pStyle w:val="NormalHanging12a"/>
      </w:pPr>
      <w:r w:rsidRPr="001D13D9">
        <w:t>8.</w:t>
      </w:r>
      <w:r w:rsidRPr="001D13D9">
        <w:tab/>
        <w:t>Europaparlamentet upprepar sitt kraftfulla fördömande av uttalanden av president Xi Jinping om att Folkrepubliken Kina aldrig kommer att avstå från rätten att använda våld i förhållande till Taiwan. Parlamentet understryker att Folkrepubliken Kinas användning av våld eller hot, eller andra mycket tvingande åtgärder för att uppnå ett enande, strider mot folkrätten. Parlamentet uttrycker allvarlig oro över Folkrepubliken Kinas användning av fientlig desinformation för att undergräva tilltron till Taiwans demokrati och styre. Parlamentet upprepar sina tidigare uppmaningar till EU och dess medlemsstater att samarbeta med internationella partner för att bidra till att upprätthålla demokratin i Taiwan och hålla den fri från utländsk inblandning och hot. Parlamentet understryker att endast Taiwans demokratiskt valda regering kan företräda det taiwanesiska folket internationellt.</w:t>
      </w:r>
    </w:p>
    <w:p w14:paraId="0F89867D" w14:textId="77777777" w:rsidR="0090356A" w:rsidRPr="001D13D9" w:rsidRDefault="0090356A" w:rsidP="0090356A">
      <w:pPr>
        <w:pStyle w:val="NormalHanging12a"/>
      </w:pPr>
      <w:r w:rsidRPr="001D13D9">
        <w:t>9.</w:t>
      </w:r>
      <w:r w:rsidRPr="001D13D9">
        <w:tab/>
        <w:t>Europaparlamentet fördömer Folkrepubliken Kinas systematiska militära åtgärder i gråzonen, inbegripet cyber- och desinformationskampanjer mot Taiwan, och uppmanar med kraft Folkrepubliken Kina att omedelbart upphöra med denna verksamhet. Parlamentet efterlyser i detta avseende ett ytterligare fördjupat samarbete mellan EU och Taiwan i syfte att stärka det strukturella samarbetet för att motverka desinformation och utländsk inblandning. Parlamentet välkomnar utstationeringen av en sambandsman vid Europeiska kontoret för ekonomi och handel i Taiwan för att samordna gemensamma insatser för att bekämpa desinformation och inblandning som ett första viktigt steg mot ett djupare samarbete mellan EU och Taiwan, och uppmanar EU att ytterligare fördjupa samarbetet med Taiwan på detta viktiga område. Parlamentet hyllar det taiwanesiska folkets mod och de taiwanesiska myndigheternas och institutionernas proportionerliga och värdiga reaktioner på de tilltagande kinesiska hoten och aktiviteterna.</w:t>
      </w:r>
    </w:p>
    <w:p w14:paraId="29F914B8" w14:textId="77777777" w:rsidR="0090356A" w:rsidRPr="001D13D9" w:rsidRDefault="0090356A" w:rsidP="0090356A">
      <w:pPr>
        <w:pStyle w:val="NormalHanging12a"/>
        <w:rPr>
          <w:bCs/>
        </w:rPr>
      </w:pPr>
      <w:r w:rsidRPr="001D13D9">
        <w:t>10.</w:t>
      </w:r>
      <w:r w:rsidRPr="001D13D9">
        <w:tab/>
        <w:t>Europaparlamentet avvisar bestämt Folkrepubliken Kinas ekonomiska tvång mot Taiwan och andra länder samt mot EU:s medlemsstater, och understryker att sådana metoder inte bara är olagliga enligt Världshandelsorganisationens bestämmelser utan också har en förödande inverkan på Folkrepubliken Kinas rykte runt om i världen och kommer att leda till att förtroendet för Folkrepubliken Kina som en ansvarstagande aktör ytterligare försämras. Parlamentet betonar EU:s och dess medlemsstaters oberoende rätt att utveckla förbindelser med Taiwan i linje med sina intressen och gemensamma demokrati- och människorättsvärderingar utan utländsk inblandning. Parlamentet uppmanar EU:s och medlemsstaternas beskickningar utomlands att ta itu med och erbjuda alternativ till Folkrepubliken Kinas fientliga affärsmetoder, särskilt i det globala Syd.</w:t>
      </w:r>
    </w:p>
    <w:p w14:paraId="539CB03B" w14:textId="77777777" w:rsidR="0090356A" w:rsidRPr="001D13D9" w:rsidRDefault="0090356A" w:rsidP="0090356A">
      <w:pPr>
        <w:pStyle w:val="NormalHanging12a"/>
      </w:pPr>
      <w:r w:rsidRPr="001D13D9">
        <w:t>11.</w:t>
      </w:r>
      <w:r w:rsidRPr="001D13D9">
        <w:tab/>
        <w:t>Europaparlamentet är mycket oroat över antagandet av de så kallade riktlinjerna för att bestraffa ”fanatiska separatister för ett självständigt Taiwan”, som verkar för eller manar till utbrytning, som gemensamt tillkännagavs av Högsta folkdomstolen, Högsta folkåklagarmyndigheten, ministerierna för allmän säkerhet och statens säkerhet och justitieministeriet i juni 2024, och där det anges att utbrytningsbrott kan leda till hårda straff, inklusive dödsstraff. Parlamentet fördömer kraftfullt domen mot en taiwanesisk aktivist till nio års fängelse i september 2024, efter att han gripits i Folkrepubliken Kina 2022, samt de ständiga trakasserierna mot taiwaneser som arbetar och bor i Folkrepubliken Kina.</w:t>
      </w:r>
    </w:p>
    <w:p w14:paraId="3D21BC06" w14:textId="77777777" w:rsidR="0090356A" w:rsidRPr="001D13D9" w:rsidRDefault="0090356A" w:rsidP="0090356A">
      <w:pPr>
        <w:pStyle w:val="NormalHanging12a"/>
      </w:pPr>
      <w:r w:rsidRPr="001D13D9">
        <w:lastRenderedPageBreak/>
        <w:t>12.</w:t>
      </w:r>
      <w:r w:rsidRPr="001D13D9">
        <w:tab/>
        <w:t>Europaparlamentet är allvarligt oroat över situationen i Östkinesiska havet och Sydkinesiska havet. Parlamentet erinrar om vikten av att respektera folkrätten, däribland Unclos, och i synnerhet dess bestämmelser om skyldigheten att lösa tvister med fredliga medel och om upprätthållande av fri sjöfart och överflygning. Parlamentet uppmanar alla länder som inte har gjort det att skyndsamt ratificera Unclos. Parlamentet uppmanar EU och dess medlemsstater att öka sin egen maritima kapacitet i regionen. Parlamentet påminner Folkrepubliken Kina om dess ansvar som ständig medlem av FN:s säkerhetsråd för att upprätthålla folkrätten och betonar skyldigheten att lösa tvister på ett fredligt sätt.</w:t>
      </w:r>
    </w:p>
    <w:p w14:paraId="5236FDEE" w14:textId="77777777" w:rsidR="0090356A" w:rsidRPr="001D13D9" w:rsidRDefault="0090356A" w:rsidP="0090356A">
      <w:pPr>
        <w:pStyle w:val="NormalHanging12a"/>
      </w:pPr>
      <w:r w:rsidRPr="001D13D9">
        <w:t>13.</w:t>
      </w:r>
      <w:r w:rsidRPr="001D13D9">
        <w:tab/>
        <w:t>Europaparlamentet upprepar sin djupa oro över Kinas ökande militära investeringar och förmågor. Parlamentet uttrycker allvarlig oro över Kinas och Rysslands förnyade åtagande att stärka sina militära band och fördömer det kinesiska tillhandahållandet av komponenter och utrustning till Moskvas militärindustri. Parlamentet välkomnar rådets beslut att införa sanktioner mot kinesiska företag för deras stöd till Rysslands krig mot Ukraina. Parlamentet beklagar djupt partnerskapet ”utan gränser” mellan Ryssland och Folkrepubliken Kina. Parlamentet välkomnar USA:s ökande engagemang och militära närvaro i regionen Indiska oceanen/Stilla havet. Parlamentet upprepar sitt krav på en samordnad strategi för att fördjupa samarbetet mellan EU och USA i säkerhetsfrågor, bland annat genom en transatlantisk parlamentarisk dialog.</w:t>
      </w:r>
    </w:p>
    <w:p w14:paraId="22B885CE" w14:textId="77777777" w:rsidR="0090356A" w:rsidRPr="001D13D9" w:rsidRDefault="0090356A" w:rsidP="0090356A">
      <w:pPr>
        <w:pStyle w:val="NormalHanging12a"/>
      </w:pPr>
      <w:r w:rsidRPr="001D13D9">
        <w:t>14.</w:t>
      </w:r>
      <w:r w:rsidRPr="001D13D9">
        <w:tab/>
        <w:t>Europaparlamentet välkomnar varmt Taiwans nära samarbete med och anpassning till EU och USA i fråga om att bemöta Rysslands krig mot Ukraina och utfärda sanktioner som svar på denna flagranta kränkning av folkrätten. Parlamentet påminner om Taiwans hjälp med att hantera den humanitära kris som orsakats av Rysslands anfallskrig mot Ukraina och dess fortsatta engagemang och stöd till den ukrainska regeringen och de länder som tar emot ukrainska flyktingar.</w:t>
      </w:r>
    </w:p>
    <w:p w14:paraId="1BF1EA5C" w14:textId="77777777" w:rsidR="0090356A" w:rsidRPr="001D13D9" w:rsidRDefault="0090356A" w:rsidP="0090356A">
      <w:pPr>
        <w:pStyle w:val="NormalHanging12a"/>
      </w:pPr>
      <w:r w:rsidRPr="001D13D9">
        <w:t>15.</w:t>
      </w:r>
      <w:r w:rsidRPr="001D13D9">
        <w:tab/>
        <w:t>Europaparlamentet framhåller att Folkrepubliken Kinas olika åtgärder på området kognitiv och juridisk krigföring långsamt undergräver status quo och intensifierar gråzonsverksamhet som syftar till att kringgå upptäckt, befintliga lagar och reaktionströsklar. Parlamentet uppmanar EU att inrätta och verkställa sina röda linjer med hjälp av sin verktygslåda med sanktioner, inbegripet sektorsvisa sanktioner, mot hybridverksamhet och cyberhot, och att samordna kraftfulla diplomatiska och ekonomiska avskräckande åtgärder med likasinnade partner.</w:t>
      </w:r>
    </w:p>
    <w:p w14:paraId="2AB87994" w14:textId="77777777" w:rsidR="0090356A" w:rsidRPr="001D13D9" w:rsidRDefault="0090356A" w:rsidP="0090356A">
      <w:pPr>
        <w:pStyle w:val="NormalHanging12a"/>
      </w:pPr>
      <w:r w:rsidRPr="001D13D9">
        <w:t>16.</w:t>
      </w:r>
      <w:r w:rsidRPr="001D13D9">
        <w:tab/>
        <w:t>Europaparlamentet uttrycker sin tacksamhet för Taiwans hjälp och stöd under covid</w:t>
      </w:r>
      <w:r w:rsidRPr="001D13D9">
        <w:noBreakHyphen/>
        <w:t>19</w:t>
      </w:r>
      <w:r w:rsidRPr="001D13D9">
        <w:noBreakHyphen/>
        <w:t>pandemin.</w:t>
      </w:r>
    </w:p>
    <w:p w14:paraId="021CF86A" w14:textId="77777777" w:rsidR="0090356A" w:rsidRPr="001D13D9" w:rsidRDefault="0090356A" w:rsidP="0090356A">
      <w:pPr>
        <w:pStyle w:val="NormalHanging12a"/>
      </w:pPr>
      <w:r w:rsidRPr="001D13D9">
        <w:t>17.</w:t>
      </w:r>
      <w:r w:rsidRPr="001D13D9">
        <w:tab/>
        <w:t>Europaparlamentet erkänner Taiwans betydelse i tryggandet av de globala försörjningskedjorna, särskilt i den högteknologiska sektorn där Taiwan är den ledande producenten av halvledare, och uppmanar med kraft EU och dess medlemsstater att engagera sig i ett närmare samarbete med Taiwan.</w:t>
      </w:r>
    </w:p>
    <w:p w14:paraId="2C729F39" w14:textId="77777777" w:rsidR="0090356A" w:rsidRPr="001D13D9" w:rsidRDefault="0090356A" w:rsidP="0090356A">
      <w:pPr>
        <w:pStyle w:val="NormalHanging12a"/>
      </w:pPr>
      <w:r w:rsidRPr="001D13D9">
        <w:t>18.</w:t>
      </w:r>
      <w:r w:rsidRPr="001D13D9">
        <w:tab/>
        <w:t>Europaparlamentet uppmanar kommissionen att utan dröjsmål inleda förberedande åtgärder för förhandlingar om ett bilateralt investeringsavtal eller andra typer av avtal med Taiwan. Parlamentet framhåller att det finns potential när det gäller samarbete om en granskningspolitik för utländska direktinvesteringar och om hanteringen av ekonomiskt tvång och ekonomiska repressalier.</w:t>
      </w:r>
    </w:p>
    <w:p w14:paraId="445327B3" w14:textId="77777777" w:rsidR="0090356A" w:rsidRPr="001D13D9" w:rsidRDefault="0090356A" w:rsidP="0090356A">
      <w:pPr>
        <w:pStyle w:val="NormalHanging12a"/>
      </w:pPr>
      <w:r w:rsidRPr="001D13D9">
        <w:t>19.</w:t>
      </w:r>
      <w:r w:rsidRPr="001D13D9">
        <w:tab/>
        <w:t xml:space="preserve">Europaparlamentet välkomnar att flera EU-länder, däribland Frankrike, Nederländerna </w:t>
      </w:r>
      <w:r w:rsidRPr="001D13D9">
        <w:lastRenderedPageBreak/>
        <w:t>och Tyskland, har ökat sina övningar avseende frihet till sjöfart. Parlamentet noterar att denna verksamhet är förenlig med folkrätten och efterlyser mer samarbete och samordning med regionala partner för att öka verksamhet avseende frihet till sjöfart i regionen.</w:t>
      </w:r>
    </w:p>
    <w:p w14:paraId="4526CE47" w14:textId="77777777" w:rsidR="0090356A" w:rsidRPr="001D13D9" w:rsidRDefault="0090356A" w:rsidP="0090356A">
      <w:pPr>
        <w:pStyle w:val="NormalHanging12a"/>
      </w:pPr>
      <w:r w:rsidRPr="001D13D9">
        <w:t>20.</w:t>
      </w:r>
      <w:r w:rsidRPr="001D13D9">
        <w:tab/>
        <w:t>Europaparlamentet välkomnar tidigare och nuvarande taiwanesiska politikers besök i Europa, bland annat det besök som den tidigare presidenten Tsai Ing-wen nyligen gjorde i Europaparlamentet den 17 oktober 2024. Parlamentet välkomnar dessutom fortsatta utbyten mellan dess ledamöter och Taiwan och uppmuntrar till ytterligare besök av Europaparlamentets officiella delegationer i Taiwan. Parlamentet uppmuntrar dessutom till ytterligare utbyten mellan EU och Taiwan på alla nivåer, inbegripet politiska möten och direkta personkontakter.</w:t>
      </w:r>
    </w:p>
    <w:p w14:paraId="7CC441DF" w14:textId="77777777" w:rsidR="0090356A" w:rsidRPr="001D13D9" w:rsidRDefault="0090356A" w:rsidP="0090356A">
      <w:pPr>
        <w:pStyle w:val="NormalHanging12a"/>
      </w:pPr>
      <w:r w:rsidRPr="001D13D9">
        <w:t>21.</w:t>
      </w:r>
      <w:r w:rsidRPr="001D13D9">
        <w:tab/>
        <w:t>Europaparlamentet uppmuntrar mot denna bakgrund till ökade ekonomiska, vetenskapliga och kulturella kontakter och utbyten, med fokus bland annat på ungdomar, den akademiska världen, det civila samhället, idrott, kultur och utbildning samt partnerskap mellan städer och regioner. Parlamentet upprepar sin uppmaning till medlemsstaterna att inleda ett meningsfullt och strukturellt tekniskt samarbete med Taiwans nationella brandkårsmyndighet och nationella polismyndighet och med lokala förvaltningar på området civilskydd och katastrofhantering.</w:t>
      </w:r>
    </w:p>
    <w:p w14:paraId="101FFE2D" w14:textId="77777777" w:rsidR="0090356A" w:rsidRPr="001D13D9" w:rsidRDefault="0090356A" w:rsidP="0090356A">
      <w:pPr>
        <w:pStyle w:val="NormalHanging12a"/>
      </w:pPr>
      <w:r w:rsidRPr="001D13D9">
        <w:t>22.</w:t>
      </w:r>
      <w:r w:rsidRPr="001D13D9">
        <w:tab/>
        <w:t>Europaparlamentet uppdrar åt talmannen att översända denna resolution till rådet, kommissionen, vice ordföranden för kommissionen/unionens höga representant för utrikes frågor och säkerhetspolitik samt regeringarna i Folkrepubliken Kina och Taiwan.</w:t>
      </w:r>
    </w:p>
    <w:p w14:paraId="3666C90F" w14:textId="77777777" w:rsidR="00E365E1" w:rsidRPr="001D13D9" w:rsidRDefault="00E365E1" w:rsidP="00E605E9">
      <w:bookmarkStart w:id="8" w:name="TextBodyEnd"/>
      <w:bookmarkEnd w:id="8"/>
    </w:p>
    <w:sectPr w:rsidR="00E365E1" w:rsidRPr="001D13D9" w:rsidSect="001258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06992" w14:textId="77777777" w:rsidR="00E605E9" w:rsidRPr="0012580A" w:rsidRDefault="00E605E9">
      <w:r w:rsidRPr="0012580A">
        <w:separator/>
      </w:r>
    </w:p>
  </w:endnote>
  <w:endnote w:type="continuationSeparator" w:id="0">
    <w:p w14:paraId="04B5507B" w14:textId="77777777" w:rsidR="00E605E9" w:rsidRPr="0012580A" w:rsidRDefault="00E605E9">
      <w:r w:rsidRPr="001258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D2657" w14:textId="77777777" w:rsidR="00064002" w:rsidRPr="001258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9BFEE" w14:textId="77777777" w:rsidR="00064002" w:rsidRPr="001258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55A42" w14:textId="77777777" w:rsidR="00064002" w:rsidRPr="001258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B3DAA4" w14:textId="77777777" w:rsidR="00E605E9" w:rsidRPr="0012580A" w:rsidRDefault="00E605E9">
      <w:r w:rsidRPr="0012580A">
        <w:separator/>
      </w:r>
    </w:p>
  </w:footnote>
  <w:footnote w:type="continuationSeparator" w:id="0">
    <w:p w14:paraId="673A7506" w14:textId="77777777" w:rsidR="00E605E9" w:rsidRPr="0012580A" w:rsidRDefault="00E605E9">
      <w:r w:rsidRPr="0012580A">
        <w:continuationSeparator/>
      </w:r>
    </w:p>
  </w:footnote>
  <w:footnote w:id="1">
    <w:p w14:paraId="0C543FA9" w14:textId="77777777" w:rsidR="0090356A" w:rsidRPr="001D13D9" w:rsidRDefault="0090356A" w:rsidP="0012580A">
      <w:pPr>
        <w:pStyle w:val="FootnoteText"/>
        <w:ind w:left="567" w:hanging="567"/>
        <w:rPr>
          <w:sz w:val="24"/>
        </w:rPr>
      </w:pPr>
      <w:r w:rsidRPr="0012580A">
        <w:rPr>
          <w:rStyle w:val="FootnoteReference"/>
          <w:sz w:val="24"/>
          <w:lang w:val="sv-SE"/>
        </w:rPr>
        <w:footnoteRef/>
      </w:r>
      <w:r w:rsidR="0012580A" w:rsidRPr="001D13D9">
        <w:rPr>
          <w:sz w:val="24"/>
        </w:rPr>
        <w:t xml:space="preserve"> </w:t>
      </w:r>
      <w:r w:rsidR="0012580A" w:rsidRPr="001D13D9">
        <w:rPr>
          <w:sz w:val="24"/>
        </w:rPr>
        <w:tab/>
      </w:r>
      <w:r w:rsidRPr="001D13D9">
        <w:rPr>
          <w:sz w:val="24"/>
        </w:rPr>
        <w:t>EUT C 117, 11.3.2022, s. 40.</w:t>
      </w:r>
    </w:p>
  </w:footnote>
  <w:footnote w:id="2">
    <w:p w14:paraId="171AE42E" w14:textId="77777777" w:rsidR="0090356A" w:rsidRPr="001D13D9" w:rsidRDefault="0090356A" w:rsidP="0012580A">
      <w:pPr>
        <w:pStyle w:val="FootnoteText"/>
        <w:ind w:left="567" w:hanging="567"/>
        <w:rPr>
          <w:sz w:val="24"/>
        </w:rPr>
      </w:pPr>
      <w:r w:rsidRPr="0012580A">
        <w:rPr>
          <w:rStyle w:val="FootnoteReference"/>
          <w:sz w:val="24"/>
          <w:lang w:val="sv-SE"/>
        </w:rPr>
        <w:footnoteRef/>
      </w:r>
      <w:r w:rsidR="0012580A" w:rsidRPr="001D13D9">
        <w:rPr>
          <w:sz w:val="24"/>
        </w:rPr>
        <w:t xml:space="preserve"> </w:t>
      </w:r>
      <w:r w:rsidR="0012580A" w:rsidRPr="001D13D9">
        <w:rPr>
          <w:sz w:val="24"/>
        </w:rPr>
        <w:tab/>
      </w:r>
      <w:r w:rsidRPr="001D13D9">
        <w:rPr>
          <w:sz w:val="24"/>
        </w:rPr>
        <w:t>EUT C 184, 5.5.2022, s. 170.</w:t>
      </w:r>
    </w:p>
  </w:footnote>
  <w:footnote w:id="3">
    <w:p w14:paraId="7DB06B82" w14:textId="77777777" w:rsidR="0090356A" w:rsidRPr="001D13D9" w:rsidRDefault="0090356A" w:rsidP="0012580A">
      <w:pPr>
        <w:pStyle w:val="FootnoteText"/>
        <w:ind w:left="567" w:hanging="567"/>
        <w:rPr>
          <w:sz w:val="24"/>
        </w:rPr>
      </w:pPr>
      <w:r w:rsidRPr="0012580A">
        <w:rPr>
          <w:rStyle w:val="FootnoteReference"/>
          <w:sz w:val="24"/>
          <w:lang w:val="sv-SE"/>
        </w:rPr>
        <w:footnoteRef/>
      </w:r>
      <w:r w:rsidR="0012580A" w:rsidRPr="001D13D9">
        <w:rPr>
          <w:sz w:val="24"/>
        </w:rPr>
        <w:t xml:space="preserve"> </w:t>
      </w:r>
      <w:r w:rsidR="0012580A" w:rsidRPr="001D13D9">
        <w:rPr>
          <w:sz w:val="24"/>
        </w:rPr>
        <w:tab/>
      </w:r>
      <w:r w:rsidRPr="001D13D9">
        <w:rPr>
          <w:sz w:val="24"/>
        </w:rPr>
        <w:t>EUT C 493, 27.12.2022, s. 32.</w:t>
      </w:r>
    </w:p>
  </w:footnote>
  <w:footnote w:id="4">
    <w:p w14:paraId="74196045" w14:textId="77777777" w:rsidR="0090356A" w:rsidRPr="001D13D9" w:rsidRDefault="0090356A" w:rsidP="0012580A">
      <w:pPr>
        <w:pStyle w:val="FootnoteText"/>
        <w:ind w:left="567" w:hanging="567"/>
        <w:rPr>
          <w:sz w:val="24"/>
        </w:rPr>
      </w:pPr>
      <w:r w:rsidRPr="0012580A">
        <w:rPr>
          <w:rStyle w:val="FootnoteReference"/>
          <w:sz w:val="24"/>
          <w:lang w:val="sv-SE"/>
        </w:rPr>
        <w:footnoteRef/>
      </w:r>
      <w:r w:rsidR="0012580A" w:rsidRPr="001D13D9">
        <w:rPr>
          <w:sz w:val="24"/>
        </w:rPr>
        <w:t xml:space="preserve"> </w:t>
      </w:r>
      <w:r w:rsidR="0012580A" w:rsidRPr="001D13D9">
        <w:rPr>
          <w:sz w:val="24"/>
        </w:rPr>
        <w:tab/>
      </w:r>
      <w:r w:rsidRPr="001D13D9">
        <w:rPr>
          <w:sz w:val="24"/>
        </w:rPr>
        <w:t>EUT C 125, 5.4.2023, s. 149.</w:t>
      </w:r>
    </w:p>
  </w:footnote>
  <w:footnote w:id="5">
    <w:p w14:paraId="0C8F35A0" w14:textId="30A67859" w:rsidR="0090356A" w:rsidRPr="001D13D9" w:rsidRDefault="0090356A" w:rsidP="0012580A">
      <w:pPr>
        <w:pStyle w:val="FootnoteText"/>
        <w:ind w:left="567" w:hanging="567"/>
        <w:rPr>
          <w:sz w:val="24"/>
          <w:lang w:val="fi-FI"/>
        </w:rPr>
      </w:pPr>
      <w:r w:rsidRPr="0012580A">
        <w:rPr>
          <w:rStyle w:val="FootnoteReference"/>
          <w:sz w:val="24"/>
          <w:lang w:val="sv-SE"/>
        </w:rPr>
        <w:footnoteRef/>
      </w:r>
      <w:r w:rsidR="0012580A" w:rsidRPr="001D13D9">
        <w:rPr>
          <w:sz w:val="24"/>
          <w:lang w:val="fi-FI"/>
        </w:rPr>
        <w:t xml:space="preserve"> </w:t>
      </w:r>
      <w:r w:rsidR="0012580A" w:rsidRPr="001D13D9">
        <w:rPr>
          <w:sz w:val="24"/>
          <w:lang w:val="fi-FI"/>
        </w:rPr>
        <w:tab/>
      </w:r>
      <w:r w:rsidRPr="001D13D9">
        <w:rPr>
          <w:sz w:val="24"/>
          <w:lang w:val="fi-FI"/>
        </w:rPr>
        <w:t xml:space="preserve">EUT C, C/2024/4174, 2.8.2024, ELI: </w:t>
      </w:r>
      <w:hyperlink r:id="rId1" w:history="1">
        <w:r w:rsidR="00516F7C" w:rsidRPr="001D13D9">
          <w:rPr>
            <w:rStyle w:val="Hyperlink"/>
            <w:sz w:val="24"/>
            <w:lang w:val="fi-FI"/>
          </w:rPr>
          <w:t>http://data.europa.eu/eli/C/2024/4174/oj</w:t>
        </w:r>
      </w:hyperlink>
      <w:r w:rsidRPr="001D13D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A2AF8" w14:textId="77777777" w:rsidR="00064002" w:rsidRPr="001258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29044" w14:textId="77777777" w:rsidR="00064002" w:rsidRPr="001258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D8E18" w14:textId="77777777" w:rsidR="00064002" w:rsidRPr="001258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2024"/>
    <w:docVar w:name="dvlangue" w:val="SV"/>
    <w:docVar w:name="dvnumam" w:val="0"/>
    <w:docVar w:name="dvpe" w:val="764.114"/>
    <w:docVar w:name="dvtitre" w:val="Europaparlamentets resolution av den xx xx 2024 om Folkrepubliken Kinas feltolkning av FN:s resolution 2758 och landets kontinuerliga militära provokationer runt Taiwan(2024/2891(RSP))"/>
  </w:docVars>
  <w:rsids>
    <w:rsidRoot w:val="00E605E9"/>
    <w:rsid w:val="00002272"/>
    <w:rsid w:val="00064002"/>
    <w:rsid w:val="000677B9"/>
    <w:rsid w:val="000831BA"/>
    <w:rsid w:val="000A42CC"/>
    <w:rsid w:val="000E7DD9"/>
    <w:rsid w:val="0010095E"/>
    <w:rsid w:val="0012580A"/>
    <w:rsid w:val="00125B37"/>
    <w:rsid w:val="00187494"/>
    <w:rsid w:val="001D13D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F7C"/>
    <w:rsid w:val="00545827"/>
    <w:rsid w:val="00560270"/>
    <w:rsid w:val="005C2568"/>
    <w:rsid w:val="005F1B17"/>
    <w:rsid w:val="006037C0"/>
    <w:rsid w:val="006631B6"/>
    <w:rsid w:val="00680577"/>
    <w:rsid w:val="006F74FA"/>
    <w:rsid w:val="007200F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56A"/>
    <w:rsid w:val="00904F1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3B8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05E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B39AB"/>
  <w15:chartTrackingRefBased/>
  <w15:docId w15:val="{95B26A8B-CB4C-4A2A-A418-84F682A8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0356A"/>
    <w:rPr>
      <w:b/>
    </w:rPr>
  </w:style>
  <w:style w:type="paragraph" w:customStyle="1" w:styleId="NormalHanging12a">
    <w:name w:val="NormalHanging12a"/>
    <w:basedOn w:val="Normal"/>
    <w:link w:val="NormalHanging12aChar"/>
    <w:rsid w:val="0090356A"/>
    <w:pPr>
      <w:spacing w:after="240"/>
      <w:ind w:left="567" w:hanging="567"/>
    </w:pPr>
  </w:style>
  <w:style w:type="paragraph" w:customStyle="1" w:styleId="EPComma">
    <w:name w:val="EPComma"/>
    <w:basedOn w:val="Normal"/>
    <w:rsid w:val="0090356A"/>
    <w:pPr>
      <w:spacing w:before="480" w:after="240"/>
    </w:pPr>
  </w:style>
  <w:style w:type="character" w:customStyle="1" w:styleId="NormalHanging12aChar">
    <w:name w:val="NormalHanging12a Char"/>
    <w:basedOn w:val="DefaultParagraphFont"/>
    <w:link w:val="NormalHanging12a"/>
    <w:rsid w:val="0090356A"/>
    <w:rPr>
      <w:sz w:val="24"/>
      <w:lang w:val="sv-SE"/>
    </w:rPr>
  </w:style>
  <w:style w:type="character" w:styleId="Hyperlink">
    <w:name w:val="Hyperlink"/>
    <w:basedOn w:val="DefaultParagraphFont"/>
    <w:rsid w:val="0090356A"/>
    <w:rPr>
      <w:color w:val="0563C1" w:themeColor="hyperlink"/>
      <w:u w:val="single"/>
    </w:rPr>
  </w:style>
  <w:style w:type="paragraph" w:styleId="BalloonText">
    <w:name w:val="Balloon Text"/>
    <w:basedOn w:val="Normal"/>
    <w:link w:val="BalloonTextChar"/>
    <w:rsid w:val="00516F7C"/>
    <w:rPr>
      <w:rFonts w:ascii="Segoe UI" w:hAnsi="Segoe UI" w:cs="Segoe UI"/>
      <w:sz w:val="18"/>
      <w:szCs w:val="18"/>
    </w:rPr>
  </w:style>
  <w:style w:type="character" w:customStyle="1" w:styleId="BalloonTextChar">
    <w:name w:val="Balloon Text Char"/>
    <w:basedOn w:val="DefaultParagraphFont"/>
    <w:link w:val="BalloonText"/>
    <w:rsid w:val="00516F7C"/>
    <w:rPr>
      <w:rFonts w:ascii="Segoe UI" w:hAnsi="Segoe UI" w:cs="Segoe UI"/>
      <w:sz w:val="18"/>
      <w:szCs w:val="18"/>
      <w:lang w:val="sv-SE"/>
    </w:rPr>
  </w:style>
  <w:style w:type="character" w:styleId="CommentReference">
    <w:name w:val="annotation reference"/>
    <w:basedOn w:val="DefaultParagraphFont"/>
    <w:rsid w:val="00B73B8D"/>
    <w:rPr>
      <w:sz w:val="16"/>
      <w:szCs w:val="16"/>
    </w:rPr>
  </w:style>
  <w:style w:type="paragraph" w:styleId="CommentText">
    <w:name w:val="annotation text"/>
    <w:basedOn w:val="Normal"/>
    <w:link w:val="CommentTextChar"/>
    <w:rsid w:val="00B73B8D"/>
    <w:rPr>
      <w:sz w:val="20"/>
    </w:rPr>
  </w:style>
  <w:style w:type="character" w:customStyle="1" w:styleId="CommentTextChar">
    <w:name w:val="Comment Text Char"/>
    <w:basedOn w:val="DefaultParagraphFont"/>
    <w:link w:val="CommentText"/>
    <w:rsid w:val="00B73B8D"/>
    <w:rPr>
      <w:lang w:val="sv-SE"/>
    </w:rPr>
  </w:style>
  <w:style w:type="paragraph" w:styleId="CommentSubject">
    <w:name w:val="annotation subject"/>
    <w:basedOn w:val="CommentText"/>
    <w:next w:val="CommentText"/>
    <w:link w:val="CommentSubjectChar"/>
    <w:rsid w:val="00B73B8D"/>
    <w:rPr>
      <w:b/>
      <w:bCs/>
    </w:rPr>
  </w:style>
  <w:style w:type="character" w:customStyle="1" w:styleId="CommentSubjectChar">
    <w:name w:val="Comment Subject Char"/>
    <w:basedOn w:val="CommentTextChar"/>
    <w:link w:val="CommentSubject"/>
    <w:rsid w:val="00B73B8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2A509-6032-436F-B325-43C73E108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3417</Words>
  <Characters>21646</Characters>
  <Application>Microsoft Office Word</Application>
  <DocSecurity>0</DocSecurity>
  <Lines>470</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HEIDERSCHEID Mona</cp:lastModifiedBy>
  <cp:revision>2</cp:revision>
  <cp:lastPrinted>2004-11-19T15:42:00Z</cp:lastPrinted>
  <dcterms:created xsi:type="dcterms:W3CDTF">2024-11-13T15:07:00Z</dcterms:created>
  <dcterms:modified xsi:type="dcterms:W3CDTF">2024-11-13T15:07:00Z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P10_TA-PROV(2024)0030_</vt:lpwstr>
  </property>
  <property fmtid="{D5CDD505-2E9C-101B-9397-08002B2CF9AE}" pid="4" name="&lt;Type&gt;">
    <vt:lpwstr>RR</vt:lpwstr>
  </property>
</Properties>
</file>