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35D99" w:rsidTr="00425111">
        <w:trPr>
          <w:trHeight w:hRule="exact" w:val="1418"/>
        </w:trPr>
        <w:tc>
          <w:tcPr>
            <w:tcW w:w="6804" w:type="dxa"/>
            <w:shd w:val="clear" w:color="auto" w:fill="auto"/>
            <w:vAlign w:val="center"/>
          </w:tcPr>
          <w:p w:rsidR="00757DD5" w:rsidRPr="00F35D99" w:rsidRDefault="00A145B2" w:rsidP="00425111">
            <w:pPr>
              <w:pStyle w:val="EPName"/>
              <w:rPr>
                <w:lang w:val="et-EE"/>
              </w:rPr>
            </w:pPr>
            <w:bookmarkStart w:id="0" w:name="_GoBack"/>
            <w:bookmarkEnd w:id="0"/>
            <w:r w:rsidRPr="00F35D99">
              <w:rPr>
                <w:lang w:val="et-EE"/>
              </w:rPr>
              <w:t>Euroopa Parlament</w:t>
            </w:r>
          </w:p>
          <w:p w:rsidR="00757DD5" w:rsidRPr="00F35D99" w:rsidRDefault="00A145B2" w:rsidP="00425111">
            <w:pPr>
              <w:pStyle w:val="EPTerm"/>
              <w:rPr>
                <w:rStyle w:val="HideTWBExt"/>
                <w:vanish w:val="0"/>
                <w:lang w:val="et-EE"/>
              </w:rPr>
            </w:pPr>
            <w:r w:rsidRPr="00F35D99">
              <w:rPr>
                <w:lang w:val="et-EE"/>
              </w:rPr>
              <w:t>2024-2029</w:t>
            </w:r>
          </w:p>
        </w:tc>
        <w:tc>
          <w:tcPr>
            <w:tcW w:w="2268" w:type="dxa"/>
            <w:shd w:val="clear" w:color="auto" w:fill="auto"/>
          </w:tcPr>
          <w:p w:rsidR="00757DD5" w:rsidRPr="00F35D99" w:rsidRDefault="00172070" w:rsidP="00425111">
            <w:pPr>
              <w:pStyle w:val="EPLogo"/>
              <w:rPr>
                <w:lang w:val="et-EE"/>
              </w:rPr>
            </w:pPr>
            <w:r w:rsidRPr="00F35D99">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F35D99" w:rsidRDefault="008E7632" w:rsidP="008E7632">
      <w:pPr>
        <w:pStyle w:val="LineTop"/>
        <w:rPr>
          <w:lang w:val="et-EE"/>
        </w:rPr>
      </w:pPr>
    </w:p>
    <w:p w:rsidR="008E7632" w:rsidRPr="00F35D99" w:rsidRDefault="00A145B2" w:rsidP="008E7632">
      <w:pPr>
        <w:pStyle w:val="ZSessionDoc"/>
        <w:rPr>
          <w:b/>
          <w:i w:val="0"/>
          <w:lang w:val="et-EE"/>
        </w:rPr>
      </w:pPr>
      <w:r w:rsidRPr="00F35D99">
        <w:rPr>
          <w:b/>
          <w:i w:val="0"/>
          <w:lang w:val="et-EE"/>
        </w:rPr>
        <w:t>VASTUVÕETUD TEKSTID</w:t>
      </w:r>
    </w:p>
    <w:p w:rsidR="008E7632" w:rsidRPr="00F35D99" w:rsidRDefault="00A145B2" w:rsidP="008E7632">
      <w:pPr>
        <w:pStyle w:val="LineBottom"/>
        <w:rPr>
          <w:lang w:val="et-EE"/>
        </w:rPr>
      </w:pPr>
      <w:r w:rsidRPr="00F35D99">
        <w:rPr>
          <w:rFonts w:cs="Arial"/>
          <w:i/>
          <w:sz w:val="20"/>
          <w:szCs w:val="22"/>
          <w:lang w:val="et-EE"/>
        </w:rPr>
        <w:t xml:space="preserve"> </w:t>
      </w:r>
    </w:p>
    <w:p w:rsidR="009C4014" w:rsidRPr="00F35D99" w:rsidRDefault="00A145B2" w:rsidP="008E7632">
      <w:pPr>
        <w:pStyle w:val="ATHeading1"/>
        <w:spacing w:before="480"/>
        <w:rPr>
          <w:lang w:val="et-EE"/>
        </w:rPr>
      </w:pPr>
      <w:bookmarkStart w:id="1" w:name="TA_Heading"/>
      <w:r w:rsidRPr="00F35D99">
        <w:rPr>
          <w:lang w:val="et-EE"/>
        </w:rPr>
        <w:t>P10_TA(2024)</w:t>
      </w:r>
      <w:bookmarkStart w:id="2" w:name="TANumber"/>
      <w:bookmarkEnd w:id="1"/>
      <w:r w:rsidRPr="00F35D99">
        <w:rPr>
          <w:lang w:val="et-EE"/>
        </w:rPr>
        <w:t>00</w:t>
      </w:r>
      <w:r w:rsidR="00FA67AC" w:rsidRPr="00F35D99">
        <w:rPr>
          <w:lang w:val="et-EE"/>
        </w:rPr>
        <w:t>31</w:t>
      </w:r>
      <w:bookmarkEnd w:id="2"/>
    </w:p>
    <w:p w:rsidR="009C4014" w:rsidRPr="00F35D99" w:rsidRDefault="00A145B2" w:rsidP="00A145B2">
      <w:pPr>
        <w:pStyle w:val="ATHeading2"/>
        <w:rPr>
          <w:lang w:val="et-EE"/>
        </w:rPr>
      </w:pPr>
      <w:bookmarkStart w:id="3" w:name="title"/>
      <w:r w:rsidRPr="00F35D99">
        <w:rPr>
          <w:lang w:val="et-EE"/>
        </w:rPr>
        <w:t>Raadamist käsitlev määrus: kohaldamise alguskuupäeva käsitlevad sätted</w:t>
      </w:r>
      <w:bookmarkStart w:id="4" w:name="Etoiles"/>
      <w:bookmarkEnd w:id="3"/>
      <w:bookmarkEnd w:id="4"/>
    </w:p>
    <w:p w:rsidR="009C4014" w:rsidRPr="00F35D99" w:rsidRDefault="009C4014" w:rsidP="009C4014">
      <w:pPr>
        <w:rPr>
          <w:i/>
          <w:vanish/>
          <w:lang w:val="et-EE"/>
        </w:rPr>
      </w:pPr>
      <w:r w:rsidRPr="00F35D99">
        <w:rPr>
          <w:i/>
          <w:lang w:val="et-EE"/>
        </w:rPr>
        <w:fldChar w:fldCharType="begin"/>
      </w:r>
      <w:r w:rsidRPr="00F35D99">
        <w:rPr>
          <w:i/>
          <w:lang w:val="et-EE"/>
        </w:rPr>
        <w:instrText xml:space="preserve"> TC"</w:instrText>
      </w:r>
      <w:bookmarkStart w:id="5" w:name="DocNumber"/>
      <w:r w:rsidR="00A145B2" w:rsidRPr="00F35D99">
        <w:rPr>
          <w:i/>
          <w:lang w:val="et-EE"/>
        </w:rPr>
        <w:instrText>(C10-0119/2024)</w:instrText>
      </w:r>
      <w:bookmarkEnd w:id="5"/>
      <w:r w:rsidRPr="00F35D99">
        <w:rPr>
          <w:i/>
          <w:lang w:val="et-EE"/>
        </w:rPr>
        <w:instrText xml:space="preserve">"\l3 \n&gt; \* MERGEFORMAT </w:instrText>
      </w:r>
      <w:r w:rsidRPr="00F35D99">
        <w:rPr>
          <w:i/>
          <w:lang w:val="et-EE"/>
        </w:rPr>
        <w:fldChar w:fldCharType="end"/>
      </w:r>
    </w:p>
    <w:p w:rsidR="00A145B2" w:rsidRPr="00F35D99" w:rsidRDefault="00A145B2" w:rsidP="009C4014">
      <w:pPr>
        <w:rPr>
          <w:vanish/>
          <w:lang w:val="et-EE"/>
        </w:rPr>
      </w:pPr>
      <w:bookmarkStart w:id="6" w:name="Commission"/>
      <w:r w:rsidRPr="00F35D99">
        <w:rPr>
          <w:vanish/>
          <w:lang w:val="et-EE"/>
        </w:rPr>
        <w:t>Keskkonna-, rahvatervise ja toiduohutuse komisjon</w:t>
      </w:r>
    </w:p>
    <w:p w:rsidR="009C4014" w:rsidRPr="00F35D99" w:rsidRDefault="00A145B2" w:rsidP="009C4014">
      <w:pPr>
        <w:rPr>
          <w:vanish/>
          <w:lang w:val="et-EE"/>
        </w:rPr>
      </w:pPr>
      <w:bookmarkStart w:id="7" w:name="PE"/>
      <w:bookmarkEnd w:id="6"/>
      <w:r w:rsidRPr="00F35D99">
        <w:rPr>
          <w:vanish/>
          <w:lang w:val="et-EE"/>
        </w:rPr>
        <w:t>PE765.661</w:t>
      </w:r>
      <w:bookmarkEnd w:id="7"/>
    </w:p>
    <w:p w:rsidR="00A145B2" w:rsidRPr="00F35D99" w:rsidRDefault="00A145B2" w:rsidP="00A145B2">
      <w:pPr>
        <w:pStyle w:val="ATHeading3"/>
        <w:rPr>
          <w:lang w:val="et-EE"/>
        </w:rPr>
      </w:pPr>
      <w:bookmarkStart w:id="8" w:name="Sujet"/>
      <w:r w:rsidRPr="00F35D99">
        <w:rPr>
          <w:lang w:val="et-EE"/>
        </w:rPr>
        <w:t>Euroopa Parlamendi 14. novembri</w:t>
      </w:r>
      <w:r w:rsidR="00A06BC5" w:rsidRPr="00F35D99">
        <w:rPr>
          <w:lang w:val="et-EE"/>
        </w:rPr>
        <w:t>l</w:t>
      </w:r>
      <w:r w:rsidRPr="00F35D99">
        <w:rPr>
          <w:lang w:val="et-EE"/>
        </w:rPr>
        <w:t xml:space="preserve"> 2024. aasta</w:t>
      </w:r>
      <w:r w:rsidR="00A06BC5" w:rsidRPr="00F35D99">
        <w:rPr>
          <w:lang w:val="et-EE"/>
        </w:rPr>
        <w:t>l vastu võetud muudatusettepanekud</w:t>
      </w:r>
      <w:r w:rsidRPr="00F35D99">
        <w:rPr>
          <w:lang w:val="et-EE"/>
        </w:rPr>
        <w:t xml:space="preserve"> ettepaneku</w:t>
      </w:r>
      <w:r w:rsidR="00A06BC5" w:rsidRPr="00F35D99">
        <w:rPr>
          <w:lang w:val="et-EE"/>
        </w:rPr>
        <w:t>le</w:t>
      </w:r>
      <w:r w:rsidRPr="00F35D99">
        <w:rPr>
          <w:lang w:val="et-EE"/>
        </w:rPr>
        <w:t xml:space="preserve"> võtta vastu Euroopa Parlamendi ja nõukogu määrus, </w:t>
      </w:r>
      <w:r w:rsidR="006123FF" w:rsidRPr="00F35D99">
        <w:rPr>
          <w:bCs/>
          <w:lang w:val="et-EE"/>
        </w:rPr>
        <w:t xml:space="preserve">millega muudetakse määrust (EL) 2023/1115 kohaldamise alguskuupäeva käsitlevate sätete osas </w:t>
      </w:r>
      <w:r w:rsidRPr="00F35D99">
        <w:rPr>
          <w:lang w:val="et-EE"/>
        </w:rPr>
        <w:t>(COM(2024)0452 – C10-0119/2024 – 2024/0249(COD))</w:t>
      </w:r>
      <w:bookmarkStart w:id="9" w:name="References"/>
      <w:bookmarkEnd w:id="8"/>
      <w:r w:rsidR="00FA67AC" w:rsidRPr="00F35D99">
        <w:rPr>
          <w:rStyle w:val="FootnoteReference"/>
          <w:lang w:val="et-EE"/>
        </w:rPr>
        <w:footnoteReference w:id="1"/>
      </w:r>
    </w:p>
    <w:bookmarkEnd w:id="9"/>
    <w:p w:rsidR="00F35D99" w:rsidRPr="00F35D99" w:rsidRDefault="00F35D99" w:rsidP="00F35D99">
      <w:pPr>
        <w:widowControl w:val="0"/>
        <w:spacing w:before="240" w:after="240"/>
        <w:rPr>
          <w:b/>
          <w:i/>
          <w:szCs w:val="24"/>
          <w:lang w:val="et-EE"/>
        </w:rPr>
      </w:pPr>
      <w:r w:rsidRPr="00F35D99">
        <w:rPr>
          <w:b/>
          <w:lang w:val="et-EE"/>
        </w:rPr>
        <w:t>(Seadusandlik tavamenetlus: esimene lugemine)</w:t>
      </w:r>
    </w:p>
    <w:p w:rsidR="00A06BC5" w:rsidRPr="00F35D99" w:rsidRDefault="00A06BC5" w:rsidP="00A06BC5">
      <w:pPr>
        <w:widowControl w:val="0"/>
        <w:spacing w:before="360" w:after="240"/>
        <w:rPr>
          <w:i/>
          <w:szCs w:val="24"/>
          <w:lang w:val="et-EE"/>
        </w:rPr>
      </w:pPr>
      <w:r w:rsidRPr="00F35D99">
        <w:rPr>
          <w:i/>
          <w:szCs w:val="24"/>
          <w:lang w:val="et-EE"/>
        </w:rPr>
        <w:br w:type="page"/>
      </w:r>
    </w:p>
    <w:p w:rsidR="00A06BC5" w:rsidRPr="00F35D99" w:rsidRDefault="00A06BC5" w:rsidP="00A06BC5">
      <w:pPr>
        <w:pStyle w:val="AmNumberTabs"/>
      </w:pPr>
      <w:r w:rsidRPr="00F35D99">
        <w:lastRenderedPageBreak/>
        <w:t>Muudatusettepanek</w:t>
      </w:r>
      <w:r w:rsidRPr="00F35D99">
        <w:tab/>
      </w:r>
      <w:r w:rsidRPr="00F35D99">
        <w:tab/>
        <w:t>3</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Artikkel 1 – lõik 1 – punkt -1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Põhjendus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Kehtiv tekst</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Pr="00F35D99">
              <w:rPr>
                <w:b/>
                <w:i/>
              </w:rPr>
              <w:tab/>
              <w:t>Põhjendus 68 asendatakse järgmisega:</w:t>
            </w:r>
          </w:p>
        </w:tc>
      </w:tr>
      <w:tr w:rsidR="00A06BC5" w:rsidRPr="00F35D99" w:rsidTr="00B13ADE">
        <w:trPr>
          <w:jc w:val="center"/>
        </w:trPr>
        <w:tc>
          <w:tcPr>
            <w:tcW w:w="4876" w:type="dxa"/>
          </w:tcPr>
          <w:p w:rsidR="00A06BC5" w:rsidRPr="00F35D99" w:rsidRDefault="00A06BC5" w:rsidP="00B13ADE">
            <w:pPr>
              <w:pStyle w:val="Normal6a"/>
            </w:pPr>
            <w:r w:rsidRPr="00F35D99">
              <w:t xml:space="preserve">(68) </w:t>
            </w:r>
            <w:r w:rsidRPr="00F35D99">
              <w:tab/>
              <w:t xml:space="preserve">Lisaks peaks komisjon hindama raadamise ja metsade degradeerumise riski riigi või selle osade kaupa, võttes aluseks mitmesugused kriteeriumid, mis võtavad arvesse nii kvantitatiivseid, objektiivseid kui ka rahvusvaheliselt tunnustatud andmeid, ning näitajad selle kohta, et riigid osalevad aktiivselt raadamise ja metsade degradeerumise vastases võitluses. Selline võrdlusteave peaks aitama liidus tegutsevatel ettevõtjatel täita hoolsuskohustust ning pädevatel asutustel seirata ja tagada nõuete täitmist ning samal ajal on see tootjariikidele stiimuliks suurendada oma põllumajandusliku tootmise süsteemide kestlikkust ja vähendada nende mõju raadamisele. See peaks aitama muuta tarneahelad läbipaistvamaks ja kestlikumaks. See võrdlussüsteem peaks põhinema riikide </w:t>
            </w:r>
            <w:r w:rsidRPr="00F35D99">
              <w:rPr>
                <w:b/>
                <w:bCs/>
                <w:i/>
                <w:iCs/>
              </w:rPr>
              <w:t>kolmeastmelise</w:t>
            </w:r>
            <w:r w:rsidRPr="00F35D99">
              <w:t xml:space="preserve"> liigitamise süsteemil, mis liigitab riigid väikse, standardse </w:t>
            </w:r>
            <w:r w:rsidRPr="00F35D99">
              <w:rPr>
                <w:b/>
                <w:bCs/>
                <w:i/>
                <w:iCs/>
              </w:rPr>
              <w:t>või</w:t>
            </w:r>
            <w:r w:rsidRPr="00F35D99">
              <w:t xml:space="preserve"> suure riskiga riikideks. Piisava läbipaistvuse ja selguse tagamiseks peaks komisjon eelkõige tegema avalikult kättesaadavaks võrdlusuuringutes kasutatud andmed, liigituse muutmise ettepaneku põhjused ja asjaomase riigi vastuse. Kui asjaomased tooted on saadud väikse riskiga riikidest või nende osadest, peaks ettevõtjatel olema lubatud täita lihtsustatud hoolsuskohustust. Suure riskiga riikidest või nende osadest saadud asjaomaste toodete korral peaksid pädevad asutused olema kohustatud tegema tugevdatud kontrolli. Komisjonile tuleks anda õigus võtta vastu rakendusaktid, et luua väikese või suure riskiga riikide või nende osade loetelu.</w:t>
            </w:r>
          </w:p>
        </w:tc>
        <w:tc>
          <w:tcPr>
            <w:tcW w:w="4876" w:type="dxa"/>
          </w:tcPr>
          <w:p w:rsidR="00A06BC5" w:rsidRPr="00F35D99" w:rsidRDefault="00A06BC5" w:rsidP="00B13ADE">
            <w:pPr>
              <w:pStyle w:val="Normal6a"/>
              <w:rPr>
                <w:b/>
                <w:i/>
                <w:szCs w:val="24"/>
              </w:rPr>
            </w:pPr>
            <w:r w:rsidRPr="00F35D99">
              <w:t xml:space="preserve">„(68) </w:t>
            </w:r>
            <w:r w:rsidRPr="00F35D99">
              <w:tab/>
              <w:t xml:space="preserve">Lisaks peaks komisjon hindama raadamise ja metsade degradeerumise riski riigi või selle osade kaupa, võttes aluseks mitmesugused kriteeriumid, mis võtavad arvesse nii kvantitatiivseid, objektiivseid kui ka rahvusvaheliselt tunnustatud andmeid, ning näitajad selle kohta, et riigid osalevad aktiivselt raadamise ja metsade degradeerumise vastases võitluses. Selline võrdlusteave peaks aitama liidus tegutsevatel ettevõtjatel täita hoolsuskohustust ning pädevatel asutustel seirata ja tagada nõuete täitmist ning samal ajal on see tootjariikidele stiimuliks suurendada oma põllumajandusliku tootmise süsteemide kestlikkust ja vähendada nende mõju raadamisele. See peaks aitama muuta tarneahelad läbipaistvamaks ja kestlikumaks. See võrdlussüsteem peaks põhinema riikide </w:t>
            </w:r>
            <w:r w:rsidRPr="00F35D99">
              <w:rPr>
                <w:b/>
                <w:bCs/>
                <w:i/>
                <w:iCs/>
              </w:rPr>
              <w:t>neljaastmelise</w:t>
            </w:r>
            <w:r w:rsidRPr="00F35D99">
              <w:t xml:space="preserve"> liigitamise süsteemil, mis liigitab riigid väikse, standardse</w:t>
            </w:r>
            <w:r w:rsidRPr="00F35D99">
              <w:rPr>
                <w:b/>
                <w:bCs/>
                <w:i/>
                <w:iCs/>
              </w:rPr>
              <w:t>,</w:t>
            </w:r>
            <w:r w:rsidRPr="00F35D99">
              <w:t xml:space="preserve"> suure riskiga </w:t>
            </w:r>
            <w:r w:rsidRPr="00F35D99">
              <w:rPr>
                <w:b/>
                <w:bCs/>
                <w:i/>
                <w:iCs/>
              </w:rPr>
              <w:t>või riskivabadeks</w:t>
            </w:r>
            <w:r w:rsidRPr="00F35D99">
              <w:t xml:space="preserve"> riikideks. Piisava läbipaistvuse ja selguse tagamiseks peaks komisjon eelkõige tegema avalikult kättesaadavaks võrdlusuuringutes kasutatud andmed, liigituse muutmise ettepaneku põhjused ja asjaomase riigi vastuse. Kui asjaomased tooted on saadud väikse riskiga riikidest või nende osadest, peaks ettevõtjatel olema lubatud täita lihtsustatud hoolsuskohustust. Suure riskiga riikidest või nende osadest saadud asjaomaste toodete korral peaksid pädevad asutused olema kohustatud tegema tugevdatud kontrolli. </w:t>
            </w:r>
            <w:r w:rsidRPr="00F35D99">
              <w:rPr>
                <w:b/>
                <w:i/>
              </w:rPr>
              <w:t xml:space="preserve">Neid tingimusi ei tohiks kohaldada riskivabadest riikidest ja nende osadest pärit asjaomaste toodete suhtes. </w:t>
            </w:r>
            <w:r w:rsidRPr="00F35D99">
              <w:t xml:space="preserve">Komisjonile tuleks anda õigus võtta vastu rakendusaktid, et luua väikese või suure riskiga riikide või nende osade </w:t>
            </w:r>
            <w:r w:rsidRPr="00F35D99">
              <w:lastRenderedPageBreak/>
              <w:t>loetelu.“</w:t>
            </w:r>
          </w:p>
        </w:tc>
      </w:tr>
    </w:tbl>
    <w:p w:rsidR="00A06BC5" w:rsidRPr="00F35D99" w:rsidRDefault="00A06BC5" w:rsidP="00A06BC5">
      <w:pPr>
        <w:widowControl w:val="0"/>
        <w:spacing w:before="360" w:after="240"/>
        <w:rPr>
          <w:i/>
          <w:szCs w:val="24"/>
          <w:lang w:val="et-EE"/>
        </w:rPr>
      </w:pPr>
    </w:p>
    <w:p w:rsidR="00A06BC5" w:rsidRPr="00F35D99" w:rsidRDefault="00A06BC5" w:rsidP="00A06BC5">
      <w:pPr>
        <w:pStyle w:val="AmNumberTabs"/>
      </w:pPr>
      <w:r w:rsidRPr="00F35D99">
        <w:t>Muudatusettepanek</w:t>
      </w:r>
      <w:r w:rsidRPr="00F35D99">
        <w:tab/>
      </w:r>
      <w:r w:rsidRPr="00F35D99">
        <w:tab/>
        <w:t>4</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 1 – punkt -1 </w:t>
      </w:r>
      <w:r w:rsidR="009F7FA2" w:rsidRPr="00F35D99">
        <w:rPr>
          <w:lang w:val="et-EE"/>
        </w:rPr>
        <w:t>a</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Põhjendus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Kehtiv tekst</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a</w:t>
            </w:r>
            <w:r w:rsidRPr="00F35D99">
              <w:rPr>
                <w:b/>
                <w:i/>
              </w:rPr>
              <w:t>)</w:t>
            </w:r>
            <w:r w:rsidRPr="00F35D99">
              <w:rPr>
                <w:b/>
                <w:i/>
              </w:rPr>
              <w:tab/>
              <w:t>Põhjendus 86 asendatakse järgmisega:</w:t>
            </w:r>
          </w:p>
        </w:tc>
      </w:tr>
      <w:tr w:rsidR="00A06BC5" w:rsidRPr="00F35D99" w:rsidTr="00B13ADE">
        <w:trPr>
          <w:jc w:val="center"/>
        </w:trPr>
        <w:tc>
          <w:tcPr>
            <w:tcW w:w="4876" w:type="dxa"/>
          </w:tcPr>
          <w:p w:rsidR="00A06BC5" w:rsidRPr="00F35D99" w:rsidRDefault="00A06BC5" w:rsidP="00B13ADE">
            <w:pPr>
              <w:pStyle w:val="Normal6a"/>
            </w:pPr>
            <w:r w:rsidRPr="00F35D99">
              <w:t xml:space="preserve">(86) </w:t>
            </w:r>
            <w:r w:rsidRPr="00F35D99">
              <w:tab/>
              <w:t>Ettevõtjatele, kauplejatele ja pädevatele asutustele tuleks anda mõistlik ajavahemik, et valmistuda käesoleva määruse nõuete täitmiseks.</w:t>
            </w:r>
          </w:p>
        </w:tc>
        <w:tc>
          <w:tcPr>
            <w:tcW w:w="4876" w:type="dxa"/>
          </w:tcPr>
          <w:p w:rsidR="00A06BC5" w:rsidRPr="00F35D99" w:rsidRDefault="00A06BC5" w:rsidP="00B13ADE">
            <w:pPr>
              <w:pStyle w:val="Normal6a"/>
              <w:rPr>
                <w:b/>
                <w:i/>
                <w:szCs w:val="24"/>
              </w:rPr>
            </w:pPr>
            <w:r w:rsidRPr="00F35D99">
              <w:t xml:space="preserve">„(86) </w:t>
            </w:r>
            <w:r w:rsidRPr="00F35D99">
              <w:tab/>
              <w:t xml:space="preserve">Ettevõtjatele, kauplejatele ja pädevatele asutustele tuleks anda mõistlik ajavahemik, et valmistuda käesoleva määruse nõuete täitmiseks. </w:t>
            </w:r>
            <w:r w:rsidRPr="00F35D99">
              <w:rPr>
                <w:b/>
                <w:i/>
              </w:rPr>
              <w:t>Enne kohaldamise kuupäeva peaks Euroopa Komisjon viivituste vältimiseks seadma prioriteediks asjaomaste sidusrühmade ja pädevate asutuste vahelise teabevahetusplatvormi optimeerimise. Komisjon kohustub avaldama ka riskide määratluse, et asjaomased sidusrühmad saaksid käesolevas määruses sätestatud kohustusliku kohaldamisala ette valmistada. Nii teabevahetusplatvorm kui ka riskide määratlus peaksid olema kättesaadavad ja täielikult toimivad vähemalt kuus kuud enne kohaldamiskuupäeva. Täiendavate viivituste korral tuleks kohaldamiskuupäeva vastavalt edasi lükata.“</w:t>
            </w:r>
          </w:p>
        </w:tc>
      </w:tr>
    </w:tbl>
    <w:p w:rsidR="00A06BC5" w:rsidRPr="00F35D99" w:rsidRDefault="00A06BC5" w:rsidP="00A06BC5">
      <w:pPr>
        <w:widowControl w:val="0"/>
        <w:spacing w:before="360" w:after="240"/>
        <w:rPr>
          <w:i/>
          <w:szCs w:val="24"/>
          <w:lang w:val="et-EE"/>
        </w:rPr>
      </w:pPr>
    </w:p>
    <w:p w:rsidR="00A06BC5" w:rsidRPr="00F35D99" w:rsidRDefault="00A06BC5" w:rsidP="00A06BC5">
      <w:pPr>
        <w:pStyle w:val="AmNumberTabs"/>
      </w:pPr>
      <w:r w:rsidRPr="00F35D99">
        <w:t>Muudatusettepanek</w:t>
      </w:r>
      <w:r w:rsidRPr="00F35D99">
        <w:tab/>
      </w:r>
      <w:r w:rsidRPr="00F35D99">
        <w:tab/>
        <w:t>5</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 1 – punkt -1 </w:t>
      </w:r>
      <w:r w:rsidR="009F7FA2" w:rsidRPr="00F35D99">
        <w:rPr>
          <w:lang w:val="et-EE"/>
        </w:rPr>
        <w:t>b</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Artikkel 3 – sissejuhatav osa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Kehtiv tekst</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b</w:t>
            </w:r>
            <w:r w:rsidRPr="00F35D99">
              <w:rPr>
                <w:b/>
                <w:i/>
              </w:rPr>
              <w:t>)</w:t>
            </w:r>
            <w:r w:rsidRPr="00F35D99">
              <w:rPr>
                <w:b/>
                <w:i/>
              </w:rPr>
              <w:tab/>
              <w:t>Artikli 3 sissejuhatav osa asendatakse järgmisega:</w:t>
            </w:r>
          </w:p>
        </w:tc>
      </w:tr>
      <w:tr w:rsidR="00A06BC5" w:rsidRPr="00F35D99" w:rsidTr="00B13ADE">
        <w:trPr>
          <w:jc w:val="center"/>
        </w:trPr>
        <w:tc>
          <w:tcPr>
            <w:tcW w:w="4876" w:type="dxa"/>
          </w:tcPr>
          <w:p w:rsidR="00A06BC5" w:rsidRPr="00F35D99" w:rsidRDefault="00A06BC5" w:rsidP="00B13ADE">
            <w:pPr>
              <w:pStyle w:val="Normal6a"/>
            </w:pPr>
            <w:r w:rsidRPr="00F35D99">
              <w:lastRenderedPageBreak/>
              <w:t>Asjaomaseid saadusi ja tooteid ei või turule lasta, turul kättesaadavaks teha ega eksportida, välja arvatud juhul, kui on täidetud kõik järgmised tingimused:</w:t>
            </w:r>
          </w:p>
        </w:tc>
        <w:tc>
          <w:tcPr>
            <w:tcW w:w="4876" w:type="dxa"/>
          </w:tcPr>
          <w:p w:rsidR="00A06BC5" w:rsidRPr="00F35D99" w:rsidRDefault="00A06BC5" w:rsidP="00B13ADE">
            <w:pPr>
              <w:pStyle w:val="Normal6a"/>
              <w:rPr>
                <w:b/>
                <w:i/>
                <w:szCs w:val="24"/>
              </w:rPr>
            </w:pPr>
            <w:r w:rsidRPr="00F35D99">
              <w:t>„</w:t>
            </w:r>
            <w:r w:rsidRPr="00F35D99">
              <w:rPr>
                <w:b/>
                <w:i/>
              </w:rPr>
              <w:t>1.</w:t>
            </w:r>
            <w:r w:rsidRPr="00F35D99">
              <w:t xml:space="preserve"> </w:t>
            </w:r>
            <w:r w:rsidRPr="00F35D99">
              <w:tab/>
              <w:t>Asjaomaseid saadusi ja tooteid</w:t>
            </w:r>
            <w:r w:rsidRPr="00F35D99">
              <w:rPr>
                <w:b/>
                <w:bCs/>
                <w:i/>
                <w:iCs/>
              </w:rPr>
              <w:t>, mis on pärit riikidest või nende osadest, mis kujutavad endast artikli 29 kohaselt väikse, standardse või kõrge riskiga piirkonda,</w:t>
            </w:r>
            <w:r w:rsidRPr="00F35D99">
              <w:t xml:space="preserve"> ei või turule lasta, turul kättesaadavaks teha ega eksportida, välja arvatud juhul, kui on täidetud kõik järgmised tingimused:“</w:t>
            </w:r>
          </w:p>
        </w:tc>
      </w:tr>
    </w:tbl>
    <w:p w:rsidR="00A06BC5" w:rsidRPr="00F35D99" w:rsidRDefault="00A06BC5" w:rsidP="00A06BC5">
      <w:pPr>
        <w:widowControl w:val="0"/>
        <w:spacing w:before="360" w:after="240"/>
        <w:rPr>
          <w:lang w:val="et-EE"/>
        </w:rPr>
      </w:pPr>
    </w:p>
    <w:p w:rsidR="00A06BC5" w:rsidRPr="00F35D99" w:rsidRDefault="00A06BC5" w:rsidP="00A06BC5">
      <w:pPr>
        <w:pStyle w:val="AmNumberTabs"/>
      </w:pPr>
      <w:r w:rsidRPr="00F35D99">
        <w:t>Muudatusettepanek</w:t>
      </w:r>
      <w:r w:rsidRPr="00F35D99">
        <w:tab/>
      </w:r>
      <w:r w:rsidRPr="00F35D99">
        <w:tab/>
        <w:t>6</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 1 – punkt -1 </w:t>
      </w:r>
      <w:r w:rsidR="009F7FA2" w:rsidRPr="00F35D99">
        <w:rPr>
          <w:lang w:val="et-EE"/>
        </w:rPr>
        <w:t>c</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Artikkel 3 – lõige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Komisjoni ettepanek</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c</w:t>
            </w:r>
            <w:r w:rsidRPr="00F35D99">
              <w:rPr>
                <w:b/>
                <w:i/>
              </w:rPr>
              <w:t>)</w:t>
            </w:r>
            <w:r w:rsidRPr="00F35D99">
              <w:rPr>
                <w:b/>
                <w:i/>
              </w:rPr>
              <w:tab/>
              <w:t>Artiklisse 3 lisatakse järgmine lõige:</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„1a. </w:t>
            </w:r>
            <w:r w:rsidRPr="00F35D99">
              <w:rPr>
                <w:b/>
                <w:i/>
              </w:rPr>
              <w:tab/>
              <w:t>Asjaomaseid saadusi ja tooteid, mis on pärit riikidest või nende osadest, mis kuuluvad artikli 29 kohaselt riskivabasse kategooriasse, ei lasta turule, ei tehta turul kättesaadavaks ega ekspordita, välja arvatud juhul, kui on täidetud kõik järgmised tingimused:</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a) </w:t>
            </w:r>
            <w:r w:rsidRPr="00F35D99">
              <w:rPr>
                <w:b/>
                <w:i/>
              </w:rPr>
              <w:tab/>
              <w:t>nende tootmisel on järgitud tootjariigi asjakohaseid õigusakte ja</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b) </w:t>
            </w:r>
            <w:r w:rsidRPr="00F35D99">
              <w:rPr>
                <w:b/>
                <w:i/>
              </w:rPr>
              <w:tab/>
              <w:t>nad vastavad artikli 5 lõikes 1a sätestatud dokumenteerimisnõuetele.“</w:t>
            </w:r>
          </w:p>
        </w:tc>
      </w:tr>
    </w:tbl>
    <w:p w:rsidR="00A06BC5" w:rsidRPr="00F35D99" w:rsidRDefault="00A06BC5" w:rsidP="00A06BC5">
      <w:pPr>
        <w:widowControl w:val="0"/>
        <w:spacing w:before="360" w:after="240"/>
        <w:rPr>
          <w:noProof/>
          <w:lang w:val="et-EE"/>
        </w:rPr>
      </w:pPr>
    </w:p>
    <w:p w:rsidR="00A06BC5" w:rsidRPr="00F35D99" w:rsidRDefault="00A06BC5" w:rsidP="00A06BC5">
      <w:pPr>
        <w:pStyle w:val="AmNumberTabs"/>
      </w:pPr>
      <w:r w:rsidRPr="00F35D99">
        <w:t>Muudatusettepanek</w:t>
      </w:r>
      <w:r w:rsidRPr="00F35D99">
        <w:tab/>
      </w:r>
      <w:r w:rsidRPr="00F35D99">
        <w:tab/>
        <w:t>7</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 1 – punkt -1 </w:t>
      </w:r>
      <w:r w:rsidR="009F7FA2" w:rsidRPr="00F35D99">
        <w:rPr>
          <w:lang w:val="et-EE"/>
        </w:rPr>
        <w:t>d</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Artikkel 4 – lõige 10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Komisjoni ettepanek</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d</w:t>
            </w:r>
            <w:r w:rsidRPr="00F35D99">
              <w:rPr>
                <w:b/>
                <w:i/>
              </w:rPr>
              <w:t>)</w:t>
            </w:r>
            <w:r w:rsidRPr="00F35D99">
              <w:rPr>
                <w:b/>
                <w:i/>
              </w:rPr>
              <w:tab/>
              <w:t>Artiklisse 4 lisatakse järgmine lõige:</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„10a. </w:t>
            </w:r>
            <w:r w:rsidRPr="00F35D99">
              <w:rPr>
                <w:b/>
                <w:i/>
              </w:rPr>
              <w:tab/>
              <w:t xml:space="preserve">Erandina käesoleva artikli lõigetest 1–10 peavad ettevõtjad, kes </w:t>
            </w:r>
            <w:r w:rsidRPr="00F35D99">
              <w:rPr>
                <w:b/>
                <w:i/>
              </w:rPr>
              <w:lastRenderedPageBreak/>
              <w:t>lasevad turule või teevad turul kättesaadavaks või ekspordivad asjaomaseid saadusi ja tooteid, mis on toodetud riikides või nende osades, mis vastavalt artiklile 29 kuuluvad riskivabasse kategooriasse, täitma üksnes artikli 5 lõikes 1a sätestatud dokumenteerimisnõudeid. Asjaomaste toodete ja nende osade puhul, mis on toodetud riikides või nende osades, mis vastavalt artiklile 29 kuuluvad riskivabasse kategooriasse, rakendavad ettevõtjad hoolsuskohustust kooskõlas käesoleva artikli lõikega 1.“</w:t>
            </w:r>
          </w:p>
        </w:tc>
      </w:tr>
    </w:tbl>
    <w:p w:rsidR="00A06BC5" w:rsidRPr="00F35D99" w:rsidRDefault="00A06BC5" w:rsidP="00A06BC5">
      <w:pPr>
        <w:widowControl w:val="0"/>
        <w:spacing w:before="360" w:after="240"/>
        <w:rPr>
          <w:i/>
          <w:szCs w:val="24"/>
          <w:lang w:val="et-EE"/>
        </w:rPr>
      </w:pPr>
    </w:p>
    <w:p w:rsidR="00A06BC5" w:rsidRPr="00F35D99" w:rsidRDefault="00A06BC5" w:rsidP="00A06BC5">
      <w:pPr>
        <w:pStyle w:val="AmNumberTabs"/>
      </w:pPr>
      <w:r w:rsidRPr="00F35D99">
        <w:t>Muudatusettepanek</w:t>
      </w:r>
      <w:r w:rsidRPr="00F35D99">
        <w:tab/>
      </w:r>
      <w:r w:rsidRPr="00F35D99">
        <w:tab/>
        <w:t>9</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 1 – punkt -1 </w:t>
      </w:r>
      <w:r w:rsidR="009F7FA2" w:rsidRPr="00F35D99">
        <w:rPr>
          <w:lang w:val="et-EE"/>
        </w:rPr>
        <w:t>e</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Artikkel 5 – lõige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Komisjoni ettepanek</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e</w:t>
            </w:r>
            <w:r w:rsidRPr="00F35D99">
              <w:rPr>
                <w:b/>
                <w:i/>
              </w:rPr>
              <w:t>)</w:t>
            </w:r>
            <w:r w:rsidRPr="00F35D99">
              <w:rPr>
                <w:b/>
                <w:i/>
              </w:rPr>
              <w:tab/>
              <w:t>Artiklisse 5 lisatakse järgmine lõige:</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„1a. </w:t>
            </w:r>
            <w:r w:rsidRPr="00F35D99">
              <w:rPr>
                <w:b/>
                <w:i/>
              </w:rPr>
              <w:tab/>
              <w:t>Ettevõtjad, kes lasevad turule või teevad turul kättesaadavaks või ekspordivad asjaomaseid saadusi ja tooteid, mis on toodetud riikides või nende osades, mis kuuluvad artikli 29 kohaselt riskivabasse kategooriasse, täidavad dokumenteerimisnõudeid, tehes pädevatele asutustele taotluse korral kättesaadavaks järgmised dokumendid:</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a) </w:t>
            </w:r>
            <w:r w:rsidRPr="00F35D99">
              <w:rPr>
                <w:b/>
                <w:i/>
              </w:rPr>
              <w:tab/>
              <w:t>asjaomaste toodete kaubanimi ja liik;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b)</w:t>
            </w:r>
            <w:r w:rsidRPr="00F35D99">
              <w:rPr>
                <w:b/>
                <w:i/>
              </w:rPr>
              <w:tab/>
              <w:t xml:space="preserve"> asjaomaste toodete kogus;</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c) </w:t>
            </w:r>
            <w:r w:rsidRPr="00F35D99">
              <w:rPr>
                <w:b/>
                <w:i/>
              </w:rPr>
              <w:tab/>
              <w:t>tootjariigi ja asjakohasel juhul selle osade tunnusandmed;</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d) </w:t>
            </w:r>
            <w:r w:rsidRPr="00F35D99">
              <w:rPr>
                <w:b/>
                <w:i/>
              </w:rPr>
              <w:tab/>
              <w:t>iga sellise äriettevõtte või isiku nimi, aadress ja e-posti aadress, kes on neile asjaomaseid tooteid tarninud;</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e) </w:t>
            </w:r>
            <w:r w:rsidRPr="00F35D99">
              <w:rPr>
                <w:b/>
                <w:i/>
              </w:rPr>
              <w:tab/>
              <w:t>iga sellise äriettevõtte, ettevõtja või kaupleja nimi, aadress ja e-posti aadress, kellele on asjaomaseid tooteid tarnitud;</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f) </w:t>
            </w:r>
            <w:r w:rsidRPr="00F35D99">
              <w:rPr>
                <w:b/>
                <w:i/>
              </w:rPr>
              <w:tab/>
              <w:t>piisavalt tõendav ja kontrollitav teave selle kohta, et asjaomaste toodete valmistamine ei ole põhjustanud raadamist;</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i/>
              </w:rPr>
              <w:t xml:space="preserve">g) </w:t>
            </w:r>
            <w:r w:rsidRPr="00F35D99">
              <w:rPr>
                <w:b/>
                <w:i/>
              </w:rPr>
              <w:tab/>
              <w:t>piisavalt veenev ja kontrollitav teave selle kohta, et asjaomaste kaupade tootmisel on järgitud tootjariigi asjakohaseid õigusakte.“</w:t>
            </w:r>
          </w:p>
        </w:tc>
      </w:tr>
    </w:tbl>
    <w:p w:rsidR="00A06BC5" w:rsidRPr="00F35D99" w:rsidRDefault="00A06BC5" w:rsidP="00A06BC5">
      <w:pPr>
        <w:widowControl w:val="0"/>
        <w:spacing w:before="360" w:after="240"/>
        <w:rPr>
          <w:i/>
          <w:szCs w:val="24"/>
          <w:lang w:val="et-EE"/>
        </w:rPr>
      </w:pPr>
    </w:p>
    <w:p w:rsidR="00A06BC5" w:rsidRPr="00F35D99" w:rsidRDefault="00A06BC5" w:rsidP="00A06BC5">
      <w:pPr>
        <w:pStyle w:val="AmNumberTabs"/>
      </w:pPr>
      <w:r w:rsidRPr="00F35D99">
        <w:t>Muudatusettepanek</w:t>
      </w:r>
      <w:r w:rsidRPr="00F35D99">
        <w:tab/>
      </w:r>
      <w:r w:rsidRPr="00F35D99">
        <w:tab/>
        <w:t>10</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 1 – punkt -1 </w:t>
      </w:r>
      <w:r w:rsidR="009F7FA2" w:rsidRPr="00F35D99">
        <w:rPr>
          <w:lang w:val="et-EE"/>
        </w:rPr>
        <w:t>f</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Artikkel 16 – lõige 10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Komisjoni ettepanek</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f</w:t>
            </w:r>
            <w:r w:rsidRPr="00F35D99">
              <w:rPr>
                <w:b/>
                <w:i/>
              </w:rPr>
              <w:t>)</w:t>
            </w:r>
            <w:r w:rsidRPr="00F35D99">
              <w:rPr>
                <w:b/>
                <w:i/>
              </w:rPr>
              <w:tab/>
              <w:t>Artiklisse 16 lisatakse järgmine lõige:</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b/>
                <w:i/>
                <w:szCs w:val="24"/>
              </w:rPr>
            </w:pPr>
            <w:r w:rsidRPr="00F35D99">
              <w:rPr>
                <w:b/>
              </w:rPr>
              <w:t>„(</w:t>
            </w:r>
            <w:r w:rsidRPr="00F35D99">
              <w:rPr>
                <w:b/>
                <w:i/>
              </w:rPr>
              <w:t>10a)</w:t>
            </w:r>
            <w:r w:rsidRPr="00F35D99">
              <w:rPr>
                <w:b/>
                <w:i/>
              </w:rPr>
              <w:tab/>
              <w:t>Iga liikmesriik tagab, et tema pädevate asutuste käesoleva artikli lõike 1 kohaselt tehtavad iga-aastased kontrollid hõlmavad vähemalt 0,1 % ettevõtjatest, kes lasevad turule, teevad turul kättesaadavaks või ekspordivad turult asjaomaseid tooteid, mis sisaldavad või mille valmistamiseks on kasutatud asjaomaseid saadusi, mis on toodetud sellises riigis või selle osades, mis on artikli 29 kohaselt riskivabad.“</w:t>
            </w:r>
          </w:p>
        </w:tc>
      </w:tr>
    </w:tbl>
    <w:p w:rsidR="00A06BC5" w:rsidRPr="00F35D99" w:rsidRDefault="00A06BC5" w:rsidP="00A06BC5">
      <w:pPr>
        <w:widowControl w:val="0"/>
        <w:spacing w:before="360" w:after="240"/>
        <w:rPr>
          <w:lang w:val="et-EE"/>
        </w:rPr>
      </w:pPr>
    </w:p>
    <w:p w:rsidR="00A06BC5" w:rsidRPr="00F35D99" w:rsidRDefault="00A06BC5" w:rsidP="00A06BC5">
      <w:pPr>
        <w:pStyle w:val="AmNumberTabs"/>
      </w:pPr>
      <w:r w:rsidRPr="00F35D99">
        <w:t>Muudatusettepanek</w:t>
      </w:r>
      <w:r w:rsidRPr="00F35D99">
        <w:tab/>
      </w:r>
      <w:r w:rsidRPr="00F35D99">
        <w:tab/>
        <w:t>11</w:t>
      </w:r>
    </w:p>
    <w:p w:rsidR="00A06BC5" w:rsidRPr="00F35D99" w:rsidRDefault="00A06BC5" w:rsidP="00A06BC5">
      <w:pPr>
        <w:pStyle w:val="NormalBold"/>
        <w:rPr>
          <w:lang w:val="et-EE"/>
        </w:rPr>
      </w:pPr>
      <w:r w:rsidRPr="00F35D99">
        <w:rPr>
          <w:lang w:val="et-EE"/>
        </w:rPr>
        <w:t>Ettepanek võtta vastu määrus</w:t>
      </w:r>
    </w:p>
    <w:p w:rsidR="00A06BC5" w:rsidRPr="00F35D99" w:rsidRDefault="00A06BC5" w:rsidP="00A06BC5">
      <w:pPr>
        <w:pStyle w:val="NormalBold"/>
        <w:rPr>
          <w:lang w:val="et-EE"/>
        </w:rPr>
      </w:pPr>
      <w:r w:rsidRPr="00F35D99">
        <w:rPr>
          <w:lang w:val="et-EE"/>
        </w:rPr>
        <w:t xml:space="preserve">Artikkel 1 – lõik1 – punkt -1 </w:t>
      </w:r>
      <w:r w:rsidR="009F7FA2" w:rsidRPr="00F35D99">
        <w:rPr>
          <w:lang w:val="et-EE"/>
        </w:rPr>
        <w:t>g</w:t>
      </w:r>
      <w:r w:rsidRPr="00F35D99">
        <w:rPr>
          <w:lang w:val="et-EE"/>
        </w:rPr>
        <w:t xml:space="preserve"> (uus)</w:t>
      </w:r>
    </w:p>
    <w:p w:rsidR="00A06BC5" w:rsidRPr="00F35D99" w:rsidRDefault="00A06BC5" w:rsidP="00A06BC5">
      <w:pPr>
        <w:rPr>
          <w:lang w:val="et-EE"/>
        </w:rPr>
      </w:pPr>
      <w:r w:rsidRPr="00F35D99">
        <w:rPr>
          <w:lang w:val="et-EE"/>
        </w:rPr>
        <w:t>Määrus (EL) 2023/1115</w:t>
      </w:r>
    </w:p>
    <w:p w:rsidR="00A06BC5" w:rsidRPr="00F35D99" w:rsidRDefault="00A06BC5" w:rsidP="00A06BC5">
      <w:pPr>
        <w:rPr>
          <w:lang w:val="et-EE"/>
        </w:rPr>
      </w:pPr>
      <w:r w:rsidRPr="00F35D99">
        <w:rPr>
          <w:lang w:val="et-EE"/>
        </w:rPr>
        <w:t>Artikkel 29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BC5" w:rsidRPr="00F35D99" w:rsidTr="00B13ADE">
        <w:trPr>
          <w:jc w:val="center"/>
        </w:trPr>
        <w:tc>
          <w:tcPr>
            <w:tcW w:w="9752" w:type="dxa"/>
            <w:gridSpan w:val="2"/>
          </w:tcPr>
          <w:p w:rsidR="00A06BC5" w:rsidRPr="00F35D99" w:rsidRDefault="00A06BC5" w:rsidP="00B13ADE">
            <w:pPr>
              <w:keepNext/>
              <w:rPr>
                <w:lang w:val="et-EE"/>
              </w:rPr>
            </w:pPr>
          </w:p>
        </w:tc>
      </w:tr>
      <w:tr w:rsidR="00A06BC5" w:rsidRPr="00F35D99" w:rsidTr="00B13ADE">
        <w:trPr>
          <w:jc w:val="center"/>
        </w:trPr>
        <w:tc>
          <w:tcPr>
            <w:tcW w:w="4876" w:type="dxa"/>
          </w:tcPr>
          <w:p w:rsidR="00A06BC5" w:rsidRPr="00F35D99" w:rsidRDefault="00A06BC5" w:rsidP="00B13ADE">
            <w:pPr>
              <w:pStyle w:val="AmColumnHeading"/>
              <w:keepNext/>
            </w:pPr>
            <w:r w:rsidRPr="00F35D99">
              <w:t>Kehtiv tekst</w:t>
            </w:r>
          </w:p>
        </w:tc>
        <w:tc>
          <w:tcPr>
            <w:tcW w:w="4876" w:type="dxa"/>
          </w:tcPr>
          <w:p w:rsidR="00A06BC5" w:rsidRPr="00F35D99" w:rsidRDefault="00A06BC5" w:rsidP="00B13ADE">
            <w:pPr>
              <w:pStyle w:val="AmColumnHeading"/>
              <w:keepNext/>
            </w:pPr>
            <w:r w:rsidRPr="00F35D99">
              <w:t>Muudatusettepanek</w:t>
            </w:r>
          </w:p>
        </w:tc>
      </w:tr>
      <w:tr w:rsidR="00A06BC5" w:rsidRPr="00F35D99" w:rsidTr="00B13ADE">
        <w:trPr>
          <w:jc w:val="center"/>
        </w:trPr>
        <w:tc>
          <w:tcPr>
            <w:tcW w:w="4876" w:type="dxa"/>
          </w:tcPr>
          <w:p w:rsidR="00A06BC5" w:rsidRPr="00F35D99" w:rsidRDefault="00A06BC5" w:rsidP="00B13ADE">
            <w:pPr>
              <w:pStyle w:val="Normal6a"/>
            </w:pPr>
          </w:p>
        </w:tc>
        <w:tc>
          <w:tcPr>
            <w:tcW w:w="4876" w:type="dxa"/>
          </w:tcPr>
          <w:p w:rsidR="00A06BC5" w:rsidRPr="00F35D99" w:rsidRDefault="00A06BC5" w:rsidP="00B13ADE">
            <w:pPr>
              <w:pStyle w:val="Normal6a"/>
              <w:rPr>
                <w:szCs w:val="24"/>
              </w:rPr>
            </w:pPr>
            <w:r w:rsidRPr="00F35D99">
              <w:rPr>
                <w:b/>
                <w:i/>
              </w:rPr>
              <w:t>(-1</w:t>
            </w:r>
            <w:r w:rsidR="009F7FA2" w:rsidRPr="00F35D99">
              <w:rPr>
                <w:b/>
                <w:i/>
              </w:rPr>
              <w:t>g</w:t>
            </w:r>
            <w:r w:rsidRPr="00F35D99">
              <w:rPr>
                <w:b/>
                <w:i/>
              </w:rPr>
              <w:t>)</w:t>
            </w:r>
            <w:r w:rsidRPr="00F35D99">
              <w:rPr>
                <w:b/>
                <w:i/>
              </w:rPr>
              <w:tab/>
              <w:t>Artikli 29 lõige 1 asendatakse järgmisega:</w:t>
            </w:r>
          </w:p>
        </w:tc>
      </w:tr>
      <w:tr w:rsidR="00A06BC5" w:rsidRPr="00F35D99" w:rsidTr="00B13ADE">
        <w:trPr>
          <w:jc w:val="center"/>
        </w:trPr>
        <w:tc>
          <w:tcPr>
            <w:tcW w:w="4876" w:type="dxa"/>
          </w:tcPr>
          <w:p w:rsidR="00A06BC5" w:rsidRPr="00F35D99" w:rsidRDefault="00A06BC5" w:rsidP="00B13ADE">
            <w:pPr>
              <w:pStyle w:val="Normal6a"/>
            </w:pPr>
            <w:r w:rsidRPr="00F35D99">
              <w:t>1.</w:t>
            </w:r>
            <w:r w:rsidRPr="00F35D99">
              <w:tab/>
              <w:t xml:space="preserve">Käesoleva määrusega kehtestatakse </w:t>
            </w:r>
            <w:r w:rsidRPr="00F35D99">
              <w:rPr>
                <w:b/>
                <w:bCs/>
                <w:i/>
                <w:iCs/>
              </w:rPr>
              <w:t>kolmeastmeline</w:t>
            </w:r>
            <w:r w:rsidRPr="00F35D99">
              <w:t xml:space="preserve"> süsteem riikide või nende </w:t>
            </w:r>
            <w:r w:rsidRPr="00F35D99">
              <w:lastRenderedPageBreak/>
              <w:t>osade hindamiseks. Selleks liigitatakse liikmesriigid, kolmandad riigid või nende osad ühte järgmistest riskikategooriatest:</w:t>
            </w:r>
          </w:p>
        </w:tc>
        <w:tc>
          <w:tcPr>
            <w:tcW w:w="4876" w:type="dxa"/>
          </w:tcPr>
          <w:p w:rsidR="00A06BC5" w:rsidRPr="00F35D99" w:rsidRDefault="00A06BC5" w:rsidP="00B13ADE">
            <w:pPr>
              <w:pStyle w:val="Normal6a"/>
              <w:rPr>
                <w:b/>
                <w:i/>
                <w:szCs w:val="24"/>
              </w:rPr>
            </w:pPr>
            <w:r w:rsidRPr="00F35D99">
              <w:lastRenderedPageBreak/>
              <w:t>„1.</w:t>
            </w:r>
            <w:r w:rsidRPr="00F35D99">
              <w:tab/>
              <w:t xml:space="preserve">Käesoleva määrusega kehtestatakse </w:t>
            </w:r>
            <w:r w:rsidRPr="00F35D99">
              <w:rPr>
                <w:b/>
                <w:bCs/>
                <w:i/>
                <w:iCs/>
              </w:rPr>
              <w:t>neljaastmeline</w:t>
            </w:r>
            <w:r w:rsidRPr="00F35D99">
              <w:t xml:space="preserve"> süsteem riikide või nende </w:t>
            </w:r>
            <w:r w:rsidRPr="00F35D99">
              <w:lastRenderedPageBreak/>
              <w:t>osade hindamiseks. Selleks liigitatakse liikmesriigid, kolmandad riigid või nende osad ühte järgmistest riskikategooriatest:</w:t>
            </w:r>
          </w:p>
        </w:tc>
      </w:tr>
      <w:tr w:rsidR="00A06BC5" w:rsidRPr="00F35D99" w:rsidTr="00B13ADE">
        <w:trPr>
          <w:jc w:val="center"/>
        </w:trPr>
        <w:tc>
          <w:tcPr>
            <w:tcW w:w="4876" w:type="dxa"/>
          </w:tcPr>
          <w:p w:rsidR="00A06BC5" w:rsidRPr="00F35D99" w:rsidRDefault="00A06BC5" w:rsidP="00B13ADE">
            <w:pPr>
              <w:pStyle w:val="Normal6a"/>
              <w:rPr>
                <w:szCs w:val="24"/>
              </w:rPr>
            </w:pPr>
            <w:r w:rsidRPr="00F35D99">
              <w:lastRenderedPageBreak/>
              <w:t>a)</w:t>
            </w:r>
            <w:r w:rsidRPr="00F35D99">
              <w:tab/>
              <w:t>„suure riskiga“ – riigid või nende osad, mille puhul lõikes 3 osutatud hindamise tulemusel tehakse kindlaks, et nendes riikides või nende osades on suur risk toota asjaomaseid saadusi, mille puhul asjaomased tooted ei vasta artikli 3 punktile a;</w:t>
            </w:r>
          </w:p>
        </w:tc>
        <w:tc>
          <w:tcPr>
            <w:tcW w:w="4876" w:type="dxa"/>
          </w:tcPr>
          <w:p w:rsidR="00A06BC5" w:rsidRPr="00F35D99" w:rsidRDefault="00A06BC5" w:rsidP="00B13ADE">
            <w:pPr>
              <w:pStyle w:val="Normal6a"/>
              <w:rPr>
                <w:szCs w:val="24"/>
              </w:rPr>
            </w:pPr>
            <w:r w:rsidRPr="00F35D99">
              <w:t>a)</w:t>
            </w:r>
            <w:r w:rsidRPr="00F35D99">
              <w:tab/>
              <w:t>„suure riskiga“ – riigid või nende osad, mille puhul lõikes 3 osutatud hindamise tulemusel tehakse kindlaks, et nendes riikides või nende osades on suur risk toota asjaomaseid saadusi, mille puhul asjaomased tooted ei vasta artikli 3 punktile a;</w:t>
            </w:r>
          </w:p>
        </w:tc>
      </w:tr>
      <w:tr w:rsidR="00A06BC5" w:rsidRPr="00F35D99" w:rsidTr="00B13ADE">
        <w:trPr>
          <w:jc w:val="center"/>
        </w:trPr>
        <w:tc>
          <w:tcPr>
            <w:tcW w:w="4876" w:type="dxa"/>
          </w:tcPr>
          <w:p w:rsidR="00A06BC5" w:rsidRPr="00F35D99" w:rsidRDefault="00A06BC5" w:rsidP="00B13ADE">
            <w:pPr>
              <w:pStyle w:val="Normal6a"/>
              <w:rPr>
                <w:szCs w:val="24"/>
              </w:rPr>
            </w:pPr>
            <w:r w:rsidRPr="00F35D99">
              <w:t>b)</w:t>
            </w:r>
            <w:r w:rsidRPr="00F35D99">
              <w:tab/>
              <w:t>„väikese riskiga“ – riigid või nende osad, mille puhul lõikes 3 osutatud hindamise tulemusel jõutakse järeldusele, et on olemas piisav kindlus selle kohta, et sellistes riikides või nende osades on asjaomaste saaduste tootmise juhud, mille puhul asjaomased tooted ei vasta artikli 3 punktile a, erandlikud;</w:t>
            </w:r>
          </w:p>
        </w:tc>
        <w:tc>
          <w:tcPr>
            <w:tcW w:w="4876" w:type="dxa"/>
          </w:tcPr>
          <w:p w:rsidR="00A06BC5" w:rsidRPr="00F35D99" w:rsidRDefault="00A06BC5" w:rsidP="00B13ADE">
            <w:pPr>
              <w:pStyle w:val="Normal6a"/>
              <w:rPr>
                <w:szCs w:val="24"/>
              </w:rPr>
            </w:pPr>
            <w:r w:rsidRPr="00F35D99">
              <w:t>b)</w:t>
            </w:r>
            <w:r w:rsidRPr="00F35D99">
              <w:tab/>
              <w:t xml:space="preserve">„väikese riskiga“ – riigid või nende osad, mille puhul lõikes 3 osutatud hindamise tulemusel jõutakse järeldusele, et on olemas piisav kindlus selle kohta, et sellistes riikides või nende osades on asjaomaste saaduste tootmise juhud, mille puhul asjaomased tooted ei vasta artikli 3 punktile a, erandlikud; </w:t>
            </w:r>
          </w:p>
        </w:tc>
      </w:tr>
      <w:tr w:rsidR="00A06BC5" w:rsidRPr="00F35D99" w:rsidTr="00B13ADE">
        <w:trPr>
          <w:jc w:val="center"/>
        </w:trPr>
        <w:tc>
          <w:tcPr>
            <w:tcW w:w="4876" w:type="dxa"/>
          </w:tcPr>
          <w:p w:rsidR="00A06BC5" w:rsidRPr="00F35D99" w:rsidRDefault="00A06BC5" w:rsidP="00B13ADE">
            <w:pPr>
              <w:pStyle w:val="Normal6a"/>
              <w:rPr>
                <w:szCs w:val="24"/>
              </w:rPr>
            </w:pPr>
            <w:r w:rsidRPr="00F35D99">
              <w:t>c)</w:t>
            </w:r>
            <w:r w:rsidRPr="00F35D99">
              <w:tab/>
              <w:t xml:space="preserve">„standardse riskiga“ – riigid või nende osad, mis ei kuulu suure </w:t>
            </w:r>
            <w:r w:rsidRPr="00F35D99">
              <w:rPr>
                <w:b/>
                <w:bCs/>
                <w:i/>
                <w:iCs/>
              </w:rPr>
              <w:t>ega</w:t>
            </w:r>
            <w:r w:rsidRPr="00F35D99">
              <w:t xml:space="preserve"> väikese riski kategooriasse.</w:t>
            </w:r>
          </w:p>
        </w:tc>
        <w:tc>
          <w:tcPr>
            <w:tcW w:w="4876" w:type="dxa"/>
          </w:tcPr>
          <w:p w:rsidR="00A06BC5" w:rsidRPr="00F35D99" w:rsidRDefault="00A06BC5" w:rsidP="00B13ADE">
            <w:pPr>
              <w:pStyle w:val="Normal6"/>
              <w:rPr>
                <w:szCs w:val="24"/>
                <w:lang w:val="et-EE"/>
              </w:rPr>
            </w:pPr>
            <w:r w:rsidRPr="00F35D99">
              <w:rPr>
                <w:lang w:val="et-EE"/>
              </w:rPr>
              <w:t>c)</w:t>
            </w:r>
            <w:r w:rsidRPr="00F35D99">
              <w:rPr>
                <w:lang w:val="et-EE"/>
              </w:rPr>
              <w:tab/>
              <w:t xml:space="preserve">„standardse riskiga“ – riigid või nende osad, mis ei kuulu suure </w:t>
            </w:r>
            <w:r w:rsidRPr="00F35D99">
              <w:rPr>
                <w:b/>
                <w:bCs/>
                <w:i/>
                <w:iCs/>
                <w:lang w:val="et-EE"/>
              </w:rPr>
              <w:t>riski,</w:t>
            </w:r>
            <w:r w:rsidRPr="00F35D99">
              <w:rPr>
                <w:lang w:val="et-EE"/>
              </w:rPr>
              <w:t xml:space="preserve"> väikese riski </w:t>
            </w:r>
            <w:r w:rsidRPr="00F35D99">
              <w:rPr>
                <w:b/>
                <w:bCs/>
                <w:i/>
                <w:iCs/>
                <w:lang w:val="et-EE"/>
              </w:rPr>
              <w:t>ega riskivabasse kategooriasse;</w:t>
            </w:r>
          </w:p>
        </w:tc>
      </w:tr>
      <w:tr w:rsidR="00A06BC5" w:rsidRPr="00F35D99" w:rsidTr="00B13ADE">
        <w:trPr>
          <w:jc w:val="center"/>
        </w:trPr>
        <w:tc>
          <w:tcPr>
            <w:tcW w:w="4876" w:type="dxa"/>
          </w:tcPr>
          <w:p w:rsidR="00A06BC5" w:rsidRPr="00F35D99" w:rsidRDefault="00A06BC5" w:rsidP="00B13ADE">
            <w:pPr>
              <w:pStyle w:val="Normal6a"/>
              <w:rPr>
                <w:szCs w:val="24"/>
              </w:rPr>
            </w:pPr>
          </w:p>
        </w:tc>
        <w:tc>
          <w:tcPr>
            <w:tcW w:w="4876" w:type="dxa"/>
          </w:tcPr>
          <w:p w:rsidR="00A06BC5" w:rsidRPr="00F35D99" w:rsidRDefault="00A06BC5" w:rsidP="00B13ADE">
            <w:pPr>
              <w:pStyle w:val="Normal6a"/>
              <w:rPr>
                <w:rFonts w:eastAsia="Arial"/>
                <w:b/>
                <w:bCs/>
                <w:i/>
                <w:iCs/>
                <w:szCs w:val="24"/>
              </w:rPr>
            </w:pPr>
            <w:r w:rsidRPr="00F35D99">
              <w:rPr>
                <w:b/>
                <w:i/>
              </w:rPr>
              <w:t>ca)</w:t>
            </w:r>
            <w:r w:rsidRPr="00F35D99">
              <w:rPr>
                <w:b/>
                <w:i/>
              </w:rPr>
              <w:tab/>
              <w:t xml:space="preserve">„riskivaba“ kehtib riikide või nende osade kohta, mis vastavad järgmistele hindamiskriteeriumidele: </w:t>
            </w:r>
          </w:p>
        </w:tc>
      </w:tr>
      <w:tr w:rsidR="00A06BC5" w:rsidRPr="00F35D99" w:rsidTr="00B13ADE">
        <w:trPr>
          <w:jc w:val="center"/>
        </w:trPr>
        <w:tc>
          <w:tcPr>
            <w:tcW w:w="4876" w:type="dxa"/>
          </w:tcPr>
          <w:p w:rsidR="00A06BC5" w:rsidRPr="00F35D99" w:rsidRDefault="00A06BC5" w:rsidP="00B13ADE">
            <w:pPr>
              <w:pStyle w:val="Normal6a"/>
              <w:rPr>
                <w:szCs w:val="24"/>
              </w:rPr>
            </w:pPr>
          </w:p>
        </w:tc>
        <w:tc>
          <w:tcPr>
            <w:tcW w:w="4876" w:type="dxa"/>
          </w:tcPr>
          <w:p w:rsidR="00A06BC5" w:rsidRPr="00F35D99" w:rsidRDefault="00A06BC5" w:rsidP="00B13ADE">
            <w:pPr>
              <w:pStyle w:val="Normal6a"/>
              <w:rPr>
                <w:rFonts w:eastAsia="Arial"/>
                <w:b/>
                <w:bCs/>
                <w:i/>
              </w:rPr>
            </w:pPr>
            <w:r w:rsidRPr="00F35D99">
              <w:rPr>
                <w:b/>
                <w:i/>
              </w:rPr>
              <w:t>i)</w:t>
            </w:r>
            <w:r w:rsidRPr="00F35D99">
              <w:rPr>
                <w:b/>
                <w:i/>
              </w:rPr>
              <w:tab/>
              <w:t>metsaala areng on võrreldes 1990. aastaga olnud stabiilne või edenenud;</w:t>
            </w:r>
          </w:p>
        </w:tc>
      </w:tr>
      <w:tr w:rsidR="00A06BC5" w:rsidRPr="00F35D99" w:rsidTr="00B13ADE">
        <w:trPr>
          <w:jc w:val="center"/>
        </w:trPr>
        <w:tc>
          <w:tcPr>
            <w:tcW w:w="4876" w:type="dxa"/>
          </w:tcPr>
          <w:p w:rsidR="00A06BC5" w:rsidRPr="00F35D99" w:rsidRDefault="00A06BC5" w:rsidP="00B13ADE">
            <w:pPr>
              <w:pStyle w:val="Normal6a"/>
              <w:rPr>
                <w:szCs w:val="24"/>
              </w:rPr>
            </w:pPr>
          </w:p>
        </w:tc>
        <w:tc>
          <w:tcPr>
            <w:tcW w:w="4876" w:type="dxa"/>
          </w:tcPr>
          <w:p w:rsidR="00A06BC5" w:rsidRPr="00F35D99" w:rsidRDefault="00A06BC5" w:rsidP="00B13ADE">
            <w:pPr>
              <w:pStyle w:val="Normal6a"/>
              <w:rPr>
                <w:rFonts w:eastAsia="Arial"/>
                <w:b/>
                <w:bCs/>
                <w:i/>
              </w:rPr>
            </w:pPr>
            <w:r w:rsidRPr="00F35D99">
              <w:rPr>
                <w:b/>
                <w:i/>
              </w:rPr>
              <w:t>ii)</w:t>
            </w:r>
            <w:r w:rsidRPr="00F35D99">
              <w:rPr>
                <w:b/>
                <w:i/>
              </w:rPr>
              <w:tab/>
              <w:t>need riigid ja nende osad on allkirjastanud Pariisi kokkuleppe ning inimõigusi ja raadamise vältimist käsitlevad rahvusvahelised konventsioonid;</w:t>
            </w:r>
          </w:p>
        </w:tc>
      </w:tr>
      <w:tr w:rsidR="00A06BC5" w:rsidRPr="00F35D99" w:rsidTr="00B13ADE">
        <w:trPr>
          <w:jc w:val="center"/>
        </w:trPr>
        <w:tc>
          <w:tcPr>
            <w:tcW w:w="4876" w:type="dxa"/>
          </w:tcPr>
          <w:p w:rsidR="00A06BC5" w:rsidRPr="00F35D99" w:rsidRDefault="00A06BC5" w:rsidP="00B13ADE">
            <w:pPr>
              <w:pStyle w:val="Normal6a"/>
              <w:rPr>
                <w:szCs w:val="24"/>
              </w:rPr>
            </w:pPr>
          </w:p>
        </w:tc>
        <w:tc>
          <w:tcPr>
            <w:tcW w:w="4876" w:type="dxa"/>
          </w:tcPr>
          <w:p w:rsidR="00A06BC5" w:rsidRPr="00F35D99" w:rsidRDefault="00A06BC5" w:rsidP="00B13ADE">
            <w:pPr>
              <w:pStyle w:val="Normal6a"/>
              <w:rPr>
                <w:rFonts w:eastAsia="Arial"/>
                <w:b/>
                <w:bCs/>
                <w:i/>
                <w:szCs w:val="24"/>
              </w:rPr>
            </w:pPr>
            <w:r w:rsidRPr="00F35D99">
              <w:rPr>
                <w:b/>
                <w:i/>
              </w:rPr>
              <w:t>iii)</w:t>
            </w:r>
            <w:r w:rsidRPr="00F35D99">
              <w:rPr>
                <w:b/>
                <w:i/>
              </w:rPr>
              <w:tab/>
              <w:t>raadamise vältimist ja metsakaitset käsitlevaid eeskirju rakendatakse ja jõustatakse riiklikul tasandil rangelt ja täiesti läbipaistvalt ning nende üle teostatakse järelevalvet.“</w:t>
            </w:r>
          </w:p>
        </w:tc>
      </w:tr>
    </w:tbl>
    <w:p w:rsidR="00A145B2" w:rsidRPr="00F35D99" w:rsidRDefault="00A145B2" w:rsidP="00A06BC5">
      <w:pPr>
        <w:widowControl w:val="0"/>
        <w:spacing w:before="360" w:after="240"/>
        <w:rPr>
          <w:lang w:val="et-EE"/>
        </w:rPr>
      </w:pPr>
    </w:p>
    <w:sectPr w:rsidR="00A145B2" w:rsidRPr="00F35D99" w:rsidSect="00A06B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5B2" w:rsidRDefault="00A145B2" w:rsidP="009C4014">
      <w:r>
        <w:separator/>
      </w:r>
    </w:p>
  </w:endnote>
  <w:endnote w:type="continuationSeparator" w:id="0">
    <w:p w:rsidR="00A145B2" w:rsidRDefault="00A145B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5B2" w:rsidRDefault="00A145B2" w:rsidP="009C4014">
      <w:r>
        <w:separator/>
      </w:r>
    </w:p>
  </w:footnote>
  <w:footnote w:type="continuationSeparator" w:id="0">
    <w:p w:rsidR="00A145B2" w:rsidRDefault="00A145B2" w:rsidP="009C4014">
      <w:r>
        <w:continuationSeparator/>
      </w:r>
    </w:p>
  </w:footnote>
  <w:footnote w:id="1">
    <w:p w:rsidR="00FA67AC" w:rsidRPr="003D541F" w:rsidRDefault="00FA67AC" w:rsidP="00FA67AC">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sidR="00A06BC5">
        <w:rPr>
          <w:sz w:val="24"/>
          <w:szCs w:val="24"/>
          <w:lang w:val="et-EE"/>
        </w:rPr>
        <w:t> 60</w:t>
      </w:r>
      <w:r>
        <w:rPr>
          <w:sz w:val="24"/>
          <w:szCs w:val="24"/>
          <w:lang w:val="et-EE"/>
        </w:rPr>
        <w:t xml:space="preserve">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 xml:space="preserve">tagasi </w:t>
      </w:r>
      <w:proofErr w:type="spellStart"/>
      <w:r>
        <w:rPr>
          <w:sz w:val="24"/>
          <w:szCs w:val="24"/>
          <w:lang w:val="et-EE"/>
        </w:rPr>
        <w:t>institutsioonidevahelisteks</w:t>
      </w:r>
      <w:proofErr w:type="spellEnd"/>
      <w:r>
        <w:rPr>
          <w:sz w:val="24"/>
          <w:szCs w:val="24"/>
          <w:lang w:val="et-EE"/>
        </w:rPr>
        <w:t xml:space="preserve"> läbirääkimisteks</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5B2"/>
    <w:rsid w:val="00013B2A"/>
    <w:rsid w:val="000C2BFE"/>
    <w:rsid w:val="000F27A9"/>
    <w:rsid w:val="000F6208"/>
    <w:rsid w:val="00125CBC"/>
    <w:rsid w:val="00172070"/>
    <w:rsid w:val="00185E15"/>
    <w:rsid w:val="001D4BBF"/>
    <w:rsid w:val="001D63A8"/>
    <w:rsid w:val="002716BF"/>
    <w:rsid w:val="002924A9"/>
    <w:rsid w:val="002A1D4E"/>
    <w:rsid w:val="002B4BCF"/>
    <w:rsid w:val="002E2C48"/>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123FF"/>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A3B01"/>
    <w:rsid w:val="008B1C2E"/>
    <w:rsid w:val="008D7C16"/>
    <w:rsid w:val="008E7632"/>
    <w:rsid w:val="008F0108"/>
    <w:rsid w:val="008F7F1C"/>
    <w:rsid w:val="00907FE0"/>
    <w:rsid w:val="00981262"/>
    <w:rsid w:val="009865B7"/>
    <w:rsid w:val="009B7E10"/>
    <w:rsid w:val="009C4014"/>
    <w:rsid w:val="009F28EF"/>
    <w:rsid w:val="009F7FA2"/>
    <w:rsid w:val="00A06BC5"/>
    <w:rsid w:val="00A145B2"/>
    <w:rsid w:val="00A1739E"/>
    <w:rsid w:val="00B54C72"/>
    <w:rsid w:val="00B85C1E"/>
    <w:rsid w:val="00C15516"/>
    <w:rsid w:val="00C16C81"/>
    <w:rsid w:val="00C57739"/>
    <w:rsid w:val="00C65BE8"/>
    <w:rsid w:val="00CB451F"/>
    <w:rsid w:val="00CC4897"/>
    <w:rsid w:val="00CE1590"/>
    <w:rsid w:val="00D202A4"/>
    <w:rsid w:val="00D91669"/>
    <w:rsid w:val="00DF097A"/>
    <w:rsid w:val="00DF53A8"/>
    <w:rsid w:val="00E039BF"/>
    <w:rsid w:val="00E11822"/>
    <w:rsid w:val="00E73B02"/>
    <w:rsid w:val="00E74BF3"/>
    <w:rsid w:val="00EF3610"/>
    <w:rsid w:val="00F177A4"/>
    <w:rsid w:val="00F35D99"/>
    <w:rsid w:val="00F97E29"/>
    <w:rsid w:val="00FA67AC"/>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400B"/>
  <w15:chartTrackingRefBased/>
  <w15:docId w15:val="{28BB73DF-4956-4292-A81B-89AD54AB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A145B2"/>
    <w:rPr>
      <w:sz w:val="22"/>
      <w:lang w:val="fr-FR"/>
    </w:rPr>
  </w:style>
  <w:style w:type="character" w:styleId="CommentReference">
    <w:name w:val="annotation reference"/>
    <w:basedOn w:val="DefaultParagraphFont"/>
    <w:rsid w:val="00A145B2"/>
    <w:rPr>
      <w:sz w:val="16"/>
      <w:szCs w:val="16"/>
    </w:rPr>
  </w:style>
  <w:style w:type="paragraph" w:styleId="CommentText">
    <w:name w:val="annotation text"/>
    <w:basedOn w:val="Normal"/>
    <w:link w:val="CommentTextChar"/>
    <w:rsid w:val="00A145B2"/>
    <w:rPr>
      <w:sz w:val="20"/>
    </w:rPr>
  </w:style>
  <w:style w:type="character" w:customStyle="1" w:styleId="CommentTextChar">
    <w:name w:val="Comment Text Char"/>
    <w:basedOn w:val="DefaultParagraphFont"/>
    <w:link w:val="CommentText"/>
    <w:rsid w:val="00A145B2"/>
    <w:rPr>
      <w:lang w:val="fr-FR"/>
    </w:rPr>
  </w:style>
  <w:style w:type="paragraph" w:styleId="BalloonText">
    <w:name w:val="Balloon Text"/>
    <w:basedOn w:val="Normal"/>
    <w:link w:val="BalloonTextChar"/>
    <w:rsid w:val="00A145B2"/>
    <w:rPr>
      <w:rFonts w:ascii="Segoe UI" w:hAnsi="Segoe UI" w:cs="Segoe UI"/>
      <w:sz w:val="18"/>
      <w:szCs w:val="18"/>
    </w:rPr>
  </w:style>
  <w:style w:type="character" w:customStyle="1" w:styleId="BalloonTextChar">
    <w:name w:val="Balloon Text Char"/>
    <w:basedOn w:val="DefaultParagraphFont"/>
    <w:link w:val="BalloonText"/>
    <w:rsid w:val="00A145B2"/>
    <w:rPr>
      <w:rFonts w:ascii="Segoe UI" w:hAnsi="Segoe UI" w:cs="Segoe UI"/>
      <w:sz w:val="18"/>
      <w:szCs w:val="18"/>
      <w:lang w:val="fr-FR"/>
    </w:rPr>
  </w:style>
  <w:style w:type="paragraph" w:customStyle="1" w:styleId="AmDocTypeTab">
    <w:name w:val="AmDocTypeTab"/>
    <w:basedOn w:val="Normal"/>
    <w:rsid w:val="00A06BC5"/>
    <w:pPr>
      <w:widowControl w:val="0"/>
      <w:tabs>
        <w:tab w:val="right" w:pos="9071"/>
      </w:tabs>
    </w:pPr>
    <w:rPr>
      <w:b/>
      <w:lang w:val="et-EE"/>
    </w:rPr>
  </w:style>
  <w:style w:type="paragraph" w:customStyle="1" w:styleId="Normal12a">
    <w:name w:val="Normal12a"/>
    <w:basedOn w:val="Normal"/>
    <w:rsid w:val="00A06BC5"/>
    <w:pPr>
      <w:widowControl w:val="0"/>
      <w:spacing w:after="240"/>
    </w:pPr>
    <w:rPr>
      <w:lang w:val="et-EE"/>
    </w:rPr>
  </w:style>
  <w:style w:type="character" w:customStyle="1" w:styleId="HideTWBInt">
    <w:name w:val="HideTWBInt"/>
    <w:basedOn w:val="DefaultParagraphFont"/>
    <w:rsid w:val="00A06BC5"/>
    <w:rPr>
      <w:rFonts w:ascii="Arial" w:hAnsi="Arial"/>
      <w:noProof/>
      <w:vanish/>
      <w:color w:val="808080"/>
      <w:sz w:val="20"/>
    </w:rPr>
  </w:style>
  <w:style w:type="paragraph" w:customStyle="1" w:styleId="Normal6a">
    <w:name w:val="Normal6a"/>
    <w:basedOn w:val="Normal"/>
    <w:rsid w:val="00A06BC5"/>
    <w:pPr>
      <w:widowControl w:val="0"/>
      <w:spacing w:after="120"/>
    </w:pPr>
    <w:rPr>
      <w:lang w:val="et-EE"/>
    </w:rPr>
  </w:style>
  <w:style w:type="paragraph" w:customStyle="1" w:styleId="AmColumnHeading">
    <w:name w:val="AmColumnHeading"/>
    <w:basedOn w:val="Normal"/>
    <w:rsid w:val="00A06BC5"/>
    <w:pPr>
      <w:widowControl w:val="0"/>
      <w:spacing w:after="240"/>
      <w:jc w:val="center"/>
    </w:pPr>
    <w:rPr>
      <w:i/>
      <w:lang w:val="et-EE"/>
    </w:rPr>
  </w:style>
  <w:style w:type="paragraph" w:customStyle="1" w:styleId="AmNumberTabs">
    <w:name w:val="AmNumberTabs"/>
    <w:basedOn w:val="Normal"/>
    <w:rsid w:val="00A06BC5"/>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t-EE"/>
    </w:rPr>
  </w:style>
  <w:style w:type="paragraph" w:customStyle="1" w:styleId="EPFooter2">
    <w:name w:val="EPFooter2"/>
    <w:basedOn w:val="Normal"/>
    <w:next w:val="Normal"/>
    <w:rsid w:val="00A06BC5"/>
    <w:pPr>
      <w:tabs>
        <w:tab w:val="center" w:pos="4535"/>
        <w:tab w:val="right" w:pos="9921"/>
      </w:tabs>
      <w:ind w:left="-850" w:right="-850"/>
    </w:pPr>
    <w:rPr>
      <w:rFonts w:ascii="Arial" w:hAnsi="Arial" w:cs="Arial"/>
      <w:b/>
      <w:sz w:val="48"/>
      <w:lang w:val="et-EE"/>
    </w:rPr>
  </w:style>
  <w:style w:type="paragraph" w:customStyle="1" w:styleId="AmOrLang">
    <w:name w:val="AmOrLang"/>
    <w:basedOn w:val="Normal"/>
    <w:rsid w:val="00A06BC5"/>
    <w:pPr>
      <w:widowControl w:val="0"/>
      <w:spacing w:before="240" w:after="240"/>
      <w:jc w:val="right"/>
    </w:pPr>
    <w:rPr>
      <w:lang w:val="et-EE"/>
    </w:rPr>
  </w:style>
  <w:style w:type="paragraph" w:customStyle="1" w:styleId="AmJustTitle">
    <w:name w:val="AmJustTitle"/>
    <w:basedOn w:val="Normal"/>
    <w:next w:val="AmJustText"/>
    <w:rsid w:val="00A06BC5"/>
    <w:pPr>
      <w:keepNext/>
      <w:widowControl w:val="0"/>
      <w:spacing w:before="240" w:after="240"/>
      <w:jc w:val="center"/>
    </w:pPr>
    <w:rPr>
      <w:i/>
      <w:lang w:val="et-EE"/>
    </w:rPr>
  </w:style>
  <w:style w:type="paragraph" w:customStyle="1" w:styleId="AmDateTab">
    <w:name w:val="AmDateTab"/>
    <w:basedOn w:val="Normal"/>
    <w:rsid w:val="00A06BC5"/>
    <w:pPr>
      <w:widowControl w:val="0"/>
      <w:tabs>
        <w:tab w:val="right" w:pos="9071"/>
      </w:tabs>
    </w:pPr>
    <w:rPr>
      <w:lang w:val="et-EE"/>
    </w:rPr>
  </w:style>
  <w:style w:type="paragraph" w:customStyle="1" w:styleId="AmJustText">
    <w:name w:val="AmJustText"/>
    <w:basedOn w:val="Normal"/>
    <w:rsid w:val="00A06BC5"/>
    <w:pPr>
      <w:widowControl w:val="0"/>
      <w:spacing w:after="240"/>
    </w:pPr>
    <w:rPr>
      <w:i/>
      <w:lang w:val="et-EE"/>
    </w:rPr>
  </w:style>
  <w:style w:type="paragraph" w:customStyle="1" w:styleId="EPFooter">
    <w:name w:val="EPFooter"/>
    <w:basedOn w:val="Normal"/>
    <w:rsid w:val="00A06BC5"/>
    <w:pPr>
      <w:widowControl w:val="0"/>
      <w:tabs>
        <w:tab w:val="center" w:pos="4535"/>
        <w:tab w:val="right" w:pos="9071"/>
      </w:tabs>
      <w:spacing w:before="240" w:after="240"/>
    </w:pPr>
    <w:rPr>
      <w:color w:val="010000"/>
      <w:sz w:val="22"/>
      <w:lang w:val="et-EE"/>
    </w:rPr>
  </w:style>
  <w:style w:type="character" w:customStyle="1" w:styleId="FooterChar">
    <w:name w:val="Footer Char"/>
    <w:basedOn w:val="DefaultParagraphFont"/>
    <w:link w:val="Footer"/>
    <w:rsid w:val="00A06BC5"/>
    <w:rPr>
      <w:sz w:val="22"/>
      <w:lang w:val="fr-FR"/>
    </w:rPr>
  </w:style>
  <w:style w:type="character" w:customStyle="1" w:styleId="HeaderChar">
    <w:name w:val="Header Char"/>
    <w:basedOn w:val="DefaultParagraphFont"/>
    <w:link w:val="Header"/>
    <w:rsid w:val="00A06BC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23116-C593-40DC-813A-8C0DFB0C8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7</Pages>
  <Words>1430</Words>
  <Characters>10040</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LEPLER Laura</dc:creator>
  <cp:keywords/>
  <cp:lastModifiedBy>LEPLER Laura</cp:lastModifiedBy>
  <cp:revision>2</cp:revision>
  <cp:lastPrinted>2014-08-07T13:15:00Z</cp:lastPrinted>
  <dcterms:created xsi:type="dcterms:W3CDTF">2024-11-14T16:05:00Z</dcterms:created>
  <dcterms:modified xsi:type="dcterms:W3CDTF">2024-11-14T16:05:00Z</dcterms:modified>
</cp:coreProperties>
</file>