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95D15" w:rsidTr="00425111">
        <w:trPr>
          <w:trHeight w:hRule="exact" w:val="1418"/>
        </w:trPr>
        <w:tc>
          <w:tcPr>
            <w:tcW w:w="6804" w:type="dxa"/>
            <w:shd w:val="clear" w:color="auto" w:fill="auto"/>
            <w:vAlign w:val="center"/>
          </w:tcPr>
          <w:p w:rsidR="00757DD5" w:rsidRPr="00695D15" w:rsidRDefault="00917DA9" w:rsidP="00425111">
            <w:pPr>
              <w:pStyle w:val="EPName"/>
              <w:rPr>
                <w:lang w:val="en-GB"/>
              </w:rPr>
            </w:pPr>
            <w:proofErr w:type="spellStart"/>
            <w:r>
              <w:rPr>
                <w:lang w:val="en-GB"/>
              </w:rPr>
              <w:t>Parlement</w:t>
            </w:r>
            <w:proofErr w:type="spellEnd"/>
            <w:r>
              <w:rPr>
                <w:lang w:val="en-GB"/>
              </w:rPr>
              <w:t xml:space="preserve"> </w:t>
            </w:r>
            <w:proofErr w:type="spellStart"/>
            <w:r>
              <w:rPr>
                <w:lang w:val="en-GB"/>
              </w:rPr>
              <w:t>européen</w:t>
            </w:r>
            <w:proofErr w:type="spellEnd"/>
          </w:p>
          <w:p w:rsidR="00757DD5" w:rsidRPr="00695D15" w:rsidRDefault="00917DA9" w:rsidP="00425111">
            <w:pPr>
              <w:pStyle w:val="EPTerm"/>
              <w:rPr>
                <w:rStyle w:val="HideTWBExt"/>
                <w:vanish w:val="0"/>
                <w:lang w:val="en-GB"/>
              </w:rPr>
            </w:pPr>
            <w:r>
              <w:rPr>
                <w:lang w:val="en-GB"/>
              </w:rPr>
              <w:t>2024-2029</w:t>
            </w:r>
          </w:p>
        </w:tc>
        <w:tc>
          <w:tcPr>
            <w:tcW w:w="2268" w:type="dxa"/>
            <w:shd w:val="clear" w:color="auto" w:fill="auto"/>
          </w:tcPr>
          <w:p w:rsidR="00757DD5" w:rsidRPr="00695D15" w:rsidRDefault="00172070" w:rsidP="00425111">
            <w:pPr>
              <w:pStyle w:val="EPLogo"/>
            </w:pPr>
            <w:r w:rsidRPr="00695D15">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061199" w:rsidRDefault="008E7632" w:rsidP="008E7632">
      <w:pPr>
        <w:pStyle w:val="LineTop"/>
        <w:rPr>
          <w:lang w:val="en-GB"/>
        </w:rPr>
      </w:pPr>
    </w:p>
    <w:p w:rsidR="008E7632" w:rsidRPr="00917DA9" w:rsidRDefault="00917DA9" w:rsidP="008E7632">
      <w:pPr>
        <w:pStyle w:val="ZSessionDoc"/>
        <w:rPr>
          <w:b/>
          <w:i w:val="0"/>
          <w:lang w:val="fr-FR"/>
        </w:rPr>
      </w:pPr>
      <w:r w:rsidRPr="00917DA9">
        <w:rPr>
          <w:b/>
          <w:i w:val="0"/>
          <w:lang w:val="fr-FR"/>
        </w:rPr>
        <w:t>TEXTES ADOPTÉS</w:t>
      </w:r>
    </w:p>
    <w:p w:rsidR="008E7632" w:rsidRPr="00917DA9" w:rsidRDefault="00917DA9" w:rsidP="008E7632">
      <w:pPr>
        <w:pStyle w:val="LineBottom"/>
        <w:rPr>
          <w:lang w:val="fr-FR"/>
        </w:rPr>
      </w:pPr>
      <w:r w:rsidRPr="00917DA9">
        <w:rPr>
          <w:rFonts w:cs="Arial"/>
          <w:i/>
          <w:sz w:val="20"/>
          <w:szCs w:val="22"/>
          <w:lang w:val="fr-FR"/>
        </w:rPr>
        <w:t xml:space="preserve"> </w:t>
      </w:r>
    </w:p>
    <w:p w:rsidR="009C4014" w:rsidRPr="00917DA9" w:rsidRDefault="00917DA9" w:rsidP="008E7632">
      <w:pPr>
        <w:pStyle w:val="ATHeading1"/>
        <w:spacing w:before="480"/>
      </w:pPr>
      <w:bookmarkStart w:id="0" w:name="TA_Heading"/>
      <w:r w:rsidRPr="00917DA9">
        <w:t>P10_TA(2024)</w:t>
      </w:r>
      <w:bookmarkStart w:id="1" w:name="TANumber"/>
      <w:bookmarkEnd w:id="0"/>
      <w:r w:rsidRPr="00917DA9">
        <w:t>0</w:t>
      </w:r>
      <w:bookmarkEnd w:id="1"/>
      <w:r w:rsidR="00D611D1">
        <w:t>0</w:t>
      </w:r>
      <w:r w:rsidR="00B537CE">
        <w:t>31</w:t>
      </w:r>
    </w:p>
    <w:p w:rsidR="009C4014" w:rsidRPr="00917DA9" w:rsidRDefault="00917DA9" w:rsidP="00917DA9">
      <w:pPr>
        <w:pStyle w:val="ATHeading2"/>
      </w:pPr>
      <w:bookmarkStart w:id="2" w:name="title"/>
      <w:r w:rsidRPr="00917DA9">
        <w:t xml:space="preserve">Règlement sur la déforestation: dispositions relatives à la date d'application </w:t>
      </w:r>
      <w:bookmarkEnd w:id="2"/>
      <w:r w:rsidR="009C4014" w:rsidRPr="00917DA9">
        <w:t xml:space="preserve"> </w:t>
      </w:r>
      <w:bookmarkStart w:id="3" w:name="Etoiles"/>
      <w:bookmarkEnd w:id="3"/>
    </w:p>
    <w:p w:rsidR="009C4014" w:rsidRPr="00917DA9" w:rsidRDefault="009C4014" w:rsidP="009C4014">
      <w:pPr>
        <w:rPr>
          <w:i/>
          <w:vanish/>
        </w:rPr>
      </w:pPr>
      <w:r>
        <w:rPr>
          <w:i/>
        </w:rPr>
        <w:fldChar w:fldCharType="begin"/>
      </w:r>
      <w:r w:rsidRPr="00917DA9">
        <w:rPr>
          <w:i/>
        </w:rPr>
        <w:instrText xml:space="preserve"> TC"</w:instrText>
      </w:r>
      <w:bookmarkStart w:id="4" w:name="DocNumber"/>
      <w:r w:rsidR="00917DA9" w:rsidRPr="00917DA9">
        <w:rPr>
          <w:i/>
        </w:rPr>
        <w:instrText>(C</w:instrText>
      </w:r>
      <w:r w:rsidR="00917DA9">
        <w:rPr>
          <w:i/>
        </w:rPr>
        <w:instrText>10-0119/2024</w:instrText>
      </w:r>
      <w:r w:rsidR="00917DA9" w:rsidRPr="00917DA9">
        <w:rPr>
          <w:i/>
        </w:rPr>
        <w:instrText>)</w:instrText>
      </w:r>
      <w:bookmarkEnd w:id="4"/>
      <w:r w:rsidRPr="00917DA9">
        <w:rPr>
          <w:i/>
        </w:rPr>
        <w:instrText xml:space="preserve">"\l3 \n&gt; \* MERGEFORMAT </w:instrText>
      </w:r>
      <w:r>
        <w:rPr>
          <w:i/>
        </w:rPr>
        <w:fldChar w:fldCharType="end"/>
      </w:r>
    </w:p>
    <w:p w:rsidR="00917DA9" w:rsidRPr="00917DA9" w:rsidRDefault="00E43CC3" w:rsidP="009C4014">
      <w:pPr>
        <w:rPr>
          <w:vanish/>
        </w:rPr>
      </w:pPr>
      <w:bookmarkStart w:id="5" w:name="Commission"/>
      <w:r>
        <w:rPr>
          <w:vanish/>
        </w:rPr>
        <w:t>C</w:t>
      </w:r>
      <w:r w:rsidR="00917DA9" w:rsidRPr="00917DA9">
        <w:rPr>
          <w:vanish/>
        </w:rPr>
        <w:t>ommission de l'environnement, de la santé publique et de la sécurité alimentaire</w:t>
      </w:r>
    </w:p>
    <w:p w:rsidR="009C4014" w:rsidRPr="00917DA9" w:rsidRDefault="00917DA9" w:rsidP="009C4014">
      <w:pPr>
        <w:rPr>
          <w:vanish/>
        </w:rPr>
      </w:pPr>
      <w:bookmarkStart w:id="6" w:name="PE"/>
      <w:bookmarkEnd w:id="5"/>
      <w:r w:rsidRPr="00917DA9">
        <w:rPr>
          <w:vanish/>
        </w:rPr>
        <w:t>PE765.661</w:t>
      </w:r>
      <w:bookmarkEnd w:id="6"/>
    </w:p>
    <w:p w:rsidR="00917DA9" w:rsidRPr="00917DA9" w:rsidRDefault="009D0DE7" w:rsidP="00917DA9">
      <w:pPr>
        <w:pStyle w:val="ATHeading3"/>
      </w:pPr>
      <w:bookmarkStart w:id="7" w:name="References"/>
      <w:r w:rsidRPr="00606A42">
        <w:t>Amendements du Parlement européen, adoptés le</w:t>
      </w:r>
      <w:r w:rsidRPr="009D0DE7">
        <w:t xml:space="preserve"> 14 novembre 2024, </w:t>
      </w:r>
      <w:r w:rsidRPr="00606A42">
        <w:t>à</w:t>
      </w:r>
      <w:r w:rsidRPr="009D0DE7">
        <w:t xml:space="preserve"> </w:t>
      </w:r>
      <w:r w:rsidR="00917DA9" w:rsidRPr="009D0DE7">
        <w:t>la proposition de règlemen</w:t>
      </w:r>
      <w:r w:rsidR="00917DA9" w:rsidRPr="00917DA9">
        <w:t xml:space="preserve">t du Parlement européen et du Conseil </w:t>
      </w:r>
      <w:r w:rsidR="00917DA9" w:rsidRPr="005A192A">
        <w:t>modifiant</w:t>
      </w:r>
      <w:r w:rsidR="00917DA9" w:rsidRPr="00917DA9">
        <w:t xml:space="preserve"> le règlement (UE) 2023/1115 en ce qui concerne les dispositions relatives à la date d'application (COM(2024)0452 – C10-0119/2024 – 2024/0249(COD))</w:t>
      </w:r>
      <w:r>
        <w:rPr>
          <w:rStyle w:val="FootnoteReference"/>
        </w:rPr>
        <w:footnoteReference w:id="1"/>
      </w:r>
    </w:p>
    <w:p w:rsidR="009C4014" w:rsidRPr="00917DA9" w:rsidRDefault="00917DA9" w:rsidP="00917DA9">
      <w:pPr>
        <w:pStyle w:val="ATHeading3"/>
      </w:pPr>
      <w:r>
        <w:t>(P</w:t>
      </w:r>
      <w:r w:rsidRPr="00917DA9">
        <w:t>rocédure législat</w:t>
      </w:r>
      <w:r>
        <w:t>ive ordinaire: première lecture</w:t>
      </w:r>
      <w:r w:rsidRPr="00917DA9">
        <w:t>)</w:t>
      </w:r>
      <w:bookmarkEnd w:id="7"/>
    </w:p>
    <w:p w:rsidR="005A192A" w:rsidRPr="00947F59" w:rsidRDefault="00917DA9" w:rsidP="00917DA9">
      <w:pPr>
        <w:tabs>
          <w:tab w:val="left" w:pos="-774"/>
          <w:tab w:val="left" w:pos="-114"/>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spacing w:after="120"/>
        <w:ind w:left="567" w:hanging="567"/>
        <w:sectPr w:rsidR="005A192A" w:rsidRPr="00947F59"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bookmarkStart w:id="8" w:name="TextBodyBegin"/>
      <w:bookmarkEnd w:id="8"/>
      <w:r w:rsidRPr="00947F59">
        <w:t>.</w:t>
      </w:r>
    </w:p>
    <w:p w:rsidR="008C4914" w:rsidRPr="00606A42" w:rsidRDefault="008C4914" w:rsidP="008C4914">
      <w:pPr>
        <w:pStyle w:val="AmNumberTabs"/>
      </w:pPr>
      <w:r w:rsidRPr="00606A42">
        <w:lastRenderedPageBreak/>
        <w:t>Amendement</w:t>
      </w:r>
      <w:r w:rsidRPr="00606A42">
        <w:tab/>
      </w:r>
      <w:r w:rsidRPr="00606A42">
        <w:tab/>
        <w:t>3</w:t>
      </w:r>
    </w:p>
    <w:p w:rsidR="008C4914" w:rsidRDefault="008C4914" w:rsidP="008C4914">
      <w:pPr>
        <w:pStyle w:val="NormalBold"/>
        <w:rPr>
          <w:lang w:val="fr-FR"/>
        </w:rPr>
      </w:pPr>
    </w:p>
    <w:p w:rsidR="008C4914" w:rsidRPr="008C4914" w:rsidRDefault="008C4914" w:rsidP="008C4914">
      <w:pPr>
        <w:pStyle w:val="NormalBold"/>
        <w:rPr>
          <w:lang w:val="fr-FR"/>
        </w:rPr>
      </w:pPr>
      <w:r w:rsidRPr="008C4914">
        <w:rPr>
          <w:lang w:val="fr-FR"/>
        </w:rPr>
        <w:t>Proposition de règlement</w:t>
      </w:r>
    </w:p>
    <w:p w:rsidR="008C4914" w:rsidRPr="008C4914" w:rsidRDefault="008C4914" w:rsidP="008C4914">
      <w:pPr>
        <w:pStyle w:val="NormalBold"/>
        <w:rPr>
          <w:lang w:val="fr-FR"/>
        </w:rPr>
      </w:pPr>
      <w:r w:rsidRPr="008C4914">
        <w:rPr>
          <w:lang w:val="fr-FR"/>
        </w:rPr>
        <w:t xml:space="preserve">Article 1 – </w:t>
      </w:r>
      <w:r w:rsidR="00A91F89">
        <w:rPr>
          <w:lang w:val="fr-FR"/>
        </w:rPr>
        <w:t>alinéa</w:t>
      </w:r>
      <w:r w:rsidRPr="008C4914">
        <w:rPr>
          <w:lang w:val="fr-FR"/>
        </w:rPr>
        <w:t> 1 – point -1 (nouveau)</w:t>
      </w:r>
    </w:p>
    <w:p w:rsidR="008C4914" w:rsidRPr="005C3ECE" w:rsidRDefault="008C4914" w:rsidP="008C4914">
      <w:r>
        <w:t>Règlement (UE) 2023/1115</w:t>
      </w:r>
    </w:p>
    <w:p w:rsidR="008C4914" w:rsidRPr="005C3ECE" w:rsidRDefault="008C4914" w:rsidP="008C4914">
      <w:r>
        <w:t>Considérant 68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4914" w:rsidTr="001300C6">
        <w:trPr>
          <w:jc w:val="center"/>
        </w:trPr>
        <w:tc>
          <w:tcPr>
            <w:tcW w:w="9752" w:type="dxa"/>
            <w:gridSpan w:val="2"/>
          </w:tcPr>
          <w:p w:rsidR="008C4914" w:rsidRPr="005C3ECE" w:rsidRDefault="008C4914" w:rsidP="001300C6">
            <w:pPr>
              <w:keepNext/>
            </w:pPr>
          </w:p>
        </w:tc>
      </w:tr>
      <w:tr w:rsidR="008C4914" w:rsidTr="001300C6">
        <w:trPr>
          <w:jc w:val="center"/>
        </w:trPr>
        <w:tc>
          <w:tcPr>
            <w:tcW w:w="4876" w:type="dxa"/>
          </w:tcPr>
          <w:p w:rsidR="008C4914" w:rsidRPr="005C3ECE" w:rsidRDefault="008C4914" w:rsidP="001300C6">
            <w:pPr>
              <w:pStyle w:val="AmColumnHeading"/>
              <w:keepNext/>
            </w:pPr>
            <w:r>
              <w:t>Texte en vigueur</w:t>
            </w:r>
          </w:p>
        </w:tc>
        <w:tc>
          <w:tcPr>
            <w:tcW w:w="4876" w:type="dxa"/>
          </w:tcPr>
          <w:p w:rsidR="008C4914" w:rsidRPr="005C3ECE" w:rsidRDefault="008C4914" w:rsidP="001300C6">
            <w:pPr>
              <w:pStyle w:val="AmColumnHeading"/>
              <w:keepNext/>
            </w:pPr>
            <w:r>
              <w:t>Amendement</w:t>
            </w:r>
          </w:p>
        </w:tc>
      </w:tr>
      <w:tr w:rsidR="008C4914" w:rsidTr="001300C6">
        <w:trPr>
          <w:jc w:val="center"/>
        </w:trPr>
        <w:tc>
          <w:tcPr>
            <w:tcW w:w="4876" w:type="dxa"/>
          </w:tcPr>
          <w:p w:rsidR="008C4914" w:rsidRPr="005C3ECE" w:rsidRDefault="008C4914" w:rsidP="001300C6">
            <w:pPr>
              <w:pStyle w:val="Normal6a"/>
            </w:pPr>
          </w:p>
        </w:tc>
        <w:tc>
          <w:tcPr>
            <w:tcW w:w="4876" w:type="dxa"/>
          </w:tcPr>
          <w:p w:rsidR="008C4914" w:rsidRPr="005C3ECE" w:rsidRDefault="008A501A">
            <w:pPr>
              <w:pStyle w:val="Normal6a"/>
              <w:rPr>
                <w:szCs w:val="24"/>
              </w:rPr>
            </w:pPr>
            <w:r>
              <w:rPr>
                <w:b/>
                <w:i/>
              </w:rPr>
              <w:t>-1</w:t>
            </w:r>
            <w:bookmarkStart w:id="9" w:name="_GoBack"/>
            <w:bookmarkEnd w:id="9"/>
            <w:r w:rsidR="008C4914">
              <w:rPr>
                <w:b/>
                <w:i/>
              </w:rPr>
              <w:t>)</w:t>
            </w:r>
            <w:r w:rsidR="008C4914">
              <w:rPr>
                <w:b/>
                <w:i/>
              </w:rPr>
              <w:tab/>
              <w:t>Le considérant 68 est remplacé par le texte suivant:</w:t>
            </w:r>
          </w:p>
        </w:tc>
      </w:tr>
      <w:tr w:rsidR="008C4914" w:rsidTr="001300C6">
        <w:trPr>
          <w:jc w:val="center"/>
        </w:trPr>
        <w:tc>
          <w:tcPr>
            <w:tcW w:w="4876" w:type="dxa"/>
          </w:tcPr>
          <w:p w:rsidR="008C4914" w:rsidRPr="005C3ECE" w:rsidRDefault="008C4914" w:rsidP="001300C6">
            <w:pPr>
              <w:pStyle w:val="Normal6a"/>
            </w:pPr>
            <w:r>
              <w:t xml:space="preserve">(68) </w:t>
            </w:r>
            <w:r>
              <w:tab/>
              <w:t xml:space="preserve">En outre, la Commission devrait évaluer le risque de déforestation et de dégradation des forêts au niveau d'un pays ou de parties de pays sur la base d’une série de critères tenant compte de données quantitatives, objectives et internationalement reconnues, et d'éléments montrant que les pays sont activement engagés dans la lutte contre la déforestation et la dégradation des forêts. Des telles informations en matière d'évaluation comparative devraient faciliter l'exercice de la diligence raisonnée par les opérateurs de l'Union et permettre plus facilement aux autorités compétentes d'opérer un suivi et de faire respecter le présent règlement, tout en incitant également les pays producteurs à accroître la durabilité de leurs systèmes de production agricole et à réduire les incidences quant à la déforestation. Cela devrait contribuer à rendre les chaînes d'approvisionnement plus transparentes et plus durables. Le système d'évaluation comparative devrait se fonder sur un système à </w:t>
            </w:r>
            <w:r>
              <w:rPr>
                <w:b/>
                <w:i/>
              </w:rPr>
              <w:t>trois</w:t>
            </w:r>
            <w:r>
              <w:t xml:space="preserve"> niveaux qui classerait les pays comme présentant un risque faible, standard ou élevé. Afin d’assurer une transparence et une clarté appropriées, la Commission devrait notamment mettre à la disposition du public les données utilisées aux fins de l’évaluation comparative, les raisons motivant une proposition de changement de classification et la réponse reçue du pays concerné. En ce qui concerne les produits en cause provenant de pays ou de parties de pays présentant un risque faible, les opérateurs devraient être autorisés à exercer une diligence raisonnée </w:t>
            </w:r>
            <w:r>
              <w:lastRenderedPageBreak/>
              <w:t>simplifiée. En ce qui concerne les produits en cause provenant de pays ou de parties de pays présentant un risque élevé, les autorités compétentes devraient être tenues d'effectuer des contrôles renforcés. Il convient que la Commission soit habilitée à adopter des actes d'exécution afin de dresser la liste des pays ou parties de pays présentant un risque faible ou élevé.</w:t>
            </w:r>
          </w:p>
        </w:tc>
        <w:tc>
          <w:tcPr>
            <w:tcW w:w="4876" w:type="dxa"/>
          </w:tcPr>
          <w:p w:rsidR="008C4914" w:rsidRPr="005C3ECE" w:rsidRDefault="008C4914" w:rsidP="001300C6">
            <w:pPr>
              <w:pStyle w:val="Normal6a"/>
              <w:rPr>
                <w:b/>
                <w:i/>
                <w:szCs w:val="24"/>
              </w:rPr>
            </w:pPr>
            <w:proofErr w:type="gramStart"/>
            <w:r w:rsidRPr="003A0447">
              <w:rPr>
                <w:b/>
                <w:i/>
              </w:rPr>
              <w:lastRenderedPageBreak/>
              <w:t>«</w:t>
            </w:r>
            <w:r>
              <w:t>(</w:t>
            </w:r>
            <w:proofErr w:type="gramEnd"/>
            <w:r>
              <w:t xml:space="preserve">68) </w:t>
            </w:r>
            <w:r>
              <w:tab/>
              <w:t xml:space="preserve">En outre, la Commission devrait évaluer le risque de déforestation et de dégradation des forêts au niveau d'un pays ou de parties de pays sur la base d’une série de critères tenant compte de données quantitatives, objectives et internationalement reconnues, et d'éléments montrant que les pays sont activement engagés dans la lutte contre la déforestation et la dégradation des forêts. De telles informations en matière d'évaluation comparative devraient faciliter l'exercice de la diligence raisonnée par les opérateurs de l'Union et permettre plus facilement aux autorités compétentes d'opérer un suivi et de faire respecter le présent règlement, tout en incitant également les pays producteurs à accroître la durabilité de leurs systèmes de production agricole et à réduire les incidences quant à la déforestation. Cela devrait contribuer à rendre les chaînes d'approvisionnement plus transparentes et plus durables. Le système d'évaluation comparative devrait se fonder sur un système à </w:t>
            </w:r>
            <w:r>
              <w:rPr>
                <w:b/>
                <w:i/>
              </w:rPr>
              <w:t>quatre</w:t>
            </w:r>
            <w:r>
              <w:t xml:space="preserve"> niveaux qui classerait les pays comme présentant un risque </w:t>
            </w:r>
            <w:r>
              <w:rPr>
                <w:b/>
                <w:i/>
              </w:rPr>
              <w:t>nul,</w:t>
            </w:r>
            <w:r>
              <w:t xml:space="preserve"> faible, standard ou élevé. Afin d’assurer une transparence et une clarté appropriées, la Commission devrait notamment mettre à la disposition du public les données utilisées aux fins de l’évaluation comparative, les raisons motivant une proposition de changement de classification et la réponse reçue du pays concerné. En ce qui concerne les produits en cause provenant de pays ou de parties de pays présentant un risque faible, les opérateurs devraient être autorisés à </w:t>
            </w:r>
            <w:r>
              <w:lastRenderedPageBreak/>
              <w:t xml:space="preserve">exercer une diligence raisonnée simplifiée. En ce qui concerne les produits en cause provenant de pays ou de parties de pays présentant un risque élevé, les autorités compétentes devraient être tenues d'effectuer des contrôles renforcés. </w:t>
            </w:r>
            <w:r>
              <w:rPr>
                <w:b/>
                <w:i/>
              </w:rPr>
              <w:t xml:space="preserve">Les produits en cause provenant de pays ou de parties de pays présentant un risque nul ne </w:t>
            </w:r>
            <w:proofErr w:type="gramStart"/>
            <w:r>
              <w:rPr>
                <w:b/>
                <w:i/>
              </w:rPr>
              <w:t>devraient</w:t>
            </w:r>
            <w:proofErr w:type="gramEnd"/>
            <w:r>
              <w:rPr>
                <w:b/>
                <w:i/>
              </w:rPr>
              <w:t xml:space="preserve"> pas être soumis à ces conditions. </w:t>
            </w:r>
            <w:r>
              <w:t>Il convient que la Commission soit habilitée à adopter des actes d'exécution afin de dresser la liste des pays ou parties de pays présentant un risque faible ou élevé.</w:t>
            </w:r>
            <w:r w:rsidRPr="003A0447">
              <w:rPr>
                <w:b/>
                <w:i/>
              </w:rPr>
              <w:t>»</w:t>
            </w:r>
            <w:r w:rsidR="005D3F9C">
              <w:rPr>
                <w:b/>
                <w:i/>
              </w:rPr>
              <w:t>.</w:t>
            </w:r>
          </w:p>
        </w:tc>
      </w:tr>
    </w:tbl>
    <w:p w:rsidR="008C4914" w:rsidRDefault="008C4914">
      <w:pPr>
        <w:rPr>
          <w:rFonts w:eastAsia="Calibri"/>
          <w:b/>
          <w:lang w:val="fr-BE"/>
        </w:rPr>
      </w:pPr>
    </w:p>
    <w:p w:rsidR="008C4914" w:rsidRDefault="008C4914" w:rsidP="008C4914">
      <w:pPr>
        <w:pStyle w:val="NormalBold"/>
        <w:rPr>
          <w:lang w:val="fr-FR"/>
        </w:rPr>
      </w:pPr>
      <w:r>
        <w:rPr>
          <w:lang w:val="fr-FR"/>
        </w:rPr>
        <w:t>Amendement 4</w:t>
      </w:r>
    </w:p>
    <w:p w:rsidR="008C4914" w:rsidRDefault="008C4914" w:rsidP="008C4914">
      <w:pPr>
        <w:pStyle w:val="NormalBold"/>
        <w:rPr>
          <w:lang w:val="fr-FR"/>
        </w:rPr>
      </w:pPr>
    </w:p>
    <w:p w:rsidR="008C4914" w:rsidRPr="008C4914" w:rsidRDefault="008C4914" w:rsidP="008C4914">
      <w:pPr>
        <w:pStyle w:val="NormalBold"/>
        <w:rPr>
          <w:lang w:val="fr-FR"/>
        </w:rPr>
      </w:pPr>
      <w:r w:rsidRPr="008C4914">
        <w:rPr>
          <w:lang w:val="fr-FR"/>
        </w:rPr>
        <w:t>Proposition de règlement</w:t>
      </w:r>
    </w:p>
    <w:p w:rsidR="008C4914" w:rsidRPr="008C4914" w:rsidRDefault="008C4914" w:rsidP="008C4914">
      <w:pPr>
        <w:pStyle w:val="NormalBold"/>
        <w:rPr>
          <w:lang w:val="fr-FR"/>
        </w:rPr>
      </w:pPr>
      <w:r w:rsidRPr="008C4914">
        <w:rPr>
          <w:lang w:val="fr-FR"/>
        </w:rPr>
        <w:t xml:space="preserve">Article 1 – </w:t>
      </w:r>
      <w:r w:rsidR="00A91F89">
        <w:rPr>
          <w:lang w:val="fr-FR"/>
        </w:rPr>
        <w:t>alinéa</w:t>
      </w:r>
      <w:r w:rsidRPr="008C4914">
        <w:rPr>
          <w:lang w:val="fr-FR"/>
        </w:rPr>
        <w:t> 1 – point -1 </w:t>
      </w:r>
      <w:r>
        <w:rPr>
          <w:lang w:val="fr-FR"/>
        </w:rPr>
        <w:t>bis</w:t>
      </w:r>
      <w:r w:rsidRPr="008C4914">
        <w:rPr>
          <w:lang w:val="fr-FR"/>
        </w:rPr>
        <w:t> (nouveau)</w:t>
      </w:r>
    </w:p>
    <w:p w:rsidR="008C4914" w:rsidRPr="005C3ECE" w:rsidRDefault="008C4914" w:rsidP="008C4914">
      <w:r>
        <w:t>Règlement (UE) 2023/1115</w:t>
      </w:r>
    </w:p>
    <w:p w:rsidR="008C4914" w:rsidRPr="005C3ECE" w:rsidRDefault="008C4914" w:rsidP="008C4914">
      <w:r>
        <w:t>Considérant 86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4914" w:rsidTr="001300C6">
        <w:trPr>
          <w:jc w:val="center"/>
        </w:trPr>
        <w:tc>
          <w:tcPr>
            <w:tcW w:w="9752" w:type="dxa"/>
            <w:gridSpan w:val="2"/>
          </w:tcPr>
          <w:p w:rsidR="008C4914" w:rsidRPr="005C3ECE" w:rsidRDefault="008C4914" w:rsidP="001300C6">
            <w:pPr>
              <w:keepNext/>
            </w:pPr>
          </w:p>
        </w:tc>
      </w:tr>
      <w:tr w:rsidR="008C4914" w:rsidTr="001300C6">
        <w:trPr>
          <w:jc w:val="center"/>
        </w:trPr>
        <w:tc>
          <w:tcPr>
            <w:tcW w:w="4876" w:type="dxa"/>
          </w:tcPr>
          <w:p w:rsidR="008C4914" w:rsidRPr="005C3ECE" w:rsidRDefault="008C4914" w:rsidP="001300C6">
            <w:pPr>
              <w:pStyle w:val="AmColumnHeading"/>
              <w:keepNext/>
            </w:pPr>
            <w:r>
              <w:t>Texte en vigueur</w:t>
            </w:r>
          </w:p>
        </w:tc>
        <w:tc>
          <w:tcPr>
            <w:tcW w:w="4876" w:type="dxa"/>
          </w:tcPr>
          <w:p w:rsidR="008C4914" w:rsidRPr="005C3ECE" w:rsidRDefault="008C4914" w:rsidP="001300C6">
            <w:pPr>
              <w:pStyle w:val="AmColumnHeading"/>
              <w:keepNext/>
            </w:pPr>
            <w:r>
              <w:t>Amendement</w:t>
            </w:r>
          </w:p>
        </w:tc>
      </w:tr>
      <w:tr w:rsidR="008C4914" w:rsidTr="001300C6">
        <w:trPr>
          <w:jc w:val="center"/>
        </w:trPr>
        <w:tc>
          <w:tcPr>
            <w:tcW w:w="4876" w:type="dxa"/>
          </w:tcPr>
          <w:p w:rsidR="008C4914" w:rsidRPr="005C3ECE" w:rsidRDefault="008C4914" w:rsidP="001300C6">
            <w:pPr>
              <w:pStyle w:val="Normal6a"/>
            </w:pPr>
          </w:p>
        </w:tc>
        <w:tc>
          <w:tcPr>
            <w:tcW w:w="4876" w:type="dxa"/>
          </w:tcPr>
          <w:p w:rsidR="008C4914" w:rsidRPr="005C3ECE" w:rsidRDefault="008C4914">
            <w:pPr>
              <w:pStyle w:val="Normal6a"/>
              <w:rPr>
                <w:szCs w:val="24"/>
              </w:rPr>
            </w:pPr>
            <w:r>
              <w:rPr>
                <w:b/>
                <w:i/>
              </w:rPr>
              <w:t>-1 bis)</w:t>
            </w:r>
            <w:r>
              <w:rPr>
                <w:b/>
                <w:i/>
              </w:rPr>
              <w:tab/>
              <w:t>Le considérant 86 est remplacé par le texte suivant:</w:t>
            </w:r>
          </w:p>
        </w:tc>
      </w:tr>
      <w:tr w:rsidR="008C4914" w:rsidTr="001300C6">
        <w:trPr>
          <w:jc w:val="center"/>
        </w:trPr>
        <w:tc>
          <w:tcPr>
            <w:tcW w:w="4876" w:type="dxa"/>
          </w:tcPr>
          <w:p w:rsidR="008C4914" w:rsidRPr="005C3ECE" w:rsidRDefault="008C4914" w:rsidP="001300C6">
            <w:pPr>
              <w:pStyle w:val="Normal6a"/>
            </w:pPr>
            <w:r>
              <w:t xml:space="preserve">(86) </w:t>
            </w:r>
            <w:r>
              <w:tab/>
              <w:t>Il y a lieu d'accorder aux opérateurs, aux commerçants et aux autorités compétentes un délai raisonnable pour se préparer à respecter les exigences du présent règlement,</w:t>
            </w:r>
          </w:p>
        </w:tc>
        <w:tc>
          <w:tcPr>
            <w:tcW w:w="4876" w:type="dxa"/>
          </w:tcPr>
          <w:p w:rsidR="008C4914" w:rsidRPr="005C3ECE" w:rsidRDefault="008C4914" w:rsidP="00A91F89">
            <w:pPr>
              <w:pStyle w:val="Normal6a"/>
              <w:rPr>
                <w:b/>
                <w:i/>
                <w:szCs w:val="24"/>
              </w:rPr>
            </w:pPr>
            <w:proofErr w:type="gramStart"/>
            <w:r w:rsidRPr="003A0447">
              <w:rPr>
                <w:b/>
                <w:i/>
              </w:rPr>
              <w:t>«</w:t>
            </w:r>
            <w:r>
              <w:t>(</w:t>
            </w:r>
            <w:proofErr w:type="gramEnd"/>
            <w:r>
              <w:t xml:space="preserve">86) </w:t>
            </w:r>
            <w:r>
              <w:tab/>
              <w:t xml:space="preserve">Il y a lieu d'accorder aux opérateurs, aux commerçants et aux autorités compétentes un délai raisonnable pour se préparer à respecter les exigences du présent règlement, </w:t>
            </w:r>
            <w:r>
              <w:rPr>
                <w:b/>
                <w:i/>
              </w:rPr>
              <w:t xml:space="preserve">Au cours de la période précédant la date d’application, et afin d’éviter tout retard, la Commission devrait donner la priorité à l’optimisation de la plateforme d’échange d’informations entre les parties prenantes concernées et les autorités compétentes. La Commission s’engage également à publier la classification des risques afin que les parties prenantes concernées puissent se préparer en tenant compte du champ d’application obligatoire précis du présent règlement. La plateforme d’échange d’informations et la classification des risques devraient être </w:t>
            </w:r>
            <w:r w:rsidR="00A91F89">
              <w:rPr>
                <w:b/>
                <w:i/>
              </w:rPr>
              <w:t>disponibles</w:t>
            </w:r>
            <w:r>
              <w:rPr>
                <w:b/>
                <w:i/>
              </w:rPr>
              <w:t xml:space="preserve"> et pleinement opérationnelles au moins six mois avant la date d’application. En cas de retard, la date d’application devrait être reportée en conséquence.»</w:t>
            </w:r>
            <w:r w:rsidR="005D3F9C">
              <w:rPr>
                <w:b/>
                <w:i/>
              </w:rPr>
              <w:t>.</w:t>
            </w:r>
          </w:p>
        </w:tc>
      </w:tr>
    </w:tbl>
    <w:p w:rsidR="008C4914" w:rsidRDefault="008C4914" w:rsidP="008C4914">
      <w:pPr>
        <w:pStyle w:val="NormalBold"/>
        <w:rPr>
          <w:lang w:val="fr-FR"/>
        </w:rPr>
      </w:pPr>
      <w:r>
        <w:rPr>
          <w:lang w:val="fr-FR"/>
        </w:rPr>
        <w:lastRenderedPageBreak/>
        <w:t>Amendement 5</w:t>
      </w:r>
    </w:p>
    <w:p w:rsidR="008C4914" w:rsidRDefault="008C4914" w:rsidP="008C4914">
      <w:pPr>
        <w:pStyle w:val="NormalBold"/>
        <w:rPr>
          <w:lang w:val="fr-FR"/>
        </w:rPr>
      </w:pPr>
    </w:p>
    <w:p w:rsidR="008C4914" w:rsidRPr="008C4914" w:rsidRDefault="008C4914" w:rsidP="008C4914">
      <w:pPr>
        <w:pStyle w:val="NormalBold"/>
        <w:rPr>
          <w:lang w:val="fr-FR"/>
        </w:rPr>
      </w:pPr>
      <w:r w:rsidRPr="008C4914">
        <w:rPr>
          <w:lang w:val="fr-FR"/>
        </w:rPr>
        <w:t>Proposition de règlement</w:t>
      </w:r>
    </w:p>
    <w:p w:rsidR="008C4914" w:rsidRPr="008C4914" w:rsidRDefault="008C4914" w:rsidP="008C4914">
      <w:pPr>
        <w:pStyle w:val="NormalBold"/>
        <w:rPr>
          <w:lang w:val="fr-FR"/>
        </w:rPr>
      </w:pPr>
      <w:r w:rsidRPr="008C4914">
        <w:rPr>
          <w:lang w:val="fr-FR"/>
        </w:rPr>
        <w:t xml:space="preserve">Article 1 – </w:t>
      </w:r>
      <w:r w:rsidR="00A91F89">
        <w:rPr>
          <w:lang w:val="fr-FR"/>
        </w:rPr>
        <w:t>alinéa</w:t>
      </w:r>
      <w:r w:rsidRPr="008C4914">
        <w:rPr>
          <w:lang w:val="fr-FR"/>
        </w:rPr>
        <w:t> 1 – point -1 </w:t>
      </w:r>
      <w:r>
        <w:rPr>
          <w:lang w:val="fr-FR"/>
        </w:rPr>
        <w:t>ter</w:t>
      </w:r>
      <w:r w:rsidRPr="008C4914">
        <w:rPr>
          <w:lang w:val="fr-FR"/>
        </w:rPr>
        <w:t xml:space="preserve"> (nouveau)</w:t>
      </w:r>
    </w:p>
    <w:p w:rsidR="008C4914" w:rsidRDefault="008C4914" w:rsidP="008C4914">
      <w:r>
        <w:t>Règlement (UE) 2023/1115</w:t>
      </w:r>
    </w:p>
    <w:p w:rsidR="008C4914" w:rsidRPr="005C3ECE" w:rsidRDefault="008C4914" w:rsidP="008C4914">
      <w:r>
        <w:t>Article 3 – partie introductive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4914" w:rsidTr="001300C6">
        <w:trPr>
          <w:jc w:val="center"/>
        </w:trPr>
        <w:tc>
          <w:tcPr>
            <w:tcW w:w="9752" w:type="dxa"/>
            <w:gridSpan w:val="2"/>
          </w:tcPr>
          <w:p w:rsidR="008C4914" w:rsidRPr="005C3ECE" w:rsidRDefault="008C4914" w:rsidP="001300C6">
            <w:pPr>
              <w:keepNext/>
            </w:pPr>
          </w:p>
        </w:tc>
      </w:tr>
      <w:tr w:rsidR="008C4914" w:rsidTr="001300C6">
        <w:trPr>
          <w:jc w:val="center"/>
        </w:trPr>
        <w:tc>
          <w:tcPr>
            <w:tcW w:w="4876" w:type="dxa"/>
          </w:tcPr>
          <w:p w:rsidR="008C4914" w:rsidRPr="005C3ECE" w:rsidRDefault="008C4914" w:rsidP="001300C6">
            <w:pPr>
              <w:pStyle w:val="AmColumnHeading"/>
              <w:keepNext/>
            </w:pPr>
            <w:r>
              <w:t>Texte en vigueur</w:t>
            </w:r>
          </w:p>
        </w:tc>
        <w:tc>
          <w:tcPr>
            <w:tcW w:w="4876" w:type="dxa"/>
          </w:tcPr>
          <w:p w:rsidR="008C4914" w:rsidRPr="005C3ECE" w:rsidRDefault="008C4914" w:rsidP="001300C6">
            <w:pPr>
              <w:pStyle w:val="AmColumnHeading"/>
              <w:keepNext/>
            </w:pPr>
            <w:r>
              <w:t>Amendement</w:t>
            </w:r>
          </w:p>
        </w:tc>
      </w:tr>
      <w:tr w:rsidR="008C4914" w:rsidTr="001300C6">
        <w:trPr>
          <w:jc w:val="center"/>
        </w:trPr>
        <w:tc>
          <w:tcPr>
            <w:tcW w:w="4876" w:type="dxa"/>
          </w:tcPr>
          <w:p w:rsidR="008C4914" w:rsidRPr="005C3ECE" w:rsidRDefault="008C4914" w:rsidP="001300C6">
            <w:pPr>
              <w:pStyle w:val="Normal6a"/>
            </w:pPr>
          </w:p>
        </w:tc>
        <w:tc>
          <w:tcPr>
            <w:tcW w:w="4876" w:type="dxa"/>
          </w:tcPr>
          <w:p w:rsidR="008C4914" w:rsidRPr="005C3ECE" w:rsidRDefault="008C4914">
            <w:pPr>
              <w:pStyle w:val="Normal6a"/>
              <w:rPr>
                <w:szCs w:val="24"/>
              </w:rPr>
            </w:pPr>
            <w:r>
              <w:rPr>
                <w:b/>
                <w:i/>
              </w:rPr>
              <w:t>-1 ter)</w:t>
            </w:r>
            <w:r>
              <w:rPr>
                <w:b/>
                <w:i/>
              </w:rPr>
              <w:tab/>
              <w:t>À l’article 3, la partie introductive est remplacée par le texte suivant:</w:t>
            </w:r>
          </w:p>
        </w:tc>
      </w:tr>
      <w:tr w:rsidR="008C4914" w:rsidTr="001300C6">
        <w:trPr>
          <w:jc w:val="center"/>
        </w:trPr>
        <w:tc>
          <w:tcPr>
            <w:tcW w:w="4876" w:type="dxa"/>
          </w:tcPr>
          <w:p w:rsidR="008C4914" w:rsidRPr="005C3ECE" w:rsidRDefault="008C4914" w:rsidP="001300C6">
            <w:pPr>
              <w:pStyle w:val="Normal6a"/>
            </w:pPr>
            <w:r>
              <w:t>Les produits de base en cause et les produits en cause ne sont pas mis sur le marché ou mis à disposition sur le marché ou exportés, à moins que toutes les conditions suivantes ne soient remplies:</w:t>
            </w:r>
          </w:p>
        </w:tc>
        <w:tc>
          <w:tcPr>
            <w:tcW w:w="4876" w:type="dxa"/>
          </w:tcPr>
          <w:p w:rsidR="008C4914" w:rsidRPr="005C3ECE" w:rsidRDefault="008C4914">
            <w:pPr>
              <w:pStyle w:val="Normal6a"/>
              <w:rPr>
                <w:b/>
                <w:i/>
                <w:szCs w:val="24"/>
              </w:rPr>
            </w:pPr>
            <w:r>
              <w:rPr>
                <w:b/>
                <w:i/>
              </w:rPr>
              <w:t>«1.</w:t>
            </w:r>
            <w:r>
              <w:t xml:space="preserve"> </w:t>
            </w:r>
            <w:r>
              <w:tab/>
              <w:t xml:space="preserve">Les produits de base en cause et les produits en cause </w:t>
            </w:r>
            <w:r>
              <w:rPr>
                <w:b/>
                <w:i/>
              </w:rPr>
              <w:t xml:space="preserve">provenant de pays ou de parties de pays </w:t>
            </w:r>
            <w:r w:rsidR="00B62A58">
              <w:rPr>
                <w:b/>
                <w:i/>
              </w:rPr>
              <w:t>présentant</w:t>
            </w:r>
            <w:r>
              <w:rPr>
                <w:b/>
                <w:i/>
              </w:rPr>
              <w:t xml:space="preserve"> un risque faible, standard ou élevé </w:t>
            </w:r>
            <w:r w:rsidR="00B62A58">
              <w:rPr>
                <w:b/>
                <w:i/>
              </w:rPr>
              <w:t>conformément à</w:t>
            </w:r>
            <w:r>
              <w:rPr>
                <w:b/>
                <w:i/>
              </w:rPr>
              <w:t xml:space="preserve"> l’article 29</w:t>
            </w:r>
            <w:r>
              <w:t xml:space="preserve"> ne sont pas mis sur le marché ou mis à disposition sur le marché ou exportés, à moins que toutes les conditions suivantes ne soient remplies:</w:t>
            </w:r>
            <w:r w:rsidRPr="003A0447">
              <w:rPr>
                <w:b/>
                <w:i/>
              </w:rPr>
              <w:t>»</w:t>
            </w:r>
            <w:r w:rsidR="005D3F9C">
              <w:rPr>
                <w:b/>
                <w:i/>
              </w:rPr>
              <w:t>.</w:t>
            </w:r>
          </w:p>
        </w:tc>
      </w:tr>
    </w:tbl>
    <w:p w:rsidR="008C4914" w:rsidRDefault="008C4914">
      <w:pPr>
        <w:rPr>
          <w:rFonts w:eastAsia="Calibri"/>
          <w:b/>
          <w:lang w:val="fr-BE"/>
        </w:rPr>
      </w:pPr>
    </w:p>
    <w:p w:rsidR="008C4914" w:rsidRDefault="008C4914">
      <w:pPr>
        <w:rPr>
          <w:rFonts w:eastAsia="Calibri"/>
          <w:b/>
          <w:lang w:val="fr-BE"/>
        </w:rPr>
      </w:pPr>
      <w:r>
        <w:rPr>
          <w:rFonts w:eastAsia="Calibri"/>
          <w:b/>
          <w:lang w:val="fr-BE"/>
        </w:rPr>
        <w:t>Amendement 6</w:t>
      </w:r>
    </w:p>
    <w:p w:rsidR="008C4914" w:rsidRDefault="008C4914" w:rsidP="008C4914">
      <w:pPr>
        <w:pStyle w:val="NormalBold"/>
        <w:rPr>
          <w:lang w:val="fr-FR"/>
        </w:rPr>
      </w:pPr>
    </w:p>
    <w:p w:rsidR="008C4914" w:rsidRPr="008C4914" w:rsidRDefault="008C4914" w:rsidP="008C4914">
      <w:pPr>
        <w:pStyle w:val="NormalBold"/>
        <w:rPr>
          <w:lang w:val="fr-FR"/>
        </w:rPr>
      </w:pPr>
      <w:r w:rsidRPr="008C4914">
        <w:rPr>
          <w:lang w:val="fr-FR"/>
        </w:rPr>
        <w:t>Proposition de règlement</w:t>
      </w:r>
    </w:p>
    <w:p w:rsidR="008C4914" w:rsidRDefault="008C4914" w:rsidP="008C4914">
      <w:pPr>
        <w:pStyle w:val="NormalBold"/>
        <w:rPr>
          <w:lang w:val="fr-FR"/>
        </w:rPr>
      </w:pPr>
      <w:r w:rsidRPr="008C4914">
        <w:rPr>
          <w:lang w:val="fr-FR"/>
        </w:rPr>
        <w:t xml:space="preserve">Article 1 – </w:t>
      </w:r>
      <w:r w:rsidR="00A91F89">
        <w:rPr>
          <w:lang w:val="fr-FR"/>
        </w:rPr>
        <w:t>alinéa</w:t>
      </w:r>
      <w:r w:rsidRPr="008C4914">
        <w:rPr>
          <w:lang w:val="fr-FR"/>
        </w:rPr>
        <w:t> 1 – point -1 </w:t>
      </w:r>
      <w:r>
        <w:rPr>
          <w:lang w:val="fr-FR"/>
        </w:rPr>
        <w:t>quater</w:t>
      </w:r>
      <w:r w:rsidRPr="008C4914">
        <w:rPr>
          <w:lang w:val="fr-FR"/>
        </w:rPr>
        <w:t> (nouveau</w:t>
      </w:r>
      <w:r>
        <w:rPr>
          <w:lang w:val="fr-FR"/>
        </w:rPr>
        <w:t>)</w:t>
      </w:r>
    </w:p>
    <w:p w:rsidR="008C4914" w:rsidRPr="00606A42" w:rsidRDefault="008C4914" w:rsidP="008C4914">
      <w:pPr>
        <w:pStyle w:val="NormalBold"/>
        <w:rPr>
          <w:b w:val="0"/>
          <w:lang w:val="fr-FR"/>
        </w:rPr>
      </w:pPr>
      <w:r w:rsidRPr="00606A42">
        <w:rPr>
          <w:b w:val="0"/>
          <w:lang w:val="fr-FR"/>
        </w:rPr>
        <w:t>Règlement (UE) 2023/1115</w:t>
      </w:r>
    </w:p>
    <w:p w:rsidR="008C4914" w:rsidRPr="005C3ECE" w:rsidRDefault="008C4914" w:rsidP="008C4914">
      <w:r>
        <w:t>Article 3 – paragraphe 1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4914" w:rsidTr="001300C6">
        <w:trPr>
          <w:jc w:val="center"/>
        </w:trPr>
        <w:tc>
          <w:tcPr>
            <w:tcW w:w="9752" w:type="dxa"/>
            <w:gridSpan w:val="2"/>
          </w:tcPr>
          <w:p w:rsidR="008C4914" w:rsidRPr="005C3ECE" w:rsidRDefault="008C4914" w:rsidP="001300C6">
            <w:pPr>
              <w:keepNext/>
            </w:pPr>
          </w:p>
        </w:tc>
      </w:tr>
      <w:tr w:rsidR="008C4914" w:rsidTr="001300C6">
        <w:trPr>
          <w:jc w:val="center"/>
        </w:trPr>
        <w:tc>
          <w:tcPr>
            <w:tcW w:w="4876" w:type="dxa"/>
          </w:tcPr>
          <w:p w:rsidR="008C4914" w:rsidRPr="005C3ECE" w:rsidRDefault="008C4914" w:rsidP="001300C6">
            <w:pPr>
              <w:pStyle w:val="AmColumnHeading"/>
              <w:keepNext/>
            </w:pPr>
            <w:r>
              <w:t>Texte proposé par la Commission</w:t>
            </w:r>
          </w:p>
        </w:tc>
        <w:tc>
          <w:tcPr>
            <w:tcW w:w="4876" w:type="dxa"/>
          </w:tcPr>
          <w:p w:rsidR="008C4914" w:rsidRPr="005C3ECE" w:rsidRDefault="008C4914" w:rsidP="001300C6">
            <w:pPr>
              <w:pStyle w:val="AmColumnHeading"/>
              <w:keepNext/>
            </w:pPr>
            <w:r>
              <w:t>Amendement</w:t>
            </w:r>
          </w:p>
        </w:tc>
      </w:tr>
      <w:tr w:rsidR="008C4914" w:rsidTr="001300C6">
        <w:trPr>
          <w:jc w:val="center"/>
        </w:trPr>
        <w:tc>
          <w:tcPr>
            <w:tcW w:w="4876" w:type="dxa"/>
          </w:tcPr>
          <w:p w:rsidR="008C4914" w:rsidRPr="005C3ECE" w:rsidRDefault="008C4914" w:rsidP="001300C6">
            <w:pPr>
              <w:pStyle w:val="Normal6a"/>
            </w:pPr>
          </w:p>
        </w:tc>
        <w:tc>
          <w:tcPr>
            <w:tcW w:w="4876" w:type="dxa"/>
          </w:tcPr>
          <w:p w:rsidR="008C4914" w:rsidRPr="005C3ECE" w:rsidRDefault="008C4914">
            <w:pPr>
              <w:pStyle w:val="Normal6a"/>
              <w:rPr>
                <w:szCs w:val="24"/>
              </w:rPr>
            </w:pPr>
            <w:r>
              <w:rPr>
                <w:b/>
                <w:i/>
              </w:rPr>
              <w:t>-1 quater)</w:t>
            </w:r>
            <w:r>
              <w:rPr>
                <w:b/>
                <w:i/>
              </w:rPr>
              <w:tab/>
              <w:t>À l’article 3, le paragraphe suivant est ajouté:</w:t>
            </w:r>
          </w:p>
        </w:tc>
      </w:tr>
      <w:tr w:rsidR="008C4914" w:rsidTr="001300C6">
        <w:trPr>
          <w:jc w:val="center"/>
        </w:trPr>
        <w:tc>
          <w:tcPr>
            <w:tcW w:w="4876" w:type="dxa"/>
          </w:tcPr>
          <w:p w:rsidR="008C4914" w:rsidRPr="005C3ECE" w:rsidRDefault="008C4914" w:rsidP="001300C6">
            <w:pPr>
              <w:pStyle w:val="Normal6a"/>
            </w:pPr>
          </w:p>
        </w:tc>
        <w:tc>
          <w:tcPr>
            <w:tcW w:w="4876" w:type="dxa"/>
          </w:tcPr>
          <w:p w:rsidR="008C4914" w:rsidRPr="005C3ECE" w:rsidRDefault="008C4914">
            <w:pPr>
              <w:pStyle w:val="Normal6a"/>
              <w:rPr>
                <w:b/>
                <w:i/>
                <w:szCs w:val="24"/>
              </w:rPr>
            </w:pPr>
            <w:r>
              <w:rPr>
                <w:b/>
                <w:i/>
              </w:rPr>
              <w:t xml:space="preserve">«1 bis. </w:t>
            </w:r>
            <w:r>
              <w:rPr>
                <w:b/>
                <w:i/>
              </w:rPr>
              <w:tab/>
              <w:t xml:space="preserve">Les produits de base en cause et les produits en cause provenant de pays ou de parties de pays </w:t>
            </w:r>
            <w:r w:rsidR="00B62A58">
              <w:rPr>
                <w:b/>
                <w:i/>
              </w:rPr>
              <w:t>présentant</w:t>
            </w:r>
            <w:r>
              <w:rPr>
                <w:b/>
                <w:i/>
              </w:rPr>
              <w:t xml:space="preserve"> un risque </w:t>
            </w:r>
            <w:r w:rsidR="00B62A58">
              <w:rPr>
                <w:b/>
                <w:i/>
              </w:rPr>
              <w:t>nul</w:t>
            </w:r>
            <w:r>
              <w:rPr>
                <w:b/>
                <w:i/>
              </w:rPr>
              <w:t xml:space="preserve"> </w:t>
            </w:r>
            <w:r w:rsidR="00B62A58">
              <w:rPr>
                <w:b/>
                <w:i/>
              </w:rPr>
              <w:t>conformément à</w:t>
            </w:r>
            <w:r>
              <w:rPr>
                <w:b/>
                <w:i/>
              </w:rPr>
              <w:t xml:space="preserve"> l’article 29 ne sont pas mis sur le marché ou mis à disposition sur le marché ou exportés, à moins que toutes les conditions suivantes ne soient remplies:</w:t>
            </w:r>
          </w:p>
        </w:tc>
      </w:tr>
      <w:tr w:rsidR="008C4914" w:rsidTr="001300C6">
        <w:trPr>
          <w:jc w:val="center"/>
        </w:trPr>
        <w:tc>
          <w:tcPr>
            <w:tcW w:w="4876" w:type="dxa"/>
          </w:tcPr>
          <w:p w:rsidR="008C4914" w:rsidRPr="005C3ECE" w:rsidRDefault="008C4914" w:rsidP="001300C6">
            <w:pPr>
              <w:pStyle w:val="Normal6a"/>
            </w:pPr>
          </w:p>
        </w:tc>
        <w:tc>
          <w:tcPr>
            <w:tcW w:w="4876" w:type="dxa"/>
          </w:tcPr>
          <w:p w:rsidR="008C4914" w:rsidRPr="005C3ECE" w:rsidRDefault="008C4914" w:rsidP="001300C6">
            <w:pPr>
              <w:pStyle w:val="Normal6a"/>
              <w:rPr>
                <w:b/>
                <w:i/>
                <w:szCs w:val="24"/>
              </w:rPr>
            </w:pPr>
            <w:r>
              <w:rPr>
                <w:b/>
                <w:i/>
              </w:rPr>
              <w:t xml:space="preserve">a) </w:t>
            </w:r>
            <w:r>
              <w:rPr>
                <w:b/>
                <w:i/>
              </w:rPr>
              <w:tab/>
              <w:t>ils ont été produits conformément à la législation pertinente du pays de production; et</w:t>
            </w:r>
          </w:p>
        </w:tc>
      </w:tr>
      <w:tr w:rsidR="008C4914" w:rsidTr="001300C6">
        <w:trPr>
          <w:jc w:val="center"/>
        </w:trPr>
        <w:tc>
          <w:tcPr>
            <w:tcW w:w="4876" w:type="dxa"/>
          </w:tcPr>
          <w:p w:rsidR="008C4914" w:rsidRPr="005C3ECE" w:rsidRDefault="008C4914" w:rsidP="001300C6">
            <w:pPr>
              <w:pStyle w:val="Normal6a"/>
            </w:pPr>
          </w:p>
        </w:tc>
        <w:tc>
          <w:tcPr>
            <w:tcW w:w="4876" w:type="dxa"/>
          </w:tcPr>
          <w:p w:rsidR="008C4914" w:rsidRPr="005C3ECE" w:rsidRDefault="008C4914" w:rsidP="001300C6">
            <w:pPr>
              <w:pStyle w:val="Normal6a"/>
              <w:rPr>
                <w:b/>
                <w:i/>
                <w:szCs w:val="24"/>
              </w:rPr>
            </w:pPr>
            <w:r>
              <w:rPr>
                <w:b/>
                <w:i/>
              </w:rPr>
              <w:t xml:space="preserve">b) </w:t>
            </w:r>
            <w:r>
              <w:rPr>
                <w:b/>
                <w:i/>
              </w:rPr>
              <w:tab/>
              <w:t>ils répondent aux exigences en matière de documentation fixées à l'article 5, paragraphe 1 bis</w:t>
            </w:r>
            <w:r w:rsidR="00A91F89">
              <w:rPr>
                <w:b/>
                <w:i/>
              </w:rPr>
              <w:t>.</w:t>
            </w:r>
            <w:r>
              <w:rPr>
                <w:b/>
                <w:i/>
              </w:rPr>
              <w:t>»</w:t>
            </w:r>
            <w:r w:rsidR="005D3F9C">
              <w:rPr>
                <w:b/>
                <w:i/>
              </w:rPr>
              <w:t>.</w:t>
            </w:r>
          </w:p>
        </w:tc>
      </w:tr>
    </w:tbl>
    <w:p w:rsidR="008C4914" w:rsidRDefault="008C4914" w:rsidP="008C4914">
      <w:pPr>
        <w:pStyle w:val="NormalBold"/>
        <w:rPr>
          <w:rStyle w:val="HideTWBExt"/>
          <w:b w:val="0"/>
          <w:lang w:val="fr-FR"/>
        </w:rPr>
      </w:pPr>
    </w:p>
    <w:p w:rsidR="008C4914" w:rsidRDefault="008C4914" w:rsidP="008C4914">
      <w:pPr>
        <w:pStyle w:val="NormalBold"/>
        <w:rPr>
          <w:lang w:val="fr-FR"/>
        </w:rPr>
      </w:pPr>
      <w:r>
        <w:rPr>
          <w:lang w:val="fr-FR"/>
        </w:rPr>
        <w:t>Amendement 7</w:t>
      </w:r>
    </w:p>
    <w:p w:rsidR="008C4914" w:rsidRDefault="008C4914" w:rsidP="008C4914">
      <w:pPr>
        <w:pStyle w:val="NormalBold"/>
        <w:rPr>
          <w:lang w:val="fr-FR"/>
        </w:rPr>
      </w:pPr>
    </w:p>
    <w:p w:rsidR="008C4914" w:rsidRPr="008C4914" w:rsidRDefault="008C4914" w:rsidP="008C4914">
      <w:pPr>
        <w:pStyle w:val="NormalBold"/>
        <w:rPr>
          <w:lang w:val="fr-FR"/>
        </w:rPr>
      </w:pPr>
      <w:r w:rsidRPr="008C4914">
        <w:rPr>
          <w:lang w:val="fr-FR"/>
        </w:rPr>
        <w:t>Proposition de règlement</w:t>
      </w:r>
    </w:p>
    <w:p w:rsidR="008C4914" w:rsidRPr="008C4914" w:rsidRDefault="008C4914" w:rsidP="008C4914">
      <w:pPr>
        <w:pStyle w:val="NormalBold"/>
        <w:rPr>
          <w:lang w:val="fr-FR"/>
        </w:rPr>
      </w:pPr>
      <w:r w:rsidRPr="008C4914">
        <w:rPr>
          <w:lang w:val="fr-FR"/>
        </w:rPr>
        <w:lastRenderedPageBreak/>
        <w:t xml:space="preserve">Article 1 – </w:t>
      </w:r>
      <w:r w:rsidR="00A91F89">
        <w:rPr>
          <w:lang w:val="fr-FR"/>
        </w:rPr>
        <w:t>alinéa</w:t>
      </w:r>
      <w:r w:rsidRPr="008C4914">
        <w:rPr>
          <w:lang w:val="fr-FR"/>
        </w:rPr>
        <w:t> 1 – point -1 </w:t>
      </w:r>
      <w:proofErr w:type="spellStart"/>
      <w:r>
        <w:rPr>
          <w:lang w:val="fr-FR"/>
        </w:rPr>
        <w:t>quinquies</w:t>
      </w:r>
      <w:proofErr w:type="spellEnd"/>
      <w:r w:rsidRPr="008C4914">
        <w:rPr>
          <w:lang w:val="fr-FR"/>
        </w:rPr>
        <w:t> (nouveau)</w:t>
      </w:r>
    </w:p>
    <w:p w:rsidR="008C4914" w:rsidRPr="005C3ECE" w:rsidRDefault="008C4914" w:rsidP="008C4914">
      <w:r>
        <w:t>Règlement (UE) 2023/1115</w:t>
      </w:r>
    </w:p>
    <w:p w:rsidR="008C4914" w:rsidRPr="005C3ECE" w:rsidRDefault="008C4914" w:rsidP="008C4914">
      <w:r>
        <w:t>Article 4 – paragraphe 10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4914" w:rsidTr="001300C6">
        <w:trPr>
          <w:jc w:val="center"/>
        </w:trPr>
        <w:tc>
          <w:tcPr>
            <w:tcW w:w="9752" w:type="dxa"/>
            <w:gridSpan w:val="2"/>
          </w:tcPr>
          <w:p w:rsidR="008C4914" w:rsidRPr="005C3ECE" w:rsidRDefault="008C4914" w:rsidP="001300C6">
            <w:pPr>
              <w:keepNext/>
            </w:pPr>
          </w:p>
        </w:tc>
      </w:tr>
      <w:tr w:rsidR="008C4914" w:rsidTr="001300C6">
        <w:trPr>
          <w:jc w:val="center"/>
        </w:trPr>
        <w:tc>
          <w:tcPr>
            <w:tcW w:w="4876" w:type="dxa"/>
          </w:tcPr>
          <w:p w:rsidR="008C4914" w:rsidRPr="005C3ECE" w:rsidRDefault="008C4914" w:rsidP="001300C6">
            <w:pPr>
              <w:pStyle w:val="AmColumnHeading"/>
              <w:keepNext/>
            </w:pPr>
            <w:r>
              <w:t>Texte proposé par la Commission</w:t>
            </w:r>
          </w:p>
        </w:tc>
        <w:tc>
          <w:tcPr>
            <w:tcW w:w="4876" w:type="dxa"/>
          </w:tcPr>
          <w:p w:rsidR="008C4914" w:rsidRPr="005C3ECE" w:rsidRDefault="008C4914" w:rsidP="001300C6">
            <w:pPr>
              <w:pStyle w:val="AmColumnHeading"/>
              <w:keepNext/>
            </w:pPr>
            <w:r>
              <w:t>Amendement</w:t>
            </w:r>
          </w:p>
        </w:tc>
      </w:tr>
      <w:tr w:rsidR="008C4914" w:rsidTr="001300C6">
        <w:trPr>
          <w:jc w:val="center"/>
        </w:trPr>
        <w:tc>
          <w:tcPr>
            <w:tcW w:w="4876" w:type="dxa"/>
          </w:tcPr>
          <w:p w:rsidR="008C4914" w:rsidRPr="005C3ECE" w:rsidRDefault="008C4914" w:rsidP="001300C6">
            <w:pPr>
              <w:pStyle w:val="Normal6a"/>
            </w:pPr>
          </w:p>
        </w:tc>
        <w:tc>
          <w:tcPr>
            <w:tcW w:w="4876" w:type="dxa"/>
          </w:tcPr>
          <w:p w:rsidR="008C4914" w:rsidRPr="005C3ECE" w:rsidRDefault="008C4914">
            <w:pPr>
              <w:pStyle w:val="Normal6a"/>
              <w:rPr>
                <w:szCs w:val="24"/>
              </w:rPr>
            </w:pPr>
            <w:r>
              <w:rPr>
                <w:b/>
                <w:i/>
              </w:rPr>
              <w:t>-1 </w:t>
            </w:r>
            <w:proofErr w:type="spellStart"/>
            <w:r>
              <w:rPr>
                <w:b/>
                <w:i/>
              </w:rPr>
              <w:t>quinquies</w:t>
            </w:r>
            <w:proofErr w:type="spellEnd"/>
            <w:r>
              <w:rPr>
                <w:b/>
                <w:i/>
              </w:rPr>
              <w:t>)</w:t>
            </w:r>
            <w:r>
              <w:rPr>
                <w:b/>
                <w:i/>
              </w:rPr>
              <w:tab/>
              <w:t>À l’article 4, le paragraphe suivant est ajouté:</w:t>
            </w:r>
          </w:p>
        </w:tc>
      </w:tr>
      <w:tr w:rsidR="008C4914" w:rsidTr="001300C6">
        <w:trPr>
          <w:jc w:val="center"/>
        </w:trPr>
        <w:tc>
          <w:tcPr>
            <w:tcW w:w="4876" w:type="dxa"/>
          </w:tcPr>
          <w:p w:rsidR="008C4914" w:rsidRPr="005C3ECE" w:rsidRDefault="008C4914" w:rsidP="001300C6">
            <w:pPr>
              <w:pStyle w:val="Normal6a"/>
            </w:pPr>
          </w:p>
        </w:tc>
        <w:tc>
          <w:tcPr>
            <w:tcW w:w="4876" w:type="dxa"/>
          </w:tcPr>
          <w:p w:rsidR="008C4914" w:rsidRPr="005C3ECE" w:rsidRDefault="008C4914">
            <w:pPr>
              <w:pStyle w:val="Normal6a"/>
              <w:rPr>
                <w:b/>
                <w:i/>
                <w:szCs w:val="24"/>
              </w:rPr>
            </w:pPr>
            <w:r>
              <w:rPr>
                <w:b/>
                <w:i/>
              </w:rPr>
              <w:t xml:space="preserve">«10 bis. </w:t>
            </w:r>
            <w:r>
              <w:rPr>
                <w:b/>
                <w:i/>
              </w:rPr>
              <w:tab/>
              <w:t xml:space="preserve">Par dérogation aux paragraphes 1 à 10 du présent article, les opérateurs qui mettent sur le marché ou mettent à disposition sur le marché ou exportent des produits de base en cause et des produits en cause </w:t>
            </w:r>
            <w:r w:rsidR="00B62A58">
              <w:rPr>
                <w:b/>
                <w:i/>
              </w:rPr>
              <w:t>qui ont été produits</w:t>
            </w:r>
            <w:r>
              <w:rPr>
                <w:b/>
                <w:i/>
              </w:rPr>
              <w:t xml:space="preserve"> dans des pays ou des parties de pays </w:t>
            </w:r>
            <w:r w:rsidR="00B62A58">
              <w:rPr>
                <w:b/>
                <w:i/>
              </w:rPr>
              <w:t>présentant</w:t>
            </w:r>
            <w:r>
              <w:rPr>
                <w:b/>
                <w:i/>
              </w:rPr>
              <w:t xml:space="preserve"> un risque nul</w:t>
            </w:r>
            <w:r w:rsidR="00B62A58">
              <w:rPr>
                <w:b/>
                <w:i/>
              </w:rPr>
              <w:t xml:space="preserve"> conformément à l’article 29</w:t>
            </w:r>
            <w:r>
              <w:rPr>
                <w:b/>
                <w:i/>
              </w:rPr>
              <w:t xml:space="preserve"> sont uniquement tenus de répondre aux exigences en matière de documentation énoncées à l’article 5, paragraphe 1 bis. Pour les produits en cause et les parties de produits en cause qui ont été </w:t>
            </w:r>
            <w:r w:rsidR="00B62A58">
              <w:rPr>
                <w:b/>
                <w:i/>
              </w:rPr>
              <w:t>produits</w:t>
            </w:r>
            <w:r>
              <w:rPr>
                <w:b/>
                <w:i/>
              </w:rPr>
              <w:t xml:space="preserve"> dans des pays ou des parties de pays </w:t>
            </w:r>
            <w:r w:rsidR="00B62A58">
              <w:rPr>
                <w:b/>
                <w:i/>
              </w:rPr>
              <w:t>présentant</w:t>
            </w:r>
            <w:r>
              <w:rPr>
                <w:b/>
                <w:i/>
              </w:rPr>
              <w:t xml:space="preserve"> un risque nul</w:t>
            </w:r>
            <w:r w:rsidR="00B62A58">
              <w:rPr>
                <w:b/>
                <w:i/>
              </w:rPr>
              <w:t xml:space="preserve"> conformément à l’article 29</w:t>
            </w:r>
            <w:r>
              <w:rPr>
                <w:b/>
                <w:i/>
              </w:rPr>
              <w:t>, les opérateurs exercent la diligence raisonnée conformément au paragraphe 1 du présent article.»</w:t>
            </w:r>
            <w:r w:rsidR="005D3F9C">
              <w:rPr>
                <w:b/>
                <w:i/>
              </w:rPr>
              <w:t>.</w:t>
            </w:r>
          </w:p>
        </w:tc>
      </w:tr>
    </w:tbl>
    <w:p w:rsidR="008C4914" w:rsidRPr="008C4914" w:rsidRDefault="008C4914">
      <w:pPr>
        <w:rPr>
          <w:rFonts w:eastAsia="Calibri"/>
          <w:b/>
        </w:rPr>
      </w:pPr>
    </w:p>
    <w:p w:rsidR="008C4914" w:rsidRDefault="008C4914">
      <w:pPr>
        <w:rPr>
          <w:rFonts w:eastAsia="Calibri"/>
          <w:b/>
          <w:lang w:val="fr-BE"/>
        </w:rPr>
      </w:pPr>
      <w:r>
        <w:rPr>
          <w:rFonts w:eastAsia="Calibri"/>
          <w:b/>
          <w:lang w:val="fr-BE"/>
        </w:rPr>
        <w:t>Amendement 9</w:t>
      </w:r>
    </w:p>
    <w:p w:rsidR="008C4914" w:rsidRDefault="008C4914">
      <w:pPr>
        <w:rPr>
          <w:rFonts w:eastAsia="Calibri"/>
          <w:b/>
          <w:lang w:val="fr-BE"/>
        </w:rPr>
      </w:pPr>
    </w:p>
    <w:p w:rsidR="008C4914" w:rsidRPr="008C4914" w:rsidRDefault="008C4914" w:rsidP="008C4914">
      <w:pPr>
        <w:pStyle w:val="NormalBold"/>
        <w:rPr>
          <w:lang w:val="fr-FR"/>
        </w:rPr>
      </w:pPr>
      <w:r w:rsidRPr="008C4914">
        <w:rPr>
          <w:lang w:val="fr-FR"/>
        </w:rPr>
        <w:t>Proposition de règlement</w:t>
      </w:r>
    </w:p>
    <w:p w:rsidR="008C4914" w:rsidRPr="008C4914" w:rsidRDefault="008C4914" w:rsidP="008C4914">
      <w:pPr>
        <w:pStyle w:val="NormalBold"/>
        <w:rPr>
          <w:lang w:val="fr-FR"/>
        </w:rPr>
      </w:pPr>
      <w:r w:rsidRPr="008C4914">
        <w:rPr>
          <w:lang w:val="fr-FR"/>
        </w:rPr>
        <w:t xml:space="preserve">Article 1 – </w:t>
      </w:r>
      <w:r w:rsidR="00A91F89">
        <w:rPr>
          <w:lang w:val="fr-FR"/>
        </w:rPr>
        <w:t>alinéa</w:t>
      </w:r>
      <w:r w:rsidRPr="008C4914">
        <w:rPr>
          <w:lang w:val="fr-FR"/>
        </w:rPr>
        <w:t> 1 – point -1 </w:t>
      </w:r>
      <w:proofErr w:type="spellStart"/>
      <w:r>
        <w:rPr>
          <w:lang w:val="fr-FR"/>
        </w:rPr>
        <w:t>sexies</w:t>
      </w:r>
      <w:proofErr w:type="spellEnd"/>
      <w:r w:rsidRPr="008C4914">
        <w:rPr>
          <w:lang w:val="fr-FR"/>
        </w:rPr>
        <w:t> (nouveau)</w:t>
      </w:r>
    </w:p>
    <w:p w:rsidR="008C4914" w:rsidRPr="005C3ECE" w:rsidRDefault="008C4914" w:rsidP="008C4914">
      <w:r>
        <w:t>Règlement (UE) 2023/1115</w:t>
      </w:r>
    </w:p>
    <w:p w:rsidR="008C4914" w:rsidRPr="005C3ECE" w:rsidRDefault="008C4914" w:rsidP="008C4914">
      <w:r>
        <w:t>Article 5 – paragraphe 1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4914" w:rsidTr="001300C6">
        <w:trPr>
          <w:jc w:val="center"/>
        </w:trPr>
        <w:tc>
          <w:tcPr>
            <w:tcW w:w="9752" w:type="dxa"/>
            <w:gridSpan w:val="2"/>
          </w:tcPr>
          <w:p w:rsidR="008C4914" w:rsidRPr="005C3ECE" w:rsidRDefault="008C4914" w:rsidP="001300C6">
            <w:pPr>
              <w:keepNext/>
            </w:pPr>
          </w:p>
        </w:tc>
      </w:tr>
      <w:tr w:rsidR="008C4914" w:rsidTr="001300C6">
        <w:trPr>
          <w:jc w:val="center"/>
        </w:trPr>
        <w:tc>
          <w:tcPr>
            <w:tcW w:w="4876" w:type="dxa"/>
          </w:tcPr>
          <w:p w:rsidR="008C4914" w:rsidRPr="005C3ECE" w:rsidRDefault="008C4914" w:rsidP="001300C6">
            <w:pPr>
              <w:pStyle w:val="AmColumnHeading"/>
              <w:keepNext/>
            </w:pPr>
            <w:r>
              <w:t>Texte proposé par la Commission</w:t>
            </w:r>
          </w:p>
        </w:tc>
        <w:tc>
          <w:tcPr>
            <w:tcW w:w="4876" w:type="dxa"/>
          </w:tcPr>
          <w:p w:rsidR="008C4914" w:rsidRPr="005C3ECE" w:rsidRDefault="008C4914" w:rsidP="001300C6">
            <w:pPr>
              <w:pStyle w:val="AmColumnHeading"/>
              <w:keepNext/>
            </w:pPr>
            <w:r>
              <w:t>Amendement</w:t>
            </w:r>
          </w:p>
        </w:tc>
      </w:tr>
      <w:tr w:rsidR="008C4914" w:rsidTr="001300C6">
        <w:trPr>
          <w:jc w:val="center"/>
        </w:trPr>
        <w:tc>
          <w:tcPr>
            <w:tcW w:w="4876" w:type="dxa"/>
          </w:tcPr>
          <w:p w:rsidR="008C4914" w:rsidRPr="005C3ECE" w:rsidRDefault="008C4914" w:rsidP="001300C6">
            <w:pPr>
              <w:pStyle w:val="Normal6a"/>
            </w:pPr>
          </w:p>
        </w:tc>
        <w:tc>
          <w:tcPr>
            <w:tcW w:w="4876" w:type="dxa"/>
          </w:tcPr>
          <w:p w:rsidR="008C4914" w:rsidRPr="005C3ECE" w:rsidRDefault="008C4914">
            <w:pPr>
              <w:pStyle w:val="Normal6a"/>
              <w:rPr>
                <w:szCs w:val="24"/>
              </w:rPr>
            </w:pPr>
            <w:r>
              <w:rPr>
                <w:b/>
                <w:i/>
              </w:rPr>
              <w:t>1 </w:t>
            </w:r>
            <w:proofErr w:type="spellStart"/>
            <w:r>
              <w:rPr>
                <w:b/>
                <w:i/>
              </w:rPr>
              <w:t>sexies</w:t>
            </w:r>
            <w:proofErr w:type="spellEnd"/>
            <w:r>
              <w:rPr>
                <w:b/>
                <w:i/>
              </w:rPr>
              <w:t>)</w:t>
            </w:r>
            <w:r>
              <w:rPr>
                <w:b/>
                <w:i/>
              </w:rPr>
              <w:tab/>
              <w:t>À l'article 5, le paragraphe suivant est inséré:</w:t>
            </w:r>
          </w:p>
        </w:tc>
      </w:tr>
      <w:tr w:rsidR="008C4914" w:rsidTr="001300C6">
        <w:trPr>
          <w:jc w:val="center"/>
        </w:trPr>
        <w:tc>
          <w:tcPr>
            <w:tcW w:w="4876" w:type="dxa"/>
          </w:tcPr>
          <w:p w:rsidR="008C4914" w:rsidRPr="005C3ECE" w:rsidRDefault="008C4914" w:rsidP="001300C6">
            <w:pPr>
              <w:pStyle w:val="Normal6a"/>
            </w:pPr>
          </w:p>
        </w:tc>
        <w:tc>
          <w:tcPr>
            <w:tcW w:w="4876" w:type="dxa"/>
          </w:tcPr>
          <w:p w:rsidR="008C4914" w:rsidRPr="005C3ECE" w:rsidRDefault="008C4914">
            <w:pPr>
              <w:pStyle w:val="Normal6a"/>
              <w:rPr>
                <w:b/>
                <w:i/>
                <w:szCs w:val="24"/>
              </w:rPr>
            </w:pPr>
            <w:r>
              <w:rPr>
                <w:b/>
                <w:i/>
              </w:rPr>
              <w:t xml:space="preserve">«1 bis. </w:t>
            </w:r>
            <w:r>
              <w:rPr>
                <w:b/>
                <w:i/>
              </w:rPr>
              <w:tab/>
              <w:t xml:space="preserve">Les opérateurs qui mettent sur le marché ou mettent à disposition sur le marché ou exportent des produits de base en cause et des produits en cause </w:t>
            </w:r>
            <w:r w:rsidR="00B62A58">
              <w:rPr>
                <w:b/>
                <w:i/>
              </w:rPr>
              <w:t>qui ont été produits</w:t>
            </w:r>
            <w:r>
              <w:rPr>
                <w:b/>
                <w:i/>
              </w:rPr>
              <w:t xml:space="preserve"> dans des pays ou des parties de pays  présent</w:t>
            </w:r>
            <w:r w:rsidR="00B62A58">
              <w:rPr>
                <w:b/>
                <w:i/>
              </w:rPr>
              <w:t>a</w:t>
            </w:r>
            <w:r>
              <w:rPr>
                <w:b/>
                <w:i/>
              </w:rPr>
              <w:t>nt un risque nul</w:t>
            </w:r>
            <w:r w:rsidR="00B62A58">
              <w:rPr>
                <w:b/>
                <w:i/>
              </w:rPr>
              <w:t xml:space="preserve"> conformément à l’article 29</w:t>
            </w:r>
            <w:r>
              <w:rPr>
                <w:b/>
                <w:i/>
              </w:rPr>
              <w:t xml:space="preserve"> répondent aux exigences en matière de documentation en fournissant les documents suivants aux autorités compétentes</w:t>
            </w:r>
            <w:r w:rsidR="00A91F89">
              <w:rPr>
                <w:b/>
                <w:i/>
              </w:rPr>
              <w:t>,</w:t>
            </w:r>
            <w:r>
              <w:rPr>
                <w:b/>
                <w:i/>
              </w:rPr>
              <w:t xml:space="preserve"> sur demande:</w:t>
            </w:r>
          </w:p>
        </w:tc>
      </w:tr>
      <w:tr w:rsidR="008C4914" w:rsidTr="001300C6">
        <w:trPr>
          <w:jc w:val="center"/>
        </w:trPr>
        <w:tc>
          <w:tcPr>
            <w:tcW w:w="4876" w:type="dxa"/>
          </w:tcPr>
          <w:p w:rsidR="008C4914" w:rsidRPr="005C3ECE" w:rsidRDefault="008C4914" w:rsidP="001300C6">
            <w:pPr>
              <w:pStyle w:val="Normal6a"/>
            </w:pPr>
          </w:p>
        </w:tc>
        <w:tc>
          <w:tcPr>
            <w:tcW w:w="4876" w:type="dxa"/>
          </w:tcPr>
          <w:p w:rsidR="008C4914" w:rsidRPr="005C3ECE" w:rsidRDefault="008C4914" w:rsidP="001300C6">
            <w:pPr>
              <w:pStyle w:val="Normal6a"/>
              <w:rPr>
                <w:b/>
                <w:i/>
                <w:szCs w:val="24"/>
              </w:rPr>
            </w:pPr>
            <w:r>
              <w:rPr>
                <w:b/>
                <w:i/>
              </w:rPr>
              <w:t xml:space="preserve">a) </w:t>
            </w:r>
            <w:r>
              <w:rPr>
                <w:b/>
                <w:i/>
              </w:rPr>
              <w:tab/>
              <w:t>le nom commercial et le type des produits en cause;</w:t>
            </w:r>
          </w:p>
        </w:tc>
      </w:tr>
      <w:tr w:rsidR="008C4914" w:rsidTr="001300C6">
        <w:trPr>
          <w:jc w:val="center"/>
        </w:trPr>
        <w:tc>
          <w:tcPr>
            <w:tcW w:w="4876" w:type="dxa"/>
          </w:tcPr>
          <w:p w:rsidR="008C4914" w:rsidRPr="005C3ECE" w:rsidRDefault="008C4914" w:rsidP="001300C6">
            <w:pPr>
              <w:pStyle w:val="Normal6a"/>
            </w:pPr>
          </w:p>
        </w:tc>
        <w:tc>
          <w:tcPr>
            <w:tcW w:w="4876" w:type="dxa"/>
          </w:tcPr>
          <w:p w:rsidR="008C4914" w:rsidRPr="005C3ECE" w:rsidRDefault="008C4914" w:rsidP="001300C6">
            <w:pPr>
              <w:pStyle w:val="Normal6a"/>
              <w:rPr>
                <w:b/>
                <w:i/>
                <w:szCs w:val="24"/>
              </w:rPr>
            </w:pPr>
            <w:r>
              <w:rPr>
                <w:b/>
                <w:i/>
              </w:rPr>
              <w:t>b)</w:t>
            </w:r>
            <w:r>
              <w:rPr>
                <w:b/>
                <w:i/>
              </w:rPr>
              <w:tab/>
              <w:t xml:space="preserve"> la quantité des produits en cause;</w:t>
            </w:r>
          </w:p>
        </w:tc>
      </w:tr>
      <w:tr w:rsidR="008C4914" w:rsidTr="001300C6">
        <w:trPr>
          <w:jc w:val="center"/>
        </w:trPr>
        <w:tc>
          <w:tcPr>
            <w:tcW w:w="4876" w:type="dxa"/>
          </w:tcPr>
          <w:p w:rsidR="008C4914" w:rsidRPr="005C3ECE" w:rsidRDefault="008C4914" w:rsidP="001300C6">
            <w:pPr>
              <w:pStyle w:val="Normal6a"/>
            </w:pPr>
          </w:p>
        </w:tc>
        <w:tc>
          <w:tcPr>
            <w:tcW w:w="4876" w:type="dxa"/>
          </w:tcPr>
          <w:p w:rsidR="008C4914" w:rsidRPr="005C3ECE" w:rsidRDefault="008C4914" w:rsidP="001300C6">
            <w:pPr>
              <w:pStyle w:val="Normal6a"/>
              <w:rPr>
                <w:b/>
                <w:i/>
                <w:szCs w:val="24"/>
              </w:rPr>
            </w:pPr>
            <w:r>
              <w:rPr>
                <w:b/>
                <w:i/>
              </w:rPr>
              <w:t xml:space="preserve">c) </w:t>
            </w:r>
            <w:r>
              <w:rPr>
                <w:b/>
                <w:i/>
              </w:rPr>
              <w:tab/>
              <w:t>le pays de production et, le cas échéant, les parties de ce pays;</w:t>
            </w:r>
          </w:p>
        </w:tc>
      </w:tr>
      <w:tr w:rsidR="008C4914" w:rsidTr="001300C6">
        <w:trPr>
          <w:jc w:val="center"/>
        </w:trPr>
        <w:tc>
          <w:tcPr>
            <w:tcW w:w="4876" w:type="dxa"/>
          </w:tcPr>
          <w:p w:rsidR="008C4914" w:rsidRPr="005C3ECE" w:rsidRDefault="008C4914" w:rsidP="001300C6">
            <w:pPr>
              <w:pStyle w:val="Normal6a"/>
            </w:pPr>
          </w:p>
        </w:tc>
        <w:tc>
          <w:tcPr>
            <w:tcW w:w="4876" w:type="dxa"/>
          </w:tcPr>
          <w:p w:rsidR="008C4914" w:rsidRPr="005C3ECE" w:rsidRDefault="008C4914" w:rsidP="001300C6">
            <w:pPr>
              <w:pStyle w:val="Normal6a"/>
              <w:rPr>
                <w:b/>
                <w:i/>
                <w:szCs w:val="24"/>
              </w:rPr>
            </w:pPr>
            <w:r>
              <w:rPr>
                <w:b/>
                <w:i/>
              </w:rPr>
              <w:t xml:space="preserve">d) </w:t>
            </w:r>
            <w:r>
              <w:rPr>
                <w:b/>
                <w:i/>
              </w:rPr>
              <w:tab/>
              <w:t>le nom, l'adresse postale et l'adresse électronique de toute entreprise ou personne auprès de laquelle ils se sont fournis en produits en cause;</w:t>
            </w:r>
          </w:p>
        </w:tc>
      </w:tr>
      <w:tr w:rsidR="008C4914" w:rsidTr="001300C6">
        <w:trPr>
          <w:jc w:val="center"/>
        </w:trPr>
        <w:tc>
          <w:tcPr>
            <w:tcW w:w="4876" w:type="dxa"/>
          </w:tcPr>
          <w:p w:rsidR="008C4914" w:rsidRPr="005C3ECE" w:rsidRDefault="008C4914" w:rsidP="001300C6">
            <w:pPr>
              <w:pStyle w:val="Normal6a"/>
            </w:pPr>
          </w:p>
        </w:tc>
        <w:tc>
          <w:tcPr>
            <w:tcW w:w="4876" w:type="dxa"/>
          </w:tcPr>
          <w:p w:rsidR="008C4914" w:rsidRPr="005C3ECE" w:rsidRDefault="008C4914" w:rsidP="001300C6">
            <w:pPr>
              <w:pStyle w:val="Normal6a"/>
              <w:rPr>
                <w:b/>
                <w:i/>
                <w:szCs w:val="24"/>
              </w:rPr>
            </w:pPr>
            <w:r>
              <w:rPr>
                <w:b/>
                <w:i/>
              </w:rPr>
              <w:t xml:space="preserve">e) </w:t>
            </w:r>
            <w:r>
              <w:rPr>
                <w:b/>
                <w:i/>
              </w:rPr>
              <w:tab/>
              <w:t>le nom, l'adresse postale et l'adresse électronique de toute entreprise, opérateur ou commerçant auquel des produits en cause ont été fournis;</w:t>
            </w:r>
          </w:p>
        </w:tc>
      </w:tr>
      <w:tr w:rsidR="008C4914" w:rsidTr="001300C6">
        <w:trPr>
          <w:jc w:val="center"/>
        </w:trPr>
        <w:tc>
          <w:tcPr>
            <w:tcW w:w="4876" w:type="dxa"/>
          </w:tcPr>
          <w:p w:rsidR="008C4914" w:rsidRPr="005C3ECE" w:rsidRDefault="008C4914" w:rsidP="001300C6">
            <w:pPr>
              <w:pStyle w:val="Normal6a"/>
            </w:pPr>
          </w:p>
        </w:tc>
        <w:tc>
          <w:tcPr>
            <w:tcW w:w="4876" w:type="dxa"/>
          </w:tcPr>
          <w:p w:rsidR="008C4914" w:rsidRPr="005C3ECE" w:rsidRDefault="008C4914" w:rsidP="001300C6">
            <w:pPr>
              <w:pStyle w:val="Normal6a"/>
              <w:rPr>
                <w:b/>
                <w:i/>
                <w:szCs w:val="24"/>
              </w:rPr>
            </w:pPr>
            <w:r>
              <w:rPr>
                <w:b/>
                <w:i/>
              </w:rPr>
              <w:t xml:space="preserve">f) </w:t>
            </w:r>
            <w:r>
              <w:rPr>
                <w:b/>
                <w:i/>
              </w:rPr>
              <w:tab/>
              <w:t>des informations suffisamment concluantes et vérifiables attestant que les produits en cause sont zéro déforestation;</w:t>
            </w:r>
          </w:p>
        </w:tc>
      </w:tr>
      <w:tr w:rsidR="008C4914" w:rsidTr="001300C6">
        <w:trPr>
          <w:jc w:val="center"/>
        </w:trPr>
        <w:tc>
          <w:tcPr>
            <w:tcW w:w="4876" w:type="dxa"/>
          </w:tcPr>
          <w:p w:rsidR="008C4914" w:rsidRPr="005C3ECE" w:rsidRDefault="008C4914" w:rsidP="001300C6">
            <w:pPr>
              <w:pStyle w:val="Normal6a"/>
            </w:pPr>
          </w:p>
        </w:tc>
        <w:tc>
          <w:tcPr>
            <w:tcW w:w="4876" w:type="dxa"/>
          </w:tcPr>
          <w:p w:rsidR="008C4914" w:rsidRPr="005C3ECE" w:rsidRDefault="008C4914">
            <w:pPr>
              <w:pStyle w:val="Normal6a"/>
              <w:rPr>
                <w:b/>
                <w:i/>
                <w:szCs w:val="24"/>
              </w:rPr>
            </w:pPr>
            <w:r>
              <w:rPr>
                <w:b/>
                <w:i/>
              </w:rPr>
              <w:t xml:space="preserve">g) </w:t>
            </w:r>
            <w:r>
              <w:rPr>
                <w:b/>
                <w:i/>
              </w:rPr>
              <w:tab/>
              <w:t xml:space="preserve"> des informations suffisamment concluantes et vérifiables attestant que les produits de base en cause ont été produits conformément à la législation pertinente du pays de production</w:t>
            </w:r>
            <w:r w:rsidR="00B62A58">
              <w:rPr>
                <w:b/>
                <w:i/>
              </w:rPr>
              <w:t>.</w:t>
            </w:r>
            <w:r>
              <w:rPr>
                <w:b/>
                <w:i/>
              </w:rPr>
              <w:t>»</w:t>
            </w:r>
            <w:r w:rsidR="00B62A58">
              <w:rPr>
                <w:b/>
                <w:i/>
              </w:rPr>
              <w:t>.</w:t>
            </w:r>
          </w:p>
        </w:tc>
      </w:tr>
    </w:tbl>
    <w:p w:rsidR="008C4914" w:rsidRPr="008C4914" w:rsidRDefault="008C4914">
      <w:pPr>
        <w:rPr>
          <w:rFonts w:eastAsia="Calibri"/>
        </w:rPr>
      </w:pPr>
    </w:p>
    <w:p w:rsidR="008C4914" w:rsidRDefault="008C4914">
      <w:pPr>
        <w:rPr>
          <w:rFonts w:eastAsia="Calibri"/>
          <w:b/>
          <w:lang w:val="fr-BE"/>
        </w:rPr>
      </w:pPr>
    </w:p>
    <w:p w:rsidR="008C4914" w:rsidRDefault="008C4914">
      <w:pPr>
        <w:rPr>
          <w:rFonts w:eastAsia="Calibri"/>
          <w:b/>
          <w:lang w:val="fr-BE"/>
        </w:rPr>
      </w:pPr>
      <w:r>
        <w:rPr>
          <w:rFonts w:eastAsia="Calibri"/>
          <w:b/>
          <w:lang w:val="fr-BE"/>
        </w:rPr>
        <w:t>Amendement 10</w:t>
      </w:r>
    </w:p>
    <w:p w:rsidR="008C4914" w:rsidRDefault="008C4914">
      <w:pPr>
        <w:rPr>
          <w:rFonts w:eastAsia="Calibri"/>
          <w:b/>
          <w:lang w:val="fr-BE"/>
        </w:rPr>
      </w:pPr>
    </w:p>
    <w:p w:rsidR="008C4914" w:rsidRPr="008C4914" w:rsidRDefault="008C4914" w:rsidP="008C4914">
      <w:pPr>
        <w:pStyle w:val="NormalBold"/>
        <w:rPr>
          <w:lang w:val="fr-FR"/>
        </w:rPr>
      </w:pPr>
      <w:r w:rsidRPr="008C4914">
        <w:rPr>
          <w:lang w:val="fr-FR"/>
        </w:rPr>
        <w:t>Proposition de règlement</w:t>
      </w:r>
    </w:p>
    <w:p w:rsidR="008C4914" w:rsidRPr="008C4914" w:rsidRDefault="008C4914" w:rsidP="008C4914">
      <w:pPr>
        <w:pStyle w:val="NormalBold"/>
        <w:rPr>
          <w:lang w:val="fr-FR"/>
        </w:rPr>
      </w:pPr>
      <w:r w:rsidRPr="008C4914">
        <w:rPr>
          <w:lang w:val="fr-FR"/>
        </w:rPr>
        <w:t xml:space="preserve">Article 1 – alinéa 1 – point -1 </w:t>
      </w:r>
      <w:proofErr w:type="spellStart"/>
      <w:r>
        <w:rPr>
          <w:lang w:val="fr-FR"/>
        </w:rPr>
        <w:t>septies</w:t>
      </w:r>
      <w:proofErr w:type="spellEnd"/>
      <w:r w:rsidRPr="008C4914">
        <w:rPr>
          <w:lang w:val="fr-FR"/>
        </w:rPr>
        <w:t xml:space="preserve"> (nouveau)</w:t>
      </w:r>
    </w:p>
    <w:p w:rsidR="008C4914" w:rsidRPr="001C1D9B" w:rsidRDefault="008C4914" w:rsidP="008C4914">
      <w:r>
        <w:t>Règlement (UE) 2023/1115</w:t>
      </w:r>
    </w:p>
    <w:p w:rsidR="008C4914" w:rsidRPr="001C1D9B" w:rsidRDefault="008C4914" w:rsidP="008C4914">
      <w:r>
        <w:t>Article 16 – paragraphe 10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4914" w:rsidTr="001300C6">
        <w:trPr>
          <w:jc w:val="center"/>
        </w:trPr>
        <w:tc>
          <w:tcPr>
            <w:tcW w:w="9752" w:type="dxa"/>
            <w:gridSpan w:val="2"/>
          </w:tcPr>
          <w:p w:rsidR="008C4914" w:rsidRPr="001C1D9B" w:rsidRDefault="008C4914" w:rsidP="001300C6">
            <w:pPr>
              <w:keepNext/>
            </w:pPr>
          </w:p>
        </w:tc>
      </w:tr>
      <w:tr w:rsidR="008C4914" w:rsidTr="001300C6">
        <w:trPr>
          <w:jc w:val="center"/>
        </w:trPr>
        <w:tc>
          <w:tcPr>
            <w:tcW w:w="4876" w:type="dxa"/>
          </w:tcPr>
          <w:p w:rsidR="008C4914" w:rsidRPr="001C1D9B" w:rsidRDefault="008C4914" w:rsidP="001300C6">
            <w:pPr>
              <w:pStyle w:val="AmColumnHeading"/>
              <w:keepNext/>
            </w:pPr>
            <w:r>
              <w:t>Texte proposé par la Commission</w:t>
            </w:r>
          </w:p>
        </w:tc>
        <w:tc>
          <w:tcPr>
            <w:tcW w:w="4876" w:type="dxa"/>
          </w:tcPr>
          <w:p w:rsidR="008C4914" w:rsidRPr="001C1D9B" w:rsidRDefault="008C4914" w:rsidP="001300C6">
            <w:pPr>
              <w:pStyle w:val="AmColumnHeading"/>
              <w:keepNext/>
            </w:pPr>
            <w:r>
              <w:t>Amendement</w:t>
            </w:r>
          </w:p>
        </w:tc>
      </w:tr>
      <w:tr w:rsidR="008C4914" w:rsidTr="001300C6">
        <w:trPr>
          <w:jc w:val="center"/>
        </w:trPr>
        <w:tc>
          <w:tcPr>
            <w:tcW w:w="4876" w:type="dxa"/>
          </w:tcPr>
          <w:p w:rsidR="008C4914" w:rsidRPr="001C1D9B" w:rsidRDefault="008C4914" w:rsidP="001300C6">
            <w:pPr>
              <w:pStyle w:val="Normal6a"/>
            </w:pPr>
          </w:p>
        </w:tc>
        <w:tc>
          <w:tcPr>
            <w:tcW w:w="4876" w:type="dxa"/>
          </w:tcPr>
          <w:p w:rsidR="008C4914" w:rsidRPr="001C1D9B" w:rsidRDefault="008C4914">
            <w:pPr>
              <w:pStyle w:val="Normal6a"/>
              <w:rPr>
                <w:szCs w:val="24"/>
              </w:rPr>
            </w:pPr>
            <w:r>
              <w:rPr>
                <w:b/>
                <w:i/>
              </w:rPr>
              <w:t>-1 </w:t>
            </w:r>
            <w:proofErr w:type="spellStart"/>
            <w:r>
              <w:rPr>
                <w:b/>
                <w:i/>
              </w:rPr>
              <w:t>septies</w:t>
            </w:r>
            <w:proofErr w:type="spellEnd"/>
            <w:r>
              <w:rPr>
                <w:b/>
                <w:i/>
              </w:rPr>
              <w:t>)</w:t>
            </w:r>
            <w:r>
              <w:rPr>
                <w:b/>
                <w:i/>
              </w:rPr>
              <w:tab/>
            </w:r>
            <w:r w:rsidR="00A91F89">
              <w:rPr>
                <w:b/>
                <w:i/>
              </w:rPr>
              <w:t>À</w:t>
            </w:r>
            <w:r>
              <w:rPr>
                <w:b/>
                <w:i/>
              </w:rPr>
              <w:t xml:space="preserve"> l’article 16, le paragraphe suivant est ajouté:</w:t>
            </w:r>
          </w:p>
        </w:tc>
      </w:tr>
      <w:tr w:rsidR="008C4914" w:rsidTr="001300C6">
        <w:trPr>
          <w:jc w:val="center"/>
        </w:trPr>
        <w:tc>
          <w:tcPr>
            <w:tcW w:w="4876" w:type="dxa"/>
          </w:tcPr>
          <w:p w:rsidR="008C4914" w:rsidRPr="001C1D9B" w:rsidRDefault="008C4914" w:rsidP="001300C6">
            <w:pPr>
              <w:pStyle w:val="Normal6a"/>
            </w:pPr>
          </w:p>
        </w:tc>
        <w:tc>
          <w:tcPr>
            <w:tcW w:w="4876" w:type="dxa"/>
          </w:tcPr>
          <w:p w:rsidR="008C4914" w:rsidRPr="001C1D9B" w:rsidRDefault="008C4914" w:rsidP="001300C6">
            <w:pPr>
              <w:pStyle w:val="Normal6a"/>
              <w:rPr>
                <w:b/>
                <w:i/>
                <w:szCs w:val="24"/>
              </w:rPr>
            </w:pPr>
            <w:r>
              <w:rPr>
                <w:b/>
                <w:i/>
              </w:rPr>
              <w:t>«10 bis.</w:t>
            </w:r>
            <w:r>
              <w:rPr>
                <w:b/>
                <w:i/>
              </w:rPr>
              <w:tab/>
              <w:t>Chaque État membre veille à ce que les contrôles annuels effectués par ses autorités compétentes en vertu du paragraphe 1 du présent article couvrent au moins 0,1 % des opérateurs qui mettent sur le marché ou mettent à disposition sur le marché ou exportent des produits en cause contenant des produits de base en cause ou fabriqués à partir de tels produits, qui sont produits dans un pays ou des parties de ce pays classés comme présentant un risque nul conformément à l’article 29.»</w:t>
            </w:r>
            <w:r w:rsidR="005D3F9C">
              <w:rPr>
                <w:b/>
                <w:i/>
              </w:rPr>
              <w:t>.</w:t>
            </w:r>
          </w:p>
        </w:tc>
      </w:tr>
    </w:tbl>
    <w:p w:rsidR="008C4914" w:rsidRDefault="008C4914">
      <w:pPr>
        <w:rPr>
          <w:rFonts w:eastAsia="Calibri"/>
          <w:b/>
        </w:rPr>
      </w:pPr>
    </w:p>
    <w:p w:rsidR="008C4914" w:rsidRDefault="008C4914">
      <w:pPr>
        <w:rPr>
          <w:rFonts w:eastAsia="Calibri"/>
          <w:b/>
        </w:rPr>
      </w:pPr>
    </w:p>
    <w:p w:rsidR="008C4914" w:rsidRPr="008C4914" w:rsidRDefault="008C4914">
      <w:pPr>
        <w:rPr>
          <w:rFonts w:eastAsia="Calibri"/>
          <w:b/>
        </w:rPr>
      </w:pPr>
      <w:r>
        <w:rPr>
          <w:rFonts w:eastAsia="Calibri"/>
          <w:b/>
        </w:rPr>
        <w:t>Amendement 11</w:t>
      </w:r>
    </w:p>
    <w:p w:rsidR="008C4914" w:rsidRDefault="008C4914">
      <w:pPr>
        <w:rPr>
          <w:rFonts w:eastAsia="Calibri"/>
          <w:b/>
          <w:lang w:val="fr-BE"/>
        </w:rPr>
      </w:pPr>
    </w:p>
    <w:p w:rsidR="008C4914" w:rsidRDefault="008C4914" w:rsidP="008C4914">
      <w:pPr>
        <w:pStyle w:val="NormalBold"/>
        <w:rPr>
          <w:lang w:val="fr-FR"/>
        </w:rPr>
      </w:pPr>
      <w:r w:rsidRPr="008C4914">
        <w:rPr>
          <w:lang w:val="fr-FR"/>
        </w:rPr>
        <w:t>Proposition de règlement</w:t>
      </w:r>
    </w:p>
    <w:p w:rsidR="008C4914" w:rsidRDefault="008C4914" w:rsidP="008C4914">
      <w:pPr>
        <w:pStyle w:val="NormalBold"/>
        <w:rPr>
          <w:lang w:val="fr-FR"/>
        </w:rPr>
      </w:pPr>
      <w:r w:rsidRPr="008C4914">
        <w:rPr>
          <w:lang w:val="fr-FR"/>
        </w:rPr>
        <w:t xml:space="preserve">Article 1 – alinéa 1 – point -1 </w:t>
      </w:r>
      <w:proofErr w:type="spellStart"/>
      <w:r>
        <w:rPr>
          <w:lang w:val="fr-FR"/>
        </w:rPr>
        <w:t>octies</w:t>
      </w:r>
      <w:proofErr w:type="spellEnd"/>
      <w:r w:rsidRPr="008C4914">
        <w:rPr>
          <w:lang w:val="fr-FR"/>
        </w:rPr>
        <w:t xml:space="preserve"> (nouveau)</w:t>
      </w:r>
    </w:p>
    <w:p w:rsidR="008C4914" w:rsidRPr="00606A42" w:rsidRDefault="008C4914" w:rsidP="008C4914">
      <w:pPr>
        <w:pStyle w:val="NormalBold"/>
        <w:rPr>
          <w:b w:val="0"/>
        </w:rPr>
      </w:pPr>
      <w:proofErr w:type="spellStart"/>
      <w:r w:rsidRPr="00606A42">
        <w:rPr>
          <w:b w:val="0"/>
        </w:rPr>
        <w:t>Règlement</w:t>
      </w:r>
      <w:proofErr w:type="spellEnd"/>
      <w:r w:rsidRPr="00606A42">
        <w:rPr>
          <w:b w:val="0"/>
        </w:rPr>
        <w:t xml:space="preserve"> (UE) 2023/1115</w:t>
      </w:r>
    </w:p>
    <w:p w:rsidR="008C4914" w:rsidRPr="001C1D9B" w:rsidRDefault="008C4914" w:rsidP="008C4914">
      <w:r>
        <w:t>Article 29 – paragraphe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4914" w:rsidTr="001300C6">
        <w:trPr>
          <w:jc w:val="center"/>
        </w:trPr>
        <w:tc>
          <w:tcPr>
            <w:tcW w:w="9752" w:type="dxa"/>
            <w:gridSpan w:val="2"/>
          </w:tcPr>
          <w:p w:rsidR="008C4914" w:rsidRPr="001C1D9B" w:rsidRDefault="008C4914" w:rsidP="001300C6">
            <w:pPr>
              <w:keepNext/>
            </w:pPr>
          </w:p>
        </w:tc>
      </w:tr>
      <w:tr w:rsidR="008C4914" w:rsidTr="001300C6">
        <w:trPr>
          <w:jc w:val="center"/>
        </w:trPr>
        <w:tc>
          <w:tcPr>
            <w:tcW w:w="4876" w:type="dxa"/>
          </w:tcPr>
          <w:p w:rsidR="008C4914" w:rsidRPr="001C1D9B" w:rsidRDefault="008C4914" w:rsidP="001300C6">
            <w:pPr>
              <w:pStyle w:val="AmColumnHeading"/>
              <w:keepNext/>
            </w:pPr>
            <w:r>
              <w:t>Texte en vigueur</w:t>
            </w:r>
          </w:p>
        </w:tc>
        <w:tc>
          <w:tcPr>
            <w:tcW w:w="4876" w:type="dxa"/>
          </w:tcPr>
          <w:p w:rsidR="008C4914" w:rsidRPr="001C1D9B" w:rsidRDefault="008C4914" w:rsidP="001300C6">
            <w:pPr>
              <w:pStyle w:val="AmColumnHeading"/>
              <w:keepNext/>
            </w:pPr>
            <w:r>
              <w:t>Amendement</w:t>
            </w:r>
          </w:p>
        </w:tc>
      </w:tr>
      <w:tr w:rsidR="008C4914" w:rsidTr="001300C6">
        <w:trPr>
          <w:jc w:val="center"/>
        </w:trPr>
        <w:tc>
          <w:tcPr>
            <w:tcW w:w="4876" w:type="dxa"/>
          </w:tcPr>
          <w:p w:rsidR="008C4914" w:rsidRPr="001C1D9B" w:rsidRDefault="008C4914" w:rsidP="001300C6">
            <w:pPr>
              <w:pStyle w:val="Normal6a"/>
            </w:pPr>
          </w:p>
        </w:tc>
        <w:tc>
          <w:tcPr>
            <w:tcW w:w="4876" w:type="dxa"/>
          </w:tcPr>
          <w:p w:rsidR="008C4914" w:rsidRPr="001C1D9B" w:rsidRDefault="008C4914">
            <w:pPr>
              <w:pStyle w:val="Normal6a"/>
              <w:rPr>
                <w:szCs w:val="24"/>
              </w:rPr>
            </w:pPr>
            <w:r>
              <w:rPr>
                <w:b/>
                <w:i/>
              </w:rPr>
              <w:t>-1 </w:t>
            </w:r>
            <w:proofErr w:type="spellStart"/>
            <w:r>
              <w:rPr>
                <w:b/>
                <w:i/>
              </w:rPr>
              <w:t>octies</w:t>
            </w:r>
            <w:proofErr w:type="spellEnd"/>
            <w:r>
              <w:rPr>
                <w:b/>
                <w:i/>
              </w:rPr>
              <w:t>)</w:t>
            </w:r>
            <w:r>
              <w:rPr>
                <w:b/>
                <w:i/>
              </w:rPr>
              <w:tab/>
              <w:t>À l’article 29, le paragraphe 1 est remplacé par le texte suivant:</w:t>
            </w:r>
          </w:p>
        </w:tc>
      </w:tr>
      <w:tr w:rsidR="008C4914" w:rsidTr="001300C6">
        <w:trPr>
          <w:jc w:val="center"/>
        </w:trPr>
        <w:tc>
          <w:tcPr>
            <w:tcW w:w="4876" w:type="dxa"/>
          </w:tcPr>
          <w:p w:rsidR="008C4914" w:rsidRPr="001C1D9B" w:rsidRDefault="008C4914" w:rsidP="001300C6">
            <w:pPr>
              <w:pStyle w:val="Normal6a"/>
            </w:pPr>
            <w:r>
              <w:t>1.</w:t>
            </w:r>
            <w:r>
              <w:tab/>
              <w:t xml:space="preserve">Le présent règlement établit un système à </w:t>
            </w:r>
            <w:r>
              <w:rPr>
                <w:b/>
                <w:i/>
              </w:rPr>
              <w:t>trois</w:t>
            </w:r>
            <w:r>
              <w:t xml:space="preserve"> niveaux pour l’évaluation des pays ou parties de pays. À cette fin, les États membres et les pays tiers, ou des parties de ceux-ci, sont classés dans l’une des catégories de risques suivantes:</w:t>
            </w:r>
          </w:p>
        </w:tc>
        <w:tc>
          <w:tcPr>
            <w:tcW w:w="4876" w:type="dxa"/>
          </w:tcPr>
          <w:p w:rsidR="008C4914" w:rsidRPr="001C1D9B" w:rsidRDefault="008C4914" w:rsidP="001300C6">
            <w:pPr>
              <w:pStyle w:val="Normal6a"/>
              <w:rPr>
                <w:b/>
                <w:i/>
                <w:szCs w:val="24"/>
              </w:rPr>
            </w:pPr>
            <w:r>
              <w:rPr>
                <w:b/>
                <w:i/>
              </w:rPr>
              <w:t>«</w:t>
            </w:r>
            <w:r>
              <w:t>1.</w:t>
            </w:r>
            <w:r>
              <w:tab/>
              <w:t xml:space="preserve">Le présent règlement établit un système à </w:t>
            </w:r>
            <w:r>
              <w:rPr>
                <w:b/>
                <w:i/>
              </w:rPr>
              <w:t>quatre</w:t>
            </w:r>
            <w:r>
              <w:t xml:space="preserve"> niveaux pour l’évaluation des pays ou parties de pays. À cette fin, les États membres et les pays tiers, ou des parties de ceux-ci, sont classés dans l’une des catégories de risques suivantes:</w:t>
            </w:r>
          </w:p>
        </w:tc>
      </w:tr>
      <w:tr w:rsidR="008C4914" w:rsidTr="001300C6">
        <w:trPr>
          <w:jc w:val="center"/>
        </w:trPr>
        <w:tc>
          <w:tcPr>
            <w:tcW w:w="4876" w:type="dxa"/>
          </w:tcPr>
          <w:p w:rsidR="008C4914" w:rsidRPr="001C1D9B" w:rsidRDefault="008C4914" w:rsidP="001300C6">
            <w:pPr>
              <w:pStyle w:val="Normal6a"/>
              <w:rPr>
                <w:szCs w:val="24"/>
              </w:rPr>
            </w:pPr>
            <w:r>
              <w:t>a)</w:t>
            </w:r>
            <w:r>
              <w:tab/>
              <w:t>«risque élevé» se réfère aux pays ou parties de pays, pour lesquels l’évaluation visée au paragraphe 3 aboutit à la détermination d’un risque élevé en ce qui concerne la production, dans ces pays ou dans des parties de ces pays, de produits de base en cause pour lesquels les produits en cause ne sont pas conformes à l’article 3, point a);</w:t>
            </w:r>
          </w:p>
        </w:tc>
        <w:tc>
          <w:tcPr>
            <w:tcW w:w="4876" w:type="dxa"/>
          </w:tcPr>
          <w:p w:rsidR="008C4914" w:rsidRPr="001C1D9B" w:rsidRDefault="008C4914" w:rsidP="001300C6">
            <w:pPr>
              <w:pStyle w:val="Normal6a"/>
              <w:rPr>
                <w:szCs w:val="24"/>
              </w:rPr>
            </w:pPr>
            <w:r>
              <w:t>a)</w:t>
            </w:r>
            <w:r>
              <w:tab/>
              <w:t>«risque élevé» se réfère aux pays ou parties de pays, pour lesquels l’évaluation visée au paragraphe 3 aboutit à la détermination d’un risque élevé en ce qui concerne la production, dans ces pays ou dans des parties de ces pays, de produits de base en cause pour lesquels les produits en cause ne sont pas conformes à l’article 3, point a);</w:t>
            </w:r>
          </w:p>
        </w:tc>
      </w:tr>
      <w:tr w:rsidR="008C4914" w:rsidTr="001300C6">
        <w:trPr>
          <w:jc w:val="center"/>
        </w:trPr>
        <w:tc>
          <w:tcPr>
            <w:tcW w:w="4876" w:type="dxa"/>
          </w:tcPr>
          <w:p w:rsidR="008C4914" w:rsidRPr="001C1D9B" w:rsidRDefault="008C4914" w:rsidP="001300C6">
            <w:pPr>
              <w:pStyle w:val="Normal6a"/>
              <w:rPr>
                <w:szCs w:val="24"/>
              </w:rPr>
            </w:pPr>
            <w:r>
              <w:t>b)</w:t>
            </w:r>
            <w:r>
              <w:tab/>
              <w:t>«risque faible» se réfère aux pays ou parties de pays, pour lesquels l’évaluation visée au paragraphe 3 conclut à l’existence d’une garantie suffisante que les cas de production, dans ces pays ou dans des parties de ces pays, de produits de base en cause pour lesquels les produits en cause ne sont pas conformes à l’article 3, point a), sont exceptionnels;</w:t>
            </w:r>
          </w:p>
        </w:tc>
        <w:tc>
          <w:tcPr>
            <w:tcW w:w="4876" w:type="dxa"/>
          </w:tcPr>
          <w:p w:rsidR="008C4914" w:rsidRPr="001C1D9B" w:rsidRDefault="008C4914" w:rsidP="001300C6">
            <w:pPr>
              <w:pStyle w:val="Normal6a"/>
              <w:rPr>
                <w:szCs w:val="24"/>
              </w:rPr>
            </w:pPr>
            <w:r>
              <w:t>b)</w:t>
            </w:r>
            <w:r>
              <w:tab/>
              <w:t xml:space="preserve">«risque faible» se réfère aux pays ou parties de pays, pour lesquels l’évaluation visée au paragraphe 3 conclut à l’existence d’une garantie suffisante que les cas de production, dans ces pays ou dans des parties de ces pays, de produits de base en cause pour lesquels les produits en cause ne sont pas conformes à l’article 3, point a), sont exceptionnels; </w:t>
            </w:r>
          </w:p>
        </w:tc>
      </w:tr>
      <w:tr w:rsidR="008C4914" w:rsidTr="001300C6">
        <w:trPr>
          <w:jc w:val="center"/>
        </w:trPr>
        <w:tc>
          <w:tcPr>
            <w:tcW w:w="4876" w:type="dxa"/>
          </w:tcPr>
          <w:p w:rsidR="008C4914" w:rsidRPr="001C1D9B" w:rsidRDefault="008C4914" w:rsidP="001300C6">
            <w:pPr>
              <w:pStyle w:val="Normal6a"/>
              <w:rPr>
                <w:szCs w:val="24"/>
              </w:rPr>
            </w:pPr>
            <w:r>
              <w:t>c)</w:t>
            </w:r>
            <w:r>
              <w:tab/>
              <w:t>«risque standard» se réfère aux pays ou parties de pays qui ne relèvent ni de la catégorie «risque élevé» ni de la catégorie «risque faible».</w:t>
            </w:r>
          </w:p>
        </w:tc>
        <w:tc>
          <w:tcPr>
            <w:tcW w:w="4876" w:type="dxa"/>
          </w:tcPr>
          <w:p w:rsidR="008C4914" w:rsidRPr="008C4914" w:rsidRDefault="008C4914">
            <w:pPr>
              <w:pStyle w:val="Normal6"/>
              <w:rPr>
                <w:szCs w:val="24"/>
                <w:lang w:val="fr-FR"/>
              </w:rPr>
            </w:pPr>
            <w:r w:rsidRPr="008C4914">
              <w:rPr>
                <w:lang w:val="fr-FR"/>
              </w:rPr>
              <w:t>c)</w:t>
            </w:r>
            <w:r w:rsidRPr="008C4914">
              <w:rPr>
                <w:lang w:val="fr-FR"/>
              </w:rPr>
              <w:tab/>
              <w:t>«risque standard» se réfère aux pays ou parties de pays qui ne relèvent ni de la catégorie «risque élevé»</w:t>
            </w:r>
            <w:r w:rsidRPr="008C4914">
              <w:rPr>
                <w:b/>
                <w:i/>
                <w:lang w:val="fr-FR"/>
              </w:rPr>
              <w:t>,</w:t>
            </w:r>
            <w:r w:rsidRPr="008C4914">
              <w:rPr>
                <w:lang w:val="fr-FR"/>
              </w:rPr>
              <w:t xml:space="preserve"> ni de la catégorie «risque faible»</w:t>
            </w:r>
            <w:r w:rsidRPr="008C4914">
              <w:rPr>
                <w:b/>
                <w:i/>
                <w:lang w:val="fr-FR"/>
              </w:rPr>
              <w:t>, ni de la catégorie «risque nul»</w:t>
            </w:r>
            <w:r w:rsidR="00B62A58">
              <w:rPr>
                <w:b/>
                <w:i/>
                <w:lang w:val="fr-FR"/>
              </w:rPr>
              <w:t>;</w:t>
            </w:r>
          </w:p>
        </w:tc>
      </w:tr>
      <w:tr w:rsidR="008C4914" w:rsidTr="001300C6">
        <w:trPr>
          <w:jc w:val="center"/>
        </w:trPr>
        <w:tc>
          <w:tcPr>
            <w:tcW w:w="4876" w:type="dxa"/>
          </w:tcPr>
          <w:p w:rsidR="008C4914" w:rsidRPr="001C1D9B" w:rsidRDefault="008C4914" w:rsidP="001300C6">
            <w:pPr>
              <w:pStyle w:val="Normal6a"/>
              <w:rPr>
                <w:szCs w:val="24"/>
              </w:rPr>
            </w:pPr>
          </w:p>
        </w:tc>
        <w:tc>
          <w:tcPr>
            <w:tcW w:w="4876" w:type="dxa"/>
          </w:tcPr>
          <w:p w:rsidR="008C4914" w:rsidRPr="001C1D9B" w:rsidRDefault="008C4914" w:rsidP="001300C6">
            <w:pPr>
              <w:pStyle w:val="Normal6a"/>
              <w:rPr>
                <w:rFonts w:eastAsia="Arial"/>
                <w:b/>
                <w:bCs/>
                <w:i/>
                <w:iCs/>
                <w:szCs w:val="24"/>
              </w:rPr>
            </w:pPr>
            <w:r>
              <w:rPr>
                <w:b/>
                <w:i/>
              </w:rPr>
              <w:t>c bis)</w:t>
            </w:r>
            <w:r>
              <w:rPr>
                <w:b/>
                <w:i/>
              </w:rPr>
              <w:tab/>
              <w:t xml:space="preserve">«risque nul» se réfère aux pays ou parties de pays qui répondent aux critères d’évaluation suivants: </w:t>
            </w:r>
          </w:p>
        </w:tc>
      </w:tr>
      <w:tr w:rsidR="008C4914" w:rsidTr="001300C6">
        <w:trPr>
          <w:jc w:val="center"/>
        </w:trPr>
        <w:tc>
          <w:tcPr>
            <w:tcW w:w="4876" w:type="dxa"/>
          </w:tcPr>
          <w:p w:rsidR="008C4914" w:rsidRPr="001C1D9B" w:rsidRDefault="008C4914" w:rsidP="001300C6">
            <w:pPr>
              <w:pStyle w:val="Normal6a"/>
              <w:rPr>
                <w:szCs w:val="24"/>
              </w:rPr>
            </w:pPr>
          </w:p>
        </w:tc>
        <w:tc>
          <w:tcPr>
            <w:tcW w:w="4876" w:type="dxa"/>
          </w:tcPr>
          <w:p w:rsidR="008C4914" w:rsidRPr="001C1D9B" w:rsidRDefault="008C4914" w:rsidP="005D3F9C">
            <w:pPr>
              <w:pStyle w:val="Normal6a"/>
              <w:rPr>
                <w:rFonts w:eastAsia="Arial"/>
                <w:b/>
                <w:bCs/>
                <w:i/>
              </w:rPr>
            </w:pPr>
            <w:r>
              <w:rPr>
                <w:b/>
                <w:i/>
              </w:rPr>
              <w:t>i)</w:t>
            </w:r>
            <w:r>
              <w:rPr>
                <w:b/>
                <w:i/>
              </w:rPr>
              <w:tab/>
            </w:r>
            <w:r w:rsidR="00B62A58">
              <w:rPr>
                <w:b/>
                <w:i/>
              </w:rPr>
              <w:t xml:space="preserve">le développement de </w:t>
            </w:r>
            <w:r>
              <w:rPr>
                <w:b/>
                <w:i/>
              </w:rPr>
              <w:t xml:space="preserve">la superficie forestière y est resté stable ou a augmenté </w:t>
            </w:r>
            <w:r>
              <w:rPr>
                <w:b/>
                <w:i/>
              </w:rPr>
              <w:lastRenderedPageBreak/>
              <w:t>par rapport à 1990;</w:t>
            </w:r>
          </w:p>
        </w:tc>
      </w:tr>
      <w:tr w:rsidR="008C4914" w:rsidTr="001300C6">
        <w:trPr>
          <w:jc w:val="center"/>
        </w:trPr>
        <w:tc>
          <w:tcPr>
            <w:tcW w:w="4876" w:type="dxa"/>
          </w:tcPr>
          <w:p w:rsidR="008C4914" w:rsidRPr="001C1D9B" w:rsidRDefault="008C4914" w:rsidP="001300C6">
            <w:pPr>
              <w:pStyle w:val="Normal6a"/>
              <w:rPr>
                <w:szCs w:val="24"/>
              </w:rPr>
            </w:pPr>
          </w:p>
        </w:tc>
        <w:tc>
          <w:tcPr>
            <w:tcW w:w="4876" w:type="dxa"/>
          </w:tcPr>
          <w:p w:rsidR="008C4914" w:rsidRPr="001C1D9B" w:rsidRDefault="008C4914" w:rsidP="001300C6">
            <w:pPr>
              <w:pStyle w:val="Normal6a"/>
              <w:rPr>
                <w:rFonts w:eastAsia="Arial"/>
                <w:b/>
                <w:bCs/>
                <w:i/>
              </w:rPr>
            </w:pPr>
            <w:r>
              <w:rPr>
                <w:b/>
                <w:i/>
              </w:rPr>
              <w:t>ii)</w:t>
            </w:r>
            <w:r>
              <w:rPr>
                <w:b/>
                <w:i/>
              </w:rPr>
              <w:tab/>
              <w:t>ils ont signé l’accord de Paris et les conventions internationales sur les droits de l’homme et sur la prévention de la déforestation;</w:t>
            </w:r>
          </w:p>
        </w:tc>
      </w:tr>
      <w:tr w:rsidR="008C4914" w:rsidTr="001300C6">
        <w:trPr>
          <w:jc w:val="center"/>
        </w:trPr>
        <w:tc>
          <w:tcPr>
            <w:tcW w:w="4876" w:type="dxa"/>
          </w:tcPr>
          <w:p w:rsidR="008C4914" w:rsidRPr="001C1D9B" w:rsidRDefault="008C4914" w:rsidP="001300C6">
            <w:pPr>
              <w:pStyle w:val="Normal6a"/>
              <w:rPr>
                <w:szCs w:val="24"/>
              </w:rPr>
            </w:pPr>
          </w:p>
        </w:tc>
        <w:tc>
          <w:tcPr>
            <w:tcW w:w="4876" w:type="dxa"/>
          </w:tcPr>
          <w:p w:rsidR="008C4914" w:rsidRPr="001C1D9B" w:rsidRDefault="008C4914" w:rsidP="001300C6">
            <w:pPr>
              <w:pStyle w:val="Normal6a"/>
              <w:rPr>
                <w:rFonts w:eastAsia="Arial"/>
                <w:b/>
                <w:bCs/>
                <w:i/>
                <w:szCs w:val="24"/>
              </w:rPr>
            </w:pPr>
            <w:r>
              <w:rPr>
                <w:b/>
                <w:i/>
              </w:rPr>
              <w:t>iii)</w:t>
            </w:r>
            <w:r>
              <w:rPr>
                <w:b/>
                <w:i/>
              </w:rPr>
              <w:tab/>
              <w:t>les réglementations relatives à la prévention de la déforestation et à la conservation des forêts au niveau national y sont strictement mises en œuvre et appliquées en toute transparence et font l’objet d’un suivi.»</w:t>
            </w:r>
            <w:r w:rsidR="005D3F9C">
              <w:rPr>
                <w:b/>
                <w:i/>
              </w:rPr>
              <w:t>.</w:t>
            </w:r>
          </w:p>
        </w:tc>
      </w:tr>
    </w:tbl>
    <w:p w:rsidR="008C4914" w:rsidRPr="008C4914" w:rsidRDefault="008C4914">
      <w:pPr>
        <w:rPr>
          <w:rFonts w:eastAsia="Calibri"/>
          <w:b/>
        </w:rPr>
      </w:pPr>
    </w:p>
    <w:p w:rsidR="008C4914" w:rsidRDefault="008C4914">
      <w:pPr>
        <w:rPr>
          <w:rFonts w:eastAsia="Calibri"/>
          <w:b/>
          <w:lang w:val="fr-BE"/>
        </w:rPr>
      </w:pPr>
    </w:p>
    <w:p w:rsidR="009F28EF" w:rsidRPr="00917DA9" w:rsidRDefault="009F28EF" w:rsidP="009F28EF">
      <w:pPr>
        <w:pStyle w:val="Normal12"/>
        <w:rPr>
          <w:szCs w:val="24"/>
          <w:lang w:val="fr-FR"/>
        </w:rPr>
      </w:pPr>
    </w:p>
    <w:sectPr w:rsidR="009F28EF" w:rsidRPr="00917DA9" w:rsidSect="005A192A">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7DA9" w:rsidRDefault="00917DA9" w:rsidP="009C4014">
      <w:r>
        <w:separator/>
      </w:r>
    </w:p>
  </w:endnote>
  <w:endnote w:type="continuationSeparator" w:id="0">
    <w:p w:rsidR="00917DA9" w:rsidRDefault="00917DA9"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7DA9" w:rsidRDefault="00917DA9" w:rsidP="009C4014">
      <w:r>
        <w:separator/>
      </w:r>
    </w:p>
  </w:footnote>
  <w:footnote w:type="continuationSeparator" w:id="0">
    <w:p w:rsidR="00917DA9" w:rsidRDefault="00917DA9" w:rsidP="009C4014">
      <w:r>
        <w:continuationSeparator/>
      </w:r>
    </w:p>
  </w:footnote>
  <w:footnote w:id="1">
    <w:p w:rsidR="009D0DE7" w:rsidRDefault="009D0DE7">
      <w:pPr>
        <w:pStyle w:val="FootnoteText"/>
      </w:pPr>
      <w:r>
        <w:rPr>
          <w:rStyle w:val="FootnoteReference"/>
        </w:rPr>
        <w:footnoteRef/>
      </w:r>
      <w:r>
        <w:t xml:space="preserve"> </w:t>
      </w:r>
      <w:r>
        <w:tab/>
      </w:r>
      <w:r w:rsidRPr="000B2E43">
        <w:rPr>
          <w:sz w:val="24"/>
          <w:szCs w:val="24"/>
        </w:rPr>
        <w:t xml:space="preserve">La question a été renvoyée à la commission compétente, aux fins de négociations interinstitutionnelles, </w:t>
      </w:r>
      <w:r w:rsidRPr="009D0DE7">
        <w:rPr>
          <w:sz w:val="24"/>
          <w:szCs w:val="24"/>
        </w:rPr>
        <w:t xml:space="preserve">conformément à l’article </w:t>
      </w:r>
      <w:r w:rsidR="008C4914">
        <w:rPr>
          <w:sz w:val="24"/>
          <w:szCs w:val="24"/>
        </w:rPr>
        <w:t>60, paragraphe 4, quatrième alinéa</w:t>
      </w:r>
      <w:r w:rsidR="00947F59">
        <w:rPr>
          <w:sz w:val="24"/>
          <w:szCs w:val="24"/>
        </w:rPr>
        <w:t>, du règlement intérieur</w:t>
      </w:r>
      <w:r w:rsidR="008C4914">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DA9"/>
    <w:rsid w:val="00013B2A"/>
    <w:rsid w:val="000C2BFE"/>
    <w:rsid w:val="000F27A9"/>
    <w:rsid w:val="000F6208"/>
    <w:rsid w:val="00125CBC"/>
    <w:rsid w:val="00172070"/>
    <w:rsid w:val="00185E15"/>
    <w:rsid w:val="001D4BBF"/>
    <w:rsid w:val="001D63A8"/>
    <w:rsid w:val="002924A9"/>
    <w:rsid w:val="002A1D4E"/>
    <w:rsid w:val="002B4BCF"/>
    <w:rsid w:val="002F1925"/>
    <w:rsid w:val="00300C61"/>
    <w:rsid w:val="00312A38"/>
    <w:rsid w:val="003202DD"/>
    <w:rsid w:val="003775B9"/>
    <w:rsid w:val="00397B2A"/>
    <w:rsid w:val="003E1189"/>
    <w:rsid w:val="003F4DFE"/>
    <w:rsid w:val="00425111"/>
    <w:rsid w:val="00451C48"/>
    <w:rsid w:val="0047030E"/>
    <w:rsid w:val="004E6A17"/>
    <w:rsid w:val="004F2EA7"/>
    <w:rsid w:val="00520780"/>
    <w:rsid w:val="00525ED0"/>
    <w:rsid w:val="00534CAB"/>
    <w:rsid w:val="00547BB1"/>
    <w:rsid w:val="00591365"/>
    <w:rsid w:val="00594A8E"/>
    <w:rsid w:val="005A192A"/>
    <w:rsid w:val="005A2421"/>
    <w:rsid w:val="005B23C9"/>
    <w:rsid w:val="005D3F9C"/>
    <w:rsid w:val="005F0CA1"/>
    <w:rsid w:val="005F35F8"/>
    <w:rsid w:val="00603124"/>
    <w:rsid w:val="00603B14"/>
    <w:rsid w:val="00606A42"/>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A501A"/>
    <w:rsid w:val="008B1C2E"/>
    <w:rsid w:val="008C4914"/>
    <w:rsid w:val="008D7C16"/>
    <w:rsid w:val="008E7632"/>
    <w:rsid w:val="008F0108"/>
    <w:rsid w:val="008F7F1C"/>
    <w:rsid w:val="00907FE0"/>
    <w:rsid w:val="00917DA9"/>
    <w:rsid w:val="00947F59"/>
    <w:rsid w:val="009865B7"/>
    <w:rsid w:val="009B7E10"/>
    <w:rsid w:val="009C4014"/>
    <w:rsid w:val="009D0DE7"/>
    <w:rsid w:val="009F28EF"/>
    <w:rsid w:val="00A1739E"/>
    <w:rsid w:val="00A91F89"/>
    <w:rsid w:val="00AD1FCA"/>
    <w:rsid w:val="00B15F4C"/>
    <w:rsid w:val="00B537CE"/>
    <w:rsid w:val="00B54C72"/>
    <w:rsid w:val="00B62A58"/>
    <w:rsid w:val="00B85C1E"/>
    <w:rsid w:val="00C150D8"/>
    <w:rsid w:val="00C15516"/>
    <w:rsid w:val="00C16C81"/>
    <w:rsid w:val="00C57739"/>
    <w:rsid w:val="00C65BE8"/>
    <w:rsid w:val="00C92352"/>
    <w:rsid w:val="00CB451F"/>
    <w:rsid w:val="00CC4897"/>
    <w:rsid w:val="00D202A4"/>
    <w:rsid w:val="00D611D1"/>
    <w:rsid w:val="00D91669"/>
    <w:rsid w:val="00DF097A"/>
    <w:rsid w:val="00DF2516"/>
    <w:rsid w:val="00DF53A8"/>
    <w:rsid w:val="00E039BF"/>
    <w:rsid w:val="00E11822"/>
    <w:rsid w:val="00E43CC3"/>
    <w:rsid w:val="00E73B02"/>
    <w:rsid w:val="00E74BF3"/>
    <w:rsid w:val="00EF3610"/>
    <w:rsid w:val="00F177A4"/>
    <w:rsid w:val="00F97E29"/>
    <w:rsid w:val="00FB1507"/>
    <w:rsid w:val="00FB3609"/>
    <w:rsid w:val="00FD40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A400B2"/>
  <w15:chartTrackingRefBased/>
  <w15:docId w15:val="{C80683B2-3B2B-439B-A043-279FE7350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semiHidden/>
    <w:rPr>
      <w:b w:val="0"/>
      <w:vertAlign w:val="superscript"/>
    </w:rPr>
  </w:style>
  <w:style w:type="paragraph" w:styleId="FootnoteText">
    <w:name w:val="footnote text"/>
    <w:basedOn w:val="Normal"/>
    <w:link w:val="FootnoteTextChar"/>
    <w:uiPriority w:val="99"/>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uiPriority w:val="99"/>
    <w:semiHidden/>
    <w:rsid w:val="005A192A"/>
    <w:rPr>
      <w:sz w:val="22"/>
      <w:lang w:val="fr-FR"/>
    </w:rPr>
  </w:style>
  <w:style w:type="character" w:styleId="CommentReference">
    <w:name w:val="annotation reference"/>
    <w:basedOn w:val="DefaultParagraphFont"/>
    <w:rsid w:val="005A192A"/>
    <w:rPr>
      <w:sz w:val="16"/>
      <w:szCs w:val="16"/>
    </w:rPr>
  </w:style>
  <w:style w:type="paragraph" w:styleId="CommentText">
    <w:name w:val="annotation text"/>
    <w:basedOn w:val="Normal"/>
    <w:link w:val="CommentTextChar"/>
    <w:rsid w:val="005A192A"/>
    <w:rPr>
      <w:sz w:val="20"/>
    </w:rPr>
  </w:style>
  <w:style w:type="character" w:customStyle="1" w:styleId="CommentTextChar">
    <w:name w:val="Comment Text Char"/>
    <w:basedOn w:val="DefaultParagraphFont"/>
    <w:link w:val="CommentText"/>
    <w:rsid w:val="005A192A"/>
    <w:rPr>
      <w:lang w:val="fr-FR"/>
    </w:rPr>
  </w:style>
  <w:style w:type="paragraph" w:styleId="CommentSubject">
    <w:name w:val="annotation subject"/>
    <w:basedOn w:val="CommentText"/>
    <w:next w:val="CommentText"/>
    <w:link w:val="CommentSubjectChar"/>
    <w:rsid w:val="005A192A"/>
    <w:rPr>
      <w:b/>
      <w:bCs/>
    </w:rPr>
  </w:style>
  <w:style w:type="character" w:customStyle="1" w:styleId="CommentSubjectChar">
    <w:name w:val="Comment Subject Char"/>
    <w:basedOn w:val="CommentTextChar"/>
    <w:link w:val="CommentSubject"/>
    <w:rsid w:val="005A192A"/>
    <w:rPr>
      <w:b/>
      <w:bCs/>
      <w:lang w:val="fr-FR"/>
    </w:rPr>
  </w:style>
  <w:style w:type="paragraph" w:styleId="BalloonText">
    <w:name w:val="Balloon Text"/>
    <w:basedOn w:val="Normal"/>
    <w:link w:val="BalloonTextChar"/>
    <w:rsid w:val="005A192A"/>
    <w:rPr>
      <w:rFonts w:ascii="Segoe UI" w:hAnsi="Segoe UI" w:cs="Segoe UI"/>
      <w:sz w:val="18"/>
      <w:szCs w:val="18"/>
    </w:rPr>
  </w:style>
  <w:style w:type="character" w:customStyle="1" w:styleId="BalloonTextChar">
    <w:name w:val="Balloon Text Char"/>
    <w:basedOn w:val="DefaultParagraphFont"/>
    <w:link w:val="BalloonText"/>
    <w:rsid w:val="005A192A"/>
    <w:rPr>
      <w:rFonts w:ascii="Segoe UI" w:hAnsi="Segoe UI" w:cs="Segoe UI"/>
      <w:sz w:val="18"/>
      <w:szCs w:val="18"/>
      <w:lang w:val="fr-FR"/>
    </w:rPr>
  </w:style>
  <w:style w:type="paragraph" w:customStyle="1" w:styleId="AmDocTypeTab">
    <w:name w:val="AmDocTypeTab"/>
    <w:basedOn w:val="Normal"/>
    <w:rsid w:val="008C4914"/>
    <w:pPr>
      <w:widowControl w:val="0"/>
      <w:tabs>
        <w:tab w:val="right" w:pos="9071"/>
      </w:tabs>
    </w:pPr>
    <w:rPr>
      <w:b/>
    </w:rPr>
  </w:style>
  <w:style w:type="paragraph" w:customStyle="1" w:styleId="Normal12a">
    <w:name w:val="Normal12a"/>
    <w:basedOn w:val="Normal"/>
    <w:rsid w:val="008C4914"/>
    <w:pPr>
      <w:widowControl w:val="0"/>
      <w:spacing w:after="240"/>
    </w:pPr>
  </w:style>
  <w:style w:type="character" w:customStyle="1" w:styleId="HideTWBInt">
    <w:name w:val="HideTWBInt"/>
    <w:rsid w:val="008C4914"/>
    <w:rPr>
      <w:rFonts w:ascii="Arial" w:hAnsi="Arial"/>
      <w:vanish/>
      <w:color w:val="808080"/>
      <w:sz w:val="20"/>
    </w:rPr>
  </w:style>
  <w:style w:type="paragraph" w:customStyle="1" w:styleId="Normal6a">
    <w:name w:val="Normal6a"/>
    <w:basedOn w:val="Normal"/>
    <w:rsid w:val="008C4914"/>
    <w:pPr>
      <w:widowControl w:val="0"/>
      <w:spacing w:after="120"/>
    </w:pPr>
  </w:style>
  <w:style w:type="paragraph" w:customStyle="1" w:styleId="AmColumnHeading">
    <w:name w:val="AmColumnHeading"/>
    <w:basedOn w:val="Normal"/>
    <w:rsid w:val="008C4914"/>
    <w:pPr>
      <w:widowControl w:val="0"/>
      <w:spacing w:after="240"/>
      <w:jc w:val="center"/>
    </w:pPr>
    <w:rPr>
      <w:i/>
    </w:rPr>
  </w:style>
  <w:style w:type="paragraph" w:customStyle="1" w:styleId="AmNumberTabs">
    <w:name w:val="AmNumberTabs"/>
    <w:basedOn w:val="Normal"/>
    <w:rsid w:val="008C491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CFD91-1C09-4522-9E6D-6FD5EAD8D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8</Pages>
  <Words>2084</Words>
  <Characters>11880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NEUKELMANCE Charlotte Anne Alain Ghislaine</dc:creator>
  <cp:keywords/>
  <cp:lastModifiedBy>NEUKELMANCE Charlotte Anne Alain Ghislaine</cp:lastModifiedBy>
  <cp:revision>2</cp:revision>
  <cp:lastPrinted>2024-11-14T15:56:00Z</cp:lastPrinted>
  <dcterms:created xsi:type="dcterms:W3CDTF">2025-01-06T14:51:00Z</dcterms:created>
  <dcterms:modified xsi:type="dcterms:W3CDTF">2025-01-06T14:51:00Z</dcterms:modified>
</cp:coreProperties>
</file>