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trPr>
          <w:trHeight w:hRule="exact" w:val="1418"/>
        </w:trPr>
        <w:tc>
          <w:tcPr>
            <w:tcW w:w="6804" w:type="dxa"/>
            <w:shd w:val="clear" w:color="auto" w:fill="auto"/>
            <w:vAlign w:val="center"/>
          </w:tcPr>
          <w:p>
            <w:pPr>
              <w:pStyle w:val="EPName"/>
              <w:rPr>
                <w:lang w:val="sk-SK"/>
              </w:rPr>
            </w:pPr>
            <w:r>
              <w:rPr>
                <w:lang w:val="sk-SK"/>
              </w:rPr>
              <w:t>Európsky parlament</w:t>
            </w:r>
          </w:p>
          <w:p>
            <w:pPr>
              <w:pStyle w:val="EPTerm"/>
              <w:rPr>
                <w:rStyle w:val="HideTWBExt"/>
                <w:vanish w:val="0"/>
                <w:lang w:val="sk-SK"/>
              </w:rPr>
            </w:pPr>
            <w:r>
              <w:rPr>
                <w:lang w:val="sk-SK"/>
              </w:rPr>
              <w:t>2024 - 2029</w:t>
            </w:r>
          </w:p>
        </w:tc>
        <w:tc>
          <w:tcPr>
            <w:tcW w:w="2268" w:type="dxa"/>
            <w:shd w:val="clear" w:color="auto" w:fill="auto"/>
          </w:tcPr>
          <w:p>
            <w:pPr>
              <w:pStyle w:val="EPLogo"/>
              <w:rPr>
                <w:lang w:val="sk-SK"/>
              </w:rPr>
            </w:pPr>
            <w:r>
              <w:rPr>
                <w:noProof/>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pPr>
        <w:pStyle w:val="LineTop"/>
        <w:rPr>
          <w:lang w:val="sk-SK"/>
        </w:rPr>
      </w:pPr>
    </w:p>
    <w:p>
      <w:pPr>
        <w:pStyle w:val="ZSessionDoc"/>
        <w:rPr>
          <w:b/>
          <w:i w:val="0"/>
          <w:lang w:val="sk-SK"/>
        </w:rPr>
      </w:pPr>
      <w:r>
        <w:rPr>
          <w:b/>
          <w:i w:val="0"/>
          <w:lang w:val="sk-SK"/>
        </w:rPr>
        <w:t>PRIJATÉ TEXTY</w:t>
      </w:r>
    </w:p>
    <w:p>
      <w:pPr>
        <w:pStyle w:val="LineBottom"/>
        <w:rPr>
          <w:lang w:val="sk-SK"/>
        </w:rPr>
      </w:pPr>
      <w:r>
        <w:rPr>
          <w:rFonts w:cs="Arial"/>
          <w:i/>
          <w:sz w:val="20"/>
          <w:szCs w:val="22"/>
          <w:lang w:val="sk-SK"/>
        </w:rPr>
        <w:t xml:space="preserve"> </w:t>
      </w:r>
    </w:p>
    <w:p>
      <w:pPr>
        <w:pStyle w:val="ATHeading1"/>
        <w:spacing w:before="480"/>
        <w:rPr>
          <w:lang w:val="sk-SK"/>
        </w:rPr>
      </w:pPr>
      <w:bookmarkStart w:id="0" w:name="TA_Heading"/>
      <w:r>
        <w:rPr>
          <w:lang w:val="sk-SK"/>
        </w:rPr>
        <w:t>P10_TA(2024)</w:t>
      </w:r>
      <w:bookmarkStart w:id="1" w:name="TANumber"/>
      <w:bookmarkEnd w:id="0"/>
      <w:r>
        <w:rPr>
          <w:lang w:val="sk-SK"/>
        </w:rPr>
        <w:t>0031</w:t>
      </w:r>
      <w:bookmarkEnd w:id="1"/>
    </w:p>
    <w:p>
      <w:pPr>
        <w:pStyle w:val="ATHeading2"/>
        <w:rPr>
          <w:lang w:val="sk-SK"/>
        </w:rPr>
      </w:pPr>
      <w:bookmarkStart w:id="2" w:name="title"/>
      <w:r>
        <w:rPr>
          <w:bCs/>
          <w:lang w:val="sk-SK"/>
        </w:rPr>
        <w:t>Nariadenie o odlesňovaní: ustanovenia týkajúce sa dátumu začatia uplatňovania</w:t>
      </w:r>
      <w:bookmarkStart w:id="3" w:name="Etoiles"/>
      <w:bookmarkEnd w:id="2"/>
      <w:bookmarkEnd w:id="3"/>
      <w:r>
        <w:rPr>
          <w:bCs/>
          <w:lang w:val="sk-SK"/>
        </w:rPr>
        <w:t xml:space="preserve"> </w:t>
      </w:r>
    </w:p>
    <w:p>
      <w:pPr>
        <w:rPr>
          <w:i/>
          <w:vanish/>
          <w:lang w:val="sk-SK"/>
        </w:rPr>
      </w:pPr>
      <w:r>
        <w:rPr>
          <w:i/>
          <w:lang w:val="sk-SK"/>
        </w:rPr>
        <w:fldChar w:fldCharType="begin"/>
      </w:r>
      <w:r>
        <w:rPr>
          <w:i/>
          <w:lang w:val="sk-SK"/>
        </w:rPr>
        <w:instrText xml:space="preserve"> TC"</w:instrText>
      </w:r>
      <w:bookmarkStart w:id="4" w:name="DocNumber"/>
      <w:r>
        <w:rPr>
          <w:i/>
          <w:lang w:val="sk-SK"/>
        </w:rPr>
        <w:instrText>(C10-0119/2024)</w:instrText>
      </w:r>
      <w:bookmarkEnd w:id="4"/>
      <w:r>
        <w:rPr>
          <w:i/>
          <w:lang w:val="sk-SK"/>
        </w:rPr>
        <w:instrText xml:space="preserve">"\l3 \n&gt; \* MERGEFORMAT </w:instrText>
      </w:r>
      <w:r>
        <w:rPr>
          <w:i/>
          <w:lang w:val="sk-SK"/>
        </w:rPr>
        <w:fldChar w:fldCharType="end"/>
      </w:r>
    </w:p>
    <w:p>
      <w:pPr>
        <w:rPr>
          <w:vanish/>
          <w:lang w:val="sk-SK"/>
        </w:rPr>
      </w:pPr>
      <w:bookmarkStart w:id="5" w:name="Commission"/>
      <w:r>
        <w:rPr>
          <w:vanish/>
          <w:lang w:val="sk-SK"/>
        </w:rPr>
        <w:t>Výbor pre životné prostredie, verejné zdravie a bezpečnosť potravín</w:t>
      </w:r>
    </w:p>
    <w:p>
      <w:pPr>
        <w:rPr>
          <w:vanish/>
          <w:lang w:val="sk-SK"/>
        </w:rPr>
      </w:pPr>
      <w:bookmarkStart w:id="6" w:name="PE"/>
      <w:bookmarkEnd w:id="5"/>
      <w:r>
        <w:rPr>
          <w:vanish/>
          <w:lang w:val="sk-SK"/>
        </w:rPr>
        <w:t>PE765.661</w:t>
      </w:r>
      <w:bookmarkEnd w:id="6"/>
    </w:p>
    <w:p>
      <w:pPr>
        <w:pStyle w:val="ATHeading3"/>
        <w:rPr>
          <w:lang w:val="sk-SK"/>
        </w:rPr>
      </w:pPr>
      <w:r>
        <w:rPr>
          <w:lang w:val="sk-SK"/>
        </w:rPr>
        <w:t xml:space="preserve">Pozmeňujúce návrhy prijaté Európskym parlamentom 14. novembra 2024 k návrhu nariadenia Európskeho parlamentu a Rady, ktorým sa mení nariadenie (EÚ) 2023/1115, pokiaľ ide o ustanovenia týkajúce sa dátumu začatia uplatňovania </w:t>
      </w:r>
      <w:bookmarkStart w:id="7" w:name="References"/>
      <w:r>
        <w:rPr>
          <w:lang w:val="sk-SK"/>
        </w:rPr>
        <w:t>(COM(2024)0452 – C10-0119/2024 – 2024/0249(COD))</w:t>
      </w:r>
      <w:bookmarkEnd w:id="7"/>
      <w:r>
        <w:rPr>
          <w:rStyle w:val="FootnoteReference"/>
          <w:lang w:val="sk-SK"/>
        </w:rPr>
        <w:footnoteReference w:id="1"/>
      </w:r>
    </w:p>
    <w:p>
      <w:pPr>
        <w:spacing w:before="120"/>
        <w:rPr>
          <w:b/>
          <w:lang w:val="sk-SK"/>
        </w:rPr>
      </w:pPr>
      <w:r>
        <w:rPr>
          <w:b/>
          <w:lang w:val="sk-SK"/>
        </w:rPr>
        <w:t>(Riadny legislatívny postup: prvé čítanie)</w:t>
      </w:r>
    </w:p>
    <w:p>
      <w:pPr>
        <w:pStyle w:val="Normal12"/>
        <w:ind w:left="567" w:hanging="567"/>
        <w:rPr>
          <w:szCs w:val="24"/>
          <w:lang w:val="sk-SK"/>
        </w:rPr>
        <w:sectPr>
          <w:footerReference w:type="even" r:id="rId9"/>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bookmarkStart w:id="9" w:name="TextBodyBegin"/>
      <w:bookmarkEnd w:id="9"/>
    </w:p>
    <w:p>
      <w:pPr>
        <w:pStyle w:val="AmNumberTabs"/>
      </w:pPr>
      <w:r>
        <w:lastRenderedPageBreak/>
        <w:t>Pozmeňujúci návrh</w:t>
      </w:r>
      <w:r>
        <w:tab/>
      </w:r>
      <w:r>
        <w:tab/>
      </w:r>
      <w:r>
        <w:rPr>
          <w:rStyle w:val="HideTWBExt"/>
          <w:b w:val="0"/>
        </w:rPr>
        <w:t>&lt;NumAm&gt;</w:t>
      </w:r>
      <w:r>
        <w:t>3</w:t>
      </w:r>
      <w:r>
        <w:rPr>
          <w:rStyle w:val="HideTWBExt"/>
          <w:b w:val="0"/>
        </w:rPr>
        <w:t>&lt;/</w:t>
      </w:r>
      <w:proofErr w:type="spellStart"/>
      <w:r>
        <w:rPr>
          <w:rStyle w:val="HideTWBExt"/>
          <w:b w:val="0"/>
        </w:rPr>
        <w:t>NumAm</w:t>
      </w:r>
      <w:proofErr w:type="spellEnd"/>
      <w:r>
        <w:rPr>
          <w:rStyle w:val="HideTWBExt"/>
          <w:b w:val="0"/>
        </w:rPr>
        <w:t>&gt;</w:t>
      </w:r>
    </w:p>
    <w:p>
      <w:pPr>
        <w:pStyle w:val="NormalBold"/>
        <w:rPr>
          <w:rStyle w:val="HideTWBExt"/>
          <w:b w:val="0"/>
          <w:vanish w:val="0"/>
          <w:lang w:val="sk-SK"/>
        </w:rPr>
      </w:pPr>
    </w:p>
    <w:p>
      <w:pPr>
        <w:pStyle w:val="NormalBold"/>
        <w:rPr>
          <w:lang w:val="sk-SK"/>
        </w:rPr>
      </w:pPr>
      <w:r>
        <w:rPr>
          <w:rStyle w:val="HideTWBExt"/>
          <w:b w:val="0"/>
          <w:lang w:val="sk-SK"/>
        </w:rPr>
        <w:t>&lt;DocAmend&gt;</w:t>
      </w:r>
      <w:r>
        <w:rPr>
          <w:lang w:val="sk-SK"/>
        </w:rPr>
        <w:t>Návrh nariadenia</w:t>
      </w:r>
      <w:r>
        <w:rPr>
          <w:rStyle w:val="HideTWBExt"/>
          <w:b w:val="0"/>
          <w:lang w:val="sk-SK"/>
        </w:rPr>
        <w:t>&lt;/</w:t>
      </w:r>
      <w:proofErr w:type="spellStart"/>
      <w:r>
        <w:rPr>
          <w:rStyle w:val="HideTWBExt"/>
          <w:b w:val="0"/>
          <w:lang w:val="sk-SK"/>
        </w:rPr>
        <w:t>DocAmend</w:t>
      </w:r>
      <w:proofErr w:type="spellEnd"/>
      <w:r>
        <w:rPr>
          <w:rStyle w:val="HideTWBExt"/>
          <w:b w:val="0"/>
          <w:lang w:val="sk-SK"/>
        </w:rPr>
        <w:t>&gt;</w:t>
      </w:r>
    </w:p>
    <w:p>
      <w:pPr>
        <w:pStyle w:val="NormalBold"/>
        <w:rPr>
          <w:lang w:val="sk-SK"/>
        </w:rPr>
      </w:pPr>
      <w:r>
        <w:rPr>
          <w:rStyle w:val="HideTWBExt"/>
          <w:b w:val="0"/>
          <w:lang w:val="sk-SK"/>
        </w:rPr>
        <w:t>&lt;Article&gt;</w:t>
      </w:r>
      <w:r>
        <w:rPr>
          <w:lang w:val="sk-SK"/>
        </w:rPr>
        <w:t>Článok 1 – odsek 1 – bod -1 (nový)</w:t>
      </w:r>
      <w:r>
        <w:rPr>
          <w:rStyle w:val="HideTWBExt"/>
          <w:b w:val="0"/>
          <w:lang w:val="sk-SK"/>
        </w:rPr>
        <w:t>&lt;/</w:t>
      </w:r>
      <w:proofErr w:type="spellStart"/>
      <w:r>
        <w:rPr>
          <w:rStyle w:val="HideTWBExt"/>
          <w:b w:val="0"/>
          <w:lang w:val="sk-SK"/>
        </w:rPr>
        <w:t>Article</w:t>
      </w:r>
      <w:proofErr w:type="spellEnd"/>
      <w:r>
        <w:rPr>
          <w:rStyle w:val="HideTWBExt"/>
          <w:b w:val="0"/>
          <w:lang w:val="sk-SK"/>
        </w:rPr>
        <w:t>&gt;</w:t>
      </w:r>
    </w:p>
    <w:p>
      <w:r>
        <w:rPr>
          <w:rStyle w:val="HideTWBExt"/>
        </w:rPr>
        <w:t>&lt;DocAmend2&gt;</w:t>
      </w:r>
      <w:proofErr w:type="spellStart"/>
      <w:r>
        <w:t>Nariadenie</w:t>
      </w:r>
      <w:proofErr w:type="spellEnd"/>
      <w:r>
        <w:t xml:space="preserve"> (EÚ) 2023/1115</w:t>
      </w:r>
      <w:r>
        <w:rPr>
          <w:rStyle w:val="HideTWBExt"/>
        </w:rPr>
        <w:t>&lt;/DocAmend2&gt;</w:t>
      </w:r>
    </w:p>
    <w:p>
      <w:r>
        <w:rPr>
          <w:rStyle w:val="HideTWBExt"/>
        </w:rPr>
        <w:t>&lt;Article2&gt;</w:t>
      </w:r>
      <w:proofErr w:type="spellStart"/>
      <w:r>
        <w:t>Odôvodnenie</w:t>
      </w:r>
      <w:proofErr w:type="spellEnd"/>
      <w:r>
        <w:t xml:space="preserve"> 68</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Platný text</w:t>
            </w:r>
          </w:p>
        </w:tc>
        <w:tc>
          <w:tcPr>
            <w:tcW w:w="4876" w:type="dxa"/>
          </w:tcPr>
          <w:p>
            <w:pPr>
              <w:pStyle w:val="AmColumnHeading"/>
              <w:keepNext/>
            </w:pPr>
            <w:r>
              <w:t>Pozmeňujúci návrh</w:t>
            </w:r>
          </w:p>
        </w:tc>
      </w:tr>
      <w:tr>
        <w:trPr>
          <w:jc w:val="center"/>
        </w:trPr>
        <w:tc>
          <w:tcPr>
            <w:tcW w:w="4876" w:type="dxa"/>
          </w:tcPr>
          <w:p>
            <w:pPr>
              <w:pStyle w:val="Normal6a"/>
            </w:pPr>
          </w:p>
        </w:tc>
        <w:tc>
          <w:tcPr>
            <w:tcW w:w="4876" w:type="dxa"/>
          </w:tcPr>
          <w:p>
            <w:pPr>
              <w:pStyle w:val="Normal6a"/>
              <w:rPr>
                <w:szCs w:val="24"/>
              </w:rPr>
            </w:pPr>
            <w:r>
              <w:rPr>
                <w:b/>
                <w:i/>
              </w:rPr>
              <w:t>-1.</w:t>
            </w:r>
            <w:r>
              <w:rPr>
                <w:b/>
                <w:i/>
              </w:rPr>
              <w:tab/>
              <w:t>Odôvodnenie 68 sa nahrádza takto:</w:t>
            </w:r>
          </w:p>
        </w:tc>
      </w:tr>
      <w:tr>
        <w:trPr>
          <w:jc w:val="center"/>
        </w:trPr>
        <w:tc>
          <w:tcPr>
            <w:tcW w:w="4876" w:type="dxa"/>
          </w:tcPr>
          <w:p>
            <w:pPr>
              <w:pStyle w:val="Normal6a"/>
            </w:pPr>
            <w:r>
              <w:t xml:space="preserve">(68) </w:t>
            </w:r>
            <w:r>
              <w:tab/>
              <w:t xml:space="preserve">Okrem toho by Komisia mala posúdiť riziko odlesňovania a degradácie lesov na úrovni krajiny alebo jej častí na základe súboru kritérií, ktoré odrážajú kvantitatívne, objektívne a medzinárodne uznávané údaje, a na základe indícií, že krajiny sa aktívne zapájajú do boja proti odlesňovaniu a degradácii lesov. Tieto referenčné informácie by mali hospodárskym subjektom v Únii uľahčiť uplatňovanie náležitej starostlivosti a príslušným orgánom by mali uľahčiť monitorovanie a presadzovanie dodržiavania predpisov a zároveň by mali motivovať producentské krajiny, aby zvyšovali udržateľnosť svojich systémov poľnohospodárskej výroby a znižovali svoj vplyv na odlesňovanie. To by malo pomôcť zvýšiť transparentnosť a udržateľnosť dodávateľských reťazcov. Systém referenčného porovnávania by mal byť založený na </w:t>
            </w:r>
            <w:r>
              <w:rPr>
                <w:b/>
                <w:i/>
              </w:rPr>
              <w:t>troj</w:t>
            </w:r>
            <w:r>
              <w:t xml:space="preserve">stupňovom systéme klasifikácie krajín na krajiny s nízkym, štandardným </w:t>
            </w:r>
            <w:r>
              <w:rPr>
                <w:b/>
                <w:i/>
              </w:rPr>
              <w:t>alebo</w:t>
            </w:r>
            <w:r>
              <w:t xml:space="preserve"> vysokým rizikom. S cieľom zabezpečiť primeranú transparentnosť a jasnosť by Komisia mala predovšetkým zverejniť údaje, ktoré sa používajú na referenčné porovnávanie, ako aj dôvody navrhovanej zmeny klasifikácie a odpoveď dotknutej krajiny. V prípade príslušných výrobkov z krajín s nízkym rizikom alebo z ich častí by hospodárske subjekty mali mať možnosť vykonávať zjednodušenú náležitú starostlivosť. Pre príslušné výrobky z vysokorizikových krajín alebo z ich častí by sa od príslušných orgánov malo vyžadovať, aby uplatňovali posilnené preskúmanie. Komisia by mala byť splnomocnená na prijatie </w:t>
            </w:r>
            <w:r>
              <w:lastRenderedPageBreak/>
              <w:t>vykonávacích aktov s cieľom stanoviť zoznam krajín alebo ich častí, ktoré predstavujú nízke alebo vysoké riziko.</w:t>
            </w:r>
          </w:p>
        </w:tc>
        <w:tc>
          <w:tcPr>
            <w:tcW w:w="4876" w:type="dxa"/>
          </w:tcPr>
          <w:p>
            <w:pPr>
              <w:pStyle w:val="Normal6a"/>
              <w:rPr>
                <w:b/>
                <w:i/>
                <w:szCs w:val="24"/>
              </w:rPr>
            </w:pPr>
            <w:r>
              <w:lastRenderedPageBreak/>
              <w:t xml:space="preserve">„(68) </w:t>
            </w:r>
            <w:r>
              <w:tab/>
              <w:t xml:space="preserve">Okrem toho by Komisia mala posúdiť riziko odlesňovania a degradácie lesov na úrovni krajiny alebo jej častí na základe súboru kritérií, ktoré odrážajú kvantitatívne, objektívne a medzinárodne uznávané údaje, a na základe indícií, že krajiny sa aktívne zapájajú do boja proti odlesňovaniu a degradácii lesov. Tieto referenčné informácie by mali hospodárskym subjektom v Únii uľahčiť uplatňovanie náležitej starostlivosti a príslušným orgánom by mali uľahčiť monitorovanie a presadzovanie dodržiavania predpisov a zároveň by mali motivovať producentské krajiny, aby zvyšovali udržateľnosť svojich systémov poľnohospodárskej výroby a znižovali svoj vplyv na odlesňovanie. To by malo pomôcť zvýšiť transparentnosť a udržateľnosť dodávateľských reťazcov. Systém referenčného porovnávania by mal byť založený na </w:t>
            </w:r>
            <w:r>
              <w:rPr>
                <w:b/>
                <w:i/>
              </w:rPr>
              <w:t>štvor</w:t>
            </w:r>
            <w:r>
              <w:t>stupňovom systéme klasifikácie krajín na krajiny s nízkym, štandardným</w:t>
            </w:r>
            <w:r>
              <w:rPr>
                <w:i/>
              </w:rPr>
              <w:t>,</w:t>
            </w:r>
            <w:r>
              <w:t xml:space="preserve"> vysokým </w:t>
            </w:r>
            <w:r>
              <w:rPr>
                <w:b/>
                <w:i/>
              </w:rPr>
              <w:t>alebo žiadnym</w:t>
            </w:r>
            <w:r>
              <w:t xml:space="preserve"> rizikom. S cieľom zabezpečiť primeranú transparentnosť a jasnosť by Komisia mala predovšetkým zverejniť údaje, ktoré sa používajú na referenčné porovnávanie, ako aj dôvody navrhovanej zmeny klasifikácie a odpoveď dotknutej krajiny. V prípade príslušných výrobkov z krajín s nízkym rizikom alebo z ich častí by hospodárske subjekty mali mať možnosť vykonávať zjednodušenú náležitú starostlivosť. Pre príslušné výrobky z vysokorizikových krajín alebo z ich častí by sa od príslušných orgánov malo vyžadovať, aby uplatňovali posilnené preskúmanie. </w:t>
            </w:r>
            <w:r>
              <w:rPr>
                <w:b/>
                <w:i/>
              </w:rPr>
              <w:t xml:space="preserve">Tieto podmienky by sa nemali vzťahovať na príslušné </w:t>
            </w:r>
            <w:r>
              <w:rPr>
                <w:b/>
                <w:i/>
              </w:rPr>
              <w:lastRenderedPageBreak/>
              <w:t xml:space="preserve">výrobky z krajín bez rizika a z ich častí. </w:t>
            </w:r>
            <w:r>
              <w:t>Komisia by mala byť splnomocnená na prijatie vykonávacích aktov s cieľom stanoviť zoznam krajín alebo ich častí, ktoré predstavujú nízke alebo vysoké riziko.“</w:t>
            </w:r>
          </w:p>
        </w:tc>
      </w:tr>
    </w:tbl>
    <w:p>
      <w:pPr>
        <w:pStyle w:val="AmNumberTabs"/>
      </w:pPr>
      <w:r>
        <w:lastRenderedPageBreak/>
        <w:t>Pozmeňujúci návrh</w:t>
      </w:r>
      <w:r>
        <w:tab/>
      </w:r>
      <w:r>
        <w:tab/>
      </w:r>
      <w:r>
        <w:rPr>
          <w:rStyle w:val="HideTWBExt"/>
          <w:b w:val="0"/>
        </w:rPr>
        <w:t>&lt;NumAm&gt;</w:t>
      </w:r>
      <w:r>
        <w:t>4</w:t>
      </w:r>
      <w:r>
        <w:rPr>
          <w:rStyle w:val="HideTWBExt"/>
          <w:b w:val="0"/>
        </w:rPr>
        <w:t>&lt;/</w:t>
      </w:r>
      <w:proofErr w:type="spellStart"/>
      <w:r>
        <w:rPr>
          <w:rStyle w:val="HideTWBExt"/>
          <w:b w:val="0"/>
        </w:rPr>
        <w:t>NumAm</w:t>
      </w:r>
      <w:proofErr w:type="spellEnd"/>
      <w:r>
        <w:rPr>
          <w:rStyle w:val="HideTWBExt"/>
          <w:b w:val="0"/>
        </w:rPr>
        <w:t>&gt;</w:t>
      </w:r>
    </w:p>
    <w:p>
      <w:pPr>
        <w:pStyle w:val="NormalBold"/>
        <w:rPr>
          <w:rStyle w:val="HideTWBExt"/>
          <w:b w:val="0"/>
          <w:lang w:val="sk-SK"/>
        </w:rPr>
      </w:pPr>
    </w:p>
    <w:p>
      <w:pPr>
        <w:pStyle w:val="NormalBold"/>
        <w:rPr>
          <w:lang w:val="sk-SK"/>
        </w:rPr>
      </w:pPr>
      <w:r>
        <w:rPr>
          <w:rStyle w:val="HideTWBExt"/>
          <w:b w:val="0"/>
          <w:lang w:val="sk-SK"/>
        </w:rPr>
        <w:t>&lt;DocAmend&gt;</w:t>
      </w:r>
      <w:r>
        <w:rPr>
          <w:lang w:val="sk-SK"/>
        </w:rPr>
        <w:t>Návrh nariadenia</w:t>
      </w:r>
      <w:r>
        <w:rPr>
          <w:rStyle w:val="HideTWBExt"/>
          <w:b w:val="0"/>
          <w:lang w:val="sk-SK"/>
        </w:rPr>
        <w:t>&lt;/</w:t>
      </w:r>
      <w:proofErr w:type="spellStart"/>
      <w:r>
        <w:rPr>
          <w:rStyle w:val="HideTWBExt"/>
          <w:b w:val="0"/>
          <w:lang w:val="sk-SK"/>
        </w:rPr>
        <w:t>DocAmend</w:t>
      </w:r>
      <w:proofErr w:type="spellEnd"/>
      <w:r>
        <w:rPr>
          <w:rStyle w:val="HideTWBExt"/>
          <w:b w:val="0"/>
          <w:lang w:val="sk-SK"/>
        </w:rPr>
        <w:t>&gt;</w:t>
      </w:r>
    </w:p>
    <w:p>
      <w:pPr>
        <w:pStyle w:val="NormalBold"/>
        <w:rPr>
          <w:lang w:val="sk-SK"/>
        </w:rPr>
      </w:pPr>
      <w:r>
        <w:rPr>
          <w:rStyle w:val="HideTWBExt"/>
          <w:b w:val="0"/>
          <w:lang w:val="sk-SK"/>
        </w:rPr>
        <w:t>&lt;Article&gt;</w:t>
      </w:r>
      <w:r>
        <w:rPr>
          <w:lang w:val="sk-SK"/>
        </w:rPr>
        <w:t>Článok 1 – odsek 1 – bod -1 a (nový)</w:t>
      </w:r>
      <w:r>
        <w:rPr>
          <w:rStyle w:val="HideTWBExt"/>
          <w:b w:val="0"/>
          <w:lang w:val="sk-SK"/>
        </w:rPr>
        <w:t>&lt;/</w:t>
      </w:r>
      <w:proofErr w:type="spellStart"/>
      <w:r>
        <w:rPr>
          <w:rStyle w:val="HideTWBExt"/>
          <w:b w:val="0"/>
          <w:lang w:val="sk-SK"/>
        </w:rPr>
        <w:t>Article</w:t>
      </w:r>
      <w:proofErr w:type="spellEnd"/>
      <w:r>
        <w:rPr>
          <w:rStyle w:val="HideTWBExt"/>
          <w:b w:val="0"/>
          <w:lang w:val="sk-SK"/>
        </w:rPr>
        <w:t>&gt;</w:t>
      </w:r>
    </w:p>
    <w:p>
      <w:r>
        <w:rPr>
          <w:rStyle w:val="HideTWBExt"/>
        </w:rPr>
        <w:t>&lt;DocAmend2&gt;</w:t>
      </w:r>
      <w:proofErr w:type="spellStart"/>
      <w:r>
        <w:t>Nariadenie</w:t>
      </w:r>
      <w:proofErr w:type="spellEnd"/>
      <w:r>
        <w:t xml:space="preserve"> (EÚ) 2023/1115</w:t>
      </w:r>
      <w:r>
        <w:rPr>
          <w:rStyle w:val="HideTWBExt"/>
        </w:rPr>
        <w:t>&lt;/DocAmend2&gt;</w:t>
      </w:r>
    </w:p>
    <w:p>
      <w:r>
        <w:rPr>
          <w:rStyle w:val="HideTWBExt"/>
        </w:rPr>
        <w:t>&lt;Article2&gt;</w:t>
      </w:r>
      <w:proofErr w:type="spellStart"/>
      <w:r>
        <w:t>Odôvodnenie</w:t>
      </w:r>
      <w:proofErr w:type="spellEnd"/>
      <w:r>
        <w:t xml:space="preserve"> 86</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Platný text</w:t>
            </w:r>
          </w:p>
        </w:tc>
        <w:tc>
          <w:tcPr>
            <w:tcW w:w="4876" w:type="dxa"/>
          </w:tcPr>
          <w:p>
            <w:pPr>
              <w:pStyle w:val="AmColumnHeading"/>
              <w:keepNext/>
            </w:pPr>
            <w:r>
              <w:t>Pozmeňujúci návrh</w:t>
            </w:r>
          </w:p>
        </w:tc>
      </w:tr>
      <w:tr>
        <w:trPr>
          <w:jc w:val="center"/>
        </w:trPr>
        <w:tc>
          <w:tcPr>
            <w:tcW w:w="4876" w:type="dxa"/>
          </w:tcPr>
          <w:p>
            <w:pPr>
              <w:pStyle w:val="Normal6a"/>
            </w:pPr>
          </w:p>
        </w:tc>
        <w:tc>
          <w:tcPr>
            <w:tcW w:w="4876" w:type="dxa"/>
          </w:tcPr>
          <w:p>
            <w:pPr>
              <w:pStyle w:val="Normal6a"/>
              <w:rPr>
                <w:szCs w:val="24"/>
              </w:rPr>
            </w:pPr>
            <w:r>
              <w:rPr>
                <w:b/>
                <w:i/>
              </w:rPr>
              <w:t>-1a.</w:t>
            </w:r>
            <w:r>
              <w:rPr>
                <w:b/>
                <w:i/>
              </w:rPr>
              <w:tab/>
              <w:t>Odôvodnenie 86 sa nahrádza takto:</w:t>
            </w:r>
          </w:p>
        </w:tc>
      </w:tr>
      <w:tr>
        <w:trPr>
          <w:jc w:val="center"/>
        </w:trPr>
        <w:tc>
          <w:tcPr>
            <w:tcW w:w="4876" w:type="dxa"/>
          </w:tcPr>
          <w:p>
            <w:pPr>
              <w:pStyle w:val="Normal6a"/>
            </w:pPr>
            <w:r>
              <w:t xml:space="preserve">(86) </w:t>
            </w:r>
            <w:r>
              <w:tab/>
              <w:t>Hospodárskym subjektom, obchodníkom a príslušným orgánom by sa malo poskytnúť dostatočné obdobie na to, aby sa pripravili na plnenie požiadaviek tohto nariadenia,</w:t>
            </w:r>
          </w:p>
        </w:tc>
        <w:tc>
          <w:tcPr>
            <w:tcW w:w="4876" w:type="dxa"/>
          </w:tcPr>
          <w:p>
            <w:pPr>
              <w:pStyle w:val="Normal6a"/>
              <w:rPr>
                <w:b/>
                <w:i/>
                <w:szCs w:val="24"/>
              </w:rPr>
            </w:pPr>
            <w:r>
              <w:t xml:space="preserve">„(86) </w:t>
            </w:r>
            <w:r>
              <w:tab/>
              <w:t xml:space="preserve">Hospodárskym subjektom, obchodníkom a príslušným orgánom by sa malo poskytnúť dostatočné obdobie na to, aby sa pripravili na plnenie požiadaviek tohto nariadenia, </w:t>
            </w:r>
            <w:r>
              <w:rPr>
                <w:b/>
                <w:i/>
              </w:rPr>
              <w:t>V období pred dátumom uplatňovania a s cieľom zabrániť akýmkoľvek oneskoreniam by Komisia mala uprednostniť optimalizáciu platformy na výmenu informácií medzi relevantnými zainteresovanými stranami a príslušnými orgánmi. Komisia sa takisto zaväzuje zverejniť klasifikáciu rizika, aby sa relevantné zainteresované strany mohli pripraviť na vymedzený povinný rozsah pôsobnosti tohto nariadenia. Platforma na výmenu informácií, ako aj klasifikácia rizika by mali byť dostupné a plne funkčné najmenej šesť mesiacov pred dátumom uplatňovania. V prípade ďalších oneskorení by sa dátum uplatňovania mal zodpovedajúcim spôsobom odložiť.“</w:t>
            </w:r>
          </w:p>
        </w:tc>
      </w:tr>
    </w:tbl>
    <w:p>
      <w:pPr>
        <w:pStyle w:val="AmNumberTabs"/>
      </w:pPr>
      <w:r>
        <w:t>Pozmeňujúci návrh</w:t>
      </w:r>
      <w:r>
        <w:tab/>
      </w:r>
      <w:r>
        <w:tab/>
      </w:r>
      <w:r>
        <w:rPr>
          <w:rStyle w:val="HideTWBExt"/>
          <w:b w:val="0"/>
        </w:rPr>
        <w:t>&lt;NumAm&gt;</w:t>
      </w:r>
      <w:r>
        <w:t>5</w:t>
      </w:r>
      <w:r>
        <w:rPr>
          <w:rStyle w:val="HideTWBExt"/>
          <w:b w:val="0"/>
        </w:rPr>
        <w:t>&lt;/</w:t>
      </w:r>
      <w:proofErr w:type="spellStart"/>
      <w:r>
        <w:rPr>
          <w:rStyle w:val="HideTWBExt"/>
          <w:b w:val="0"/>
        </w:rPr>
        <w:t>NumAm</w:t>
      </w:r>
      <w:proofErr w:type="spellEnd"/>
      <w:r>
        <w:rPr>
          <w:rStyle w:val="HideTWBExt"/>
          <w:b w:val="0"/>
        </w:rPr>
        <w:t>&gt;</w:t>
      </w:r>
    </w:p>
    <w:p>
      <w:pPr>
        <w:pStyle w:val="NormalBold"/>
        <w:rPr>
          <w:rStyle w:val="HideTWBExt"/>
          <w:b w:val="0"/>
          <w:lang w:val="sk-SK"/>
        </w:rPr>
      </w:pPr>
    </w:p>
    <w:p>
      <w:pPr>
        <w:pStyle w:val="NormalBold"/>
        <w:rPr>
          <w:lang w:val="sk-SK"/>
        </w:rPr>
      </w:pPr>
      <w:r>
        <w:rPr>
          <w:rStyle w:val="HideTWBExt"/>
          <w:b w:val="0"/>
          <w:lang w:val="sk-SK"/>
        </w:rPr>
        <w:t>DocAmend&gt;</w:t>
      </w:r>
      <w:r>
        <w:rPr>
          <w:lang w:val="sk-SK"/>
        </w:rPr>
        <w:t>Návrh nariadenia</w:t>
      </w:r>
      <w:r>
        <w:rPr>
          <w:rStyle w:val="HideTWBExt"/>
          <w:b w:val="0"/>
          <w:lang w:val="sk-SK"/>
        </w:rPr>
        <w:t>&lt;/</w:t>
      </w:r>
      <w:proofErr w:type="spellStart"/>
      <w:r>
        <w:rPr>
          <w:rStyle w:val="HideTWBExt"/>
          <w:b w:val="0"/>
          <w:lang w:val="sk-SK"/>
        </w:rPr>
        <w:t>DocAmend</w:t>
      </w:r>
      <w:proofErr w:type="spellEnd"/>
      <w:r>
        <w:rPr>
          <w:rStyle w:val="HideTWBExt"/>
          <w:b w:val="0"/>
          <w:lang w:val="sk-SK"/>
        </w:rPr>
        <w:t>&gt;</w:t>
      </w:r>
    </w:p>
    <w:p>
      <w:pPr>
        <w:pStyle w:val="NormalBold"/>
        <w:rPr>
          <w:lang w:val="sk-SK"/>
        </w:rPr>
      </w:pPr>
      <w:r>
        <w:rPr>
          <w:rStyle w:val="HideTWBExt"/>
          <w:b w:val="0"/>
          <w:lang w:val="sk-SK"/>
        </w:rPr>
        <w:t>&lt;Article&gt;</w:t>
      </w:r>
      <w:r>
        <w:rPr>
          <w:lang w:val="sk-SK"/>
        </w:rPr>
        <w:t>Článok 1 – odsek 1 – bod -1 b (nový)</w:t>
      </w:r>
      <w:r>
        <w:rPr>
          <w:rStyle w:val="HideTWBExt"/>
          <w:b w:val="0"/>
          <w:lang w:val="sk-SK"/>
        </w:rPr>
        <w:t>&lt;/</w:t>
      </w:r>
      <w:proofErr w:type="spellStart"/>
      <w:r>
        <w:rPr>
          <w:rStyle w:val="HideTWBExt"/>
          <w:b w:val="0"/>
          <w:lang w:val="sk-SK"/>
        </w:rPr>
        <w:t>Article</w:t>
      </w:r>
      <w:proofErr w:type="spellEnd"/>
      <w:r>
        <w:rPr>
          <w:rStyle w:val="HideTWBExt"/>
          <w:b w:val="0"/>
          <w:lang w:val="sk-SK"/>
        </w:rPr>
        <w:t>&gt;</w:t>
      </w:r>
    </w:p>
    <w:p>
      <w:pPr>
        <w:rPr>
          <w:lang w:val="sk-SK"/>
        </w:rPr>
      </w:pPr>
      <w:r>
        <w:rPr>
          <w:rStyle w:val="HideTWBExt"/>
          <w:lang w:val="sk-SK"/>
        </w:rPr>
        <w:t>&lt;DocAmend2&gt;</w:t>
      </w:r>
      <w:r>
        <w:rPr>
          <w:lang w:val="sk-SK"/>
        </w:rPr>
        <w:t>Nariadenie (EÚ) 2023/1115</w:t>
      </w:r>
      <w:r>
        <w:rPr>
          <w:rStyle w:val="HideTWBExt"/>
          <w:lang w:val="sk-SK"/>
        </w:rPr>
        <w:t>&lt;/DocAmend2&gt;</w:t>
      </w:r>
    </w:p>
    <w:p>
      <w:pPr>
        <w:rPr>
          <w:lang w:val="sk-SK"/>
        </w:rPr>
      </w:pPr>
      <w:r>
        <w:rPr>
          <w:rStyle w:val="HideTWBExt"/>
          <w:lang w:val="sk-SK"/>
        </w:rPr>
        <w:t>&lt;Article2&gt;</w:t>
      </w:r>
      <w:r>
        <w:rPr>
          <w:lang w:val="sk-SK"/>
        </w:rPr>
        <w:t>Článok 3 – úvodná časť</w:t>
      </w:r>
      <w:r>
        <w:rPr>
          <w:rStyle w:val="HideTWBExt"/>
          <w:lang w:val="sk-SK"/>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rPr>
                <w:lang w:val="sk-SK"/>
              </w:rPr>
            </w:pPr>
          </w:p>
        </w:tc>
      </w:tr>
      <w:tr>
        <w:trPr>
          <w:jc w:val="center"/>
        </w:trPr>
        <w:tc>
          <w:tcPr>
            <w:tcW w:w="4876" w:type="dxa"/>
          </w:tcPr>
          <w:p>
            <w:pPr>
              <w:pStyle w:val="AmColumnHeading"/>
              <w:keepNext/>
            </w:pPr>
            <w:r>
              <w:t>Platný text</w:t>
            </w:r>
          </w:p>
        </w:tc>
        <w:tc>
          <w:tcPr>
            <w:tcW w:w="4876" w:type="dxa"/>
          </w:tcPr>
          <w:p>
            <w:pPr>
              <w:pStyle w:val="AmColumnHeading"/>
              <w:keepNext/>
            </w:pPr>
            <w:r>
              <w:t>Pozmeňujúci návrh</w:t>
            </w:r>
          </w:p>
        </w:tc>
      </w:tr>
      <w:tr>
        <w:trPr>
          <w:jc w:val="center"/>
        </w:trPr>
        <w:tc>
          <w:tcPr>
            <w:tcW w:w="4876" w:type="dxa"/>
          </w:tcPr>
          <w:p>
            <w:pPr>
              <w:pStyle w:val="Normal6a"/>
            </w:pPr>
          </w:p>
        </w:tc>
        <w:tc>
          <w:tcPr>
            <w:tcW w:w="4876" w:type="dxa"/>
          </w:tcPr>
          <w:p>
            <w:pPr>
              <w:pStyle w:val="Normal6a"/>
              <w:rPr>
                <w:szCs w:val="24"/>
              </w:rPr>
            </w:pPr>
            <w:r>
              <w:rPr>
                <w:b/>
                <w:i/>
              </w:rPr>
              <w:t>-1b.</w:t>
            </w:r>
            <w:r>
              <w:rPr>
                <w:b/>
                <w:i/>
              </w:rPr>
              <w:tab/>
              <w:t>V článku 3 sa úvodná časť nahrádza takto:</w:t>
            </w:r>
          </w:p>
        </w:tc>
      </w:tr>
      <w:tr>
        <w:trPr>
          <w:jc w:val="center"/>
        </w:trPr>
        <w:tc>
          <w:tcPr>
            <w:tcW w:w="4876" w:type="dxa"/>
          </w:tcPr>
          <w:p>
            <w:pPr>
              <w:pStyle w:val="Normal6a"/>
            </w:pPr>
            <w:r>
              <w:t>Príslušné komodity a príslušné výrobky sa nesmú umiestňovať na trh alebo sprístupňovať na trhu ani vyvážať, ak nie sú splnené všetky tieto podmienky:</w:t>
            </w:r>
          </w:p>
        </w:tc>
        <w:tc>
          <w:tcPr>
            <w:tcW w:w="4876" w:type="dxa"/>
          </w:tcPr>
          <w:p>
            <w:pPr>
              <w:pStyle w:val="Normal6a"/>
              <w:rPr>
                <w:b/>
                <w:i/>
                <w:szCs w:val="24"/>
              </w:rPr>
            </w:pPr>
            <w:r>
              <w:t>„</w:t>
            </w:r>
            <w:r>
              <w:rPr>
                <w:b/>
                <w:i/>
              </w:rPr>
              <w:t>1.</w:t>
            </w:r>
            <w:r>
              <w:t xml:space="preserve"> </w:t>
            </w:r>
            <w:r>
              <w:tab/>
              <w:t xml:space="preserve">Príslušné komodity a príslušné výrobky </w:t>
            </w:r>
            <w:r>
              <w:rPr>
                <w:b/>
                <w:i/>
              </w:rPr>
              <w:t>z</w:t>
            </w:r>
            <w:r>
              <w:rPr>
                <w:i/>
              </w:rPr>
              <w:t xml:space="preserve"> </w:t>
            </w:r>
            <w:r>
              <w:rPr>
                <w:b/>
                <w:i/>
              </w:rPr>
              <w:t>krajín alebo ich častí, ktoré predstavujú nízke, štandardné alebo vysoké riziko</w:t>
            </w:r>
            <w:r>
              <w:rPr>
                <w:i/>
              </w:rPr>
              <w:t xml:space="preserve"> </w:t>
            </w:r>
            <w:r>
              <w:rPr>
                <w:b/>
                <w:i/>
              </w:rPr>
              <w:t>v súlade s článkom 29,</w:t>
            </w:r>
            <w:r>
              <w:t xml:space="preserve"> sa nesmú umiestňovať na trh alebo sprístupňovať na trhu ani vyvážať, ak nie sú splnené všetky tieto podmienky:“</w:t>
            </w:r>
          </w:p>
        </w:tc>
      </w:tr>
    </w:tbl>
    <w:p>
      <w:pPr>
        <w:pStyle w:val="AmNumberTabs"/>
      </w:pPr>
      <w:r>
        <w:t>Pozmeňujúci návrh</w:t>
      </w:r>
      <w:r>
        <w:tab/>
      </w:r>
      <w:r>
        <w:tab/>
      </w:r>
      <w:r>
        <w:rPr>
          <w:rStyle w:val="HideTWBExt"/>
          <w:b w:val="0"/>
        </w:rPr>
        <w:t>&lt;NumAm&gt;</w:t>
      </w:r>
      <w:r>
        <w:t>6</w:t>
      </w:r>
      <w:r>
        <w:rPr>
          <w:rStyle w:val="HideTWBExt"/>
          <w:b w:val="0"/>
        </w:rPr>
        <w:t>&lt;/</w:t>
      </w:r>
      <w:proofErr w:type="spellStart"/>
      <w:r>
        <w:rPr>
          <w:rStyle w:val="HideTWBExt"/>
          <w:b w:val="0"/>
        </w:rPr>
        <w:t>NumAm</w:t>
      </w:r>
      <w:proofErr w:type="spellEnd"/>
      <w:r>
        <w:rPr>
          <w:rStyle w:val="HideTWBExt"/>
          <w:b w:val="0"/>
        </w:rPr>
        <w:t>&gt;</w:t>
      </w:r>
    </w:p>
    <w:p>
      <w:pPr>
        <w:pStyle w:val="NormalBold"/>
        <w:rPr>
          <w:rStyle w:val="HideTWBExt"/>
          <w:b w:val="0"/>
          <w:lang w:val="sk-SK"/>
        </w:rPr>
      </w:pPr>
    </w:p>
    <w:p>
      <w:pPr>
        <w:pStyle w:val="NormalBold"/>
        <w:rPr>
          <w:lang w:val="sk-SK"/>
        </w:rPr>
      </w:pPr>
      <w:r>
        <w:rPr>
          <w:rStyle w:val="HideTWBExt"/>
          <w:b w:val="0"/>
          <w:lang w:val="sk-SK"/>
        </w:rPr>
        <w:t>&lt;DocAmend&gt;</w:t>
      </w:r>
      <w:r>
        <w:rPr>
          <w:lang w:val="sk-SK"/>
        </w:rPr>
        <w:t>Návrh nariadenia</w:t>
      </w:r>
      <w:r>
        <w:rPr>
          <w:rStyle w:val="HideTWBExt"/>
          <w:b w:val="0"/>
          <w:lang w:val="sk-SK"/>
        </w:rPr>
        <w:t>&lt;/</w:t>
      </w:r>
      <w:proofErr w:type="spellStart"/>
      <w:r>
        <w:rPr>
          <w:rStyle w:val="HideTWBExt"/>
          <w:b w:val="0"/>
          <w:lang w:val="sk-SK"/>
        </w:rPr>
        <w:t>DocAmend</w:t>
      </w:r>
      <w:proofErr w:type="spellEnd"/>
      <w:r>
        <w:rPr>
          <w:rStyle w:val="HideTWBExt"/>
          <w:b w:val="0"/>
          <w:lang w:val="sk-SK"/>
        </w:rPr>
        <w:t>&gt;</w:t>
      </w:r>
    </w:p>
    <w:p>
      <w:pPr>
        <w:pStyle w:val="NormalBold"/>
        <w:rPr>
          <w:lang w:val="sk-SK"/>
        </w:rPr>
      </w:pPr>
      <w:r>
        <w:rPr>
          <w:rStyle w:val="HideTWBExt"/>
          <w:b w:val="0"/>
          <w:lang w:val="sk-SK"/>
        </w:rPr>
        <w:t>&lt;Article&gt;</w:t>
      </w:r>
      <w:r>
        <w:rPr>
          <w:lang w:val="sk-SK"/>
        </w:rPr>
        <w:t>Článok 1 – odsek 1 – bod -1 c (nový)</w:t>
      </w:r>
      <w:r>
        <w:rPr>
          <w:rStyle w:val="HideTWBExt"/>
          <w:b w:val="0"/>
          <w:lang w:val="sk-SK"/>
        </w:rPr>
        <w:t>&lt;/</w:t>
      </w:r>
      <w:proofErr w:type="spellStart"/>
      <w:r>
        <w:rPr>
          <w:rStyle w:val="HideTWBExt"/>
          <w:b w:val="0"/>
          <w:lang w:val="sk-SK"/>
        </w:rPr>
        <w:t>Article</w:t>
      </w:r>
      <w:proofErr w:type="spellEnd"/>
      <w:r>
        <w:rPr>
          <w:rStyle w:val="HideTWBExt"/>
          <w:b w:val="0"/>
          <w:lang w:val="sk-SK"/>
        </w:rPr>
        <w:t>&gt;</w:t>
      </w:r>
    </w:p>
    <w:p>
      <w:pPr>
        <w:rPr>
          <w:lang w:val="en-GB"/>
        </w:rPr>
      </w:pPr>
      <w:r>
        <w:rPr>
          <w:rStyle w:val="HideTWBExt"/>
          <w:lang w:val="en-GB"/>
        </w:rPr>
        <w:t>&lt;DocAmend2&gt;</w:t>
      </w:r>
      <w:proofErr w:type="spellStart"/>
      <w:r>
        <w:rPr>
          <w:lang w:val="en-GB"/>
        </w:rPr>
        <w:t>Nariadenie</w:t>
      </w:r>
      <w:proofErr w:type="spellEnd"/>
      <w:r>
        <w:rPr>
          <w:lang w:val="en-GB"/>
        </w:rPr>
        <w:t xml:space="preserve"> (EÚ) 2023/1115</w:t>
      </w:r>
      <w:r>
        <w:rPr>
          <w:rStyle w:val="HideTWBExt"/>
          <w:lang w:val="en-GB"/>
        </w:rPr>
        <w:t>&lt;/DocAmend2&gt;</w:t>
      </w:r>
    </w:p>
    <w:p>
      <w:r>
        <w:rPr>
          <w:rStyle w:val="HideTWBExt"/>
        </w:rPr>
        <w:t>&lt;Article2&gt;</w:t>
      </w:r>
      <w:proofErr w:type="spellStart"/>
      <w:r>
        <w:t>Článok</w:t>
      </w:r>
      <w:proofErr w:type="spellEnd"/>
      <w:r>
        <w:t xml:space="preserve"> 3 – </w:t>
      </w:r>
      <w:proofErr w:type="spellStart"/>
      <w:r>
        <w:t>odsek</w:t>
      </w:r>
      <w:proofErr w:type="spellEnd"/>
      <w:r>
        <w:t xml:space="preserve"> 1 a (</w:t>
      </w:r>
      <w:proofErr w:type="spellStart"/>
      <w:r>
        <w:t>nový</w:t>
      </w:r>
      <w:proofErr w:type="spellEnd"/>
      <w:r>
        <w:t>)</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Text predložený Komisiou</w:t>
            </w:r>
          </w:p>
        </w:tc>
        <w:tc>
          <w:tcPr>
            <w:tcW w:w="4876" w:type="dxa"/>
          </w:tcPr>
          <w:p>
            <w:pPr>
              <w:pStyle w:val="AmColumnHeading"/>
              <w:keepNext/>
            </w:pPr>
            <w:r>
              <w:t>Pozmeňujúci návrh</w:t>
            </w:r>
          </w:p>
        </w:tc>
      </w:tr>
      <w:tr>
        <w:trPr>
          <w:jc w:val="center"/>
        </w:trPr>
        <w:tc>
          <w:tcPr>
            <w:tcW w:w="4876" w:type="dxa"/>
          </w:tcPr>
          <w:p>
            <w:pPr>
              <w:pStyle w:val="Normal6a"/>
            </w:pPr>
          </w:p>
        </w:tc>
        <w:tc>
          <w:tcPr>
            <w:tcW w:w="4876" w:type="dxa"/>
          </w:tcPr>
          <w:p>
            <w:pPr>
              <w:pStyle w:val="Normal6a"/>
              <w:rPr>
                <w:szCs w:val="24"/>
              </w:rPr>
            </w:pPr>
            <w:r>
              <w:rPr>
                <w:b/>
                <w:i/>
              </w:rPr>
              <w:t>-1c.</w:t>
            </w:r>
            <w:r>
              <w:rPr>
                <w:b/>
                <w:i/>
              </w:rPr>
              <w:tab/>
              <w:t>V článku 3 sa dopĺňa tento odsek:</w:t>
            </w:r>
          </w:p>
        </w:tc>
      </w:tr>
      <w:tr>
        <w:trPr>
          <w:jc w:val="center"/>
        </w:trPr>
        <w:tc>
          <w:tcPr>
            <w:tcW w:w="4876" w:type="dxa"/>
          </w:tcPr>
          <w:p>
            <w:pPr>
              <w:pStyle w:val="Normal6a"/>
            </w:pPr>
          </w:p>
        </w:tc>
        <w:tc>
          <w:tcPr>
            <w:tcW w:w="4876" w:type="dxa"/>
          </w:tcPr>
          <w:p>
            <w:pPr>
              <w:pStyle w:val="Normal6a"/>
              <w:rPr>
                <w:b/>
                <w:i/>
                <w:szCs w:val="24"/>
              </w:rPr>
            </w:pPr>
            <w:r>
              <w:rPr>
                <w:b/>
                <w:i/>
              </w:rPr>
              <w:t xml:space="preserve">„1a. </w:t>
            </w:r>
            <w:r>
              <w:rPr>
                <w:b/>
                <w:i/>
              </w:rPr>
              <w:tab/>
              <w:t>Príslušné komodity a príslušné výrobky z krajín alebo ich častí, ktoré nepredstavujú žiadne riziko v súlade s článkom 29, sa nesmú umiestňovať na trh alebo sprístupňovať na trhu ani vyvážať, ak nie sú splnené všetky tieto podmienky:</w:t>
            </w:r>
          </w:p>
        </w:tc>
      </w:tr>
      <w:tr>
        <w:trPr>
          <w:jc w:val="center"/>
        </w:trPr>
        <w:tc>
          <w:tcPr>
            <w:tcW w:w="4876" w:type="dxa"/>
          </w:tcPr>
          <w:p>
            <w:pPr>
              <w:pStyle w:val="Normal6a"/>
            </w:pPr>
          </w:p>
        </w:tc>
        <w:tc>
          <w:tcPr>
            <w:tcW w:w="4876" w:type="dxa"/>
          </w:tcPr>
          <w:p>
            <w:pPr>
              <w:pStyle w:val="Normal6a"/>
              <w:rPr>
                <w:b/>
                <w:i/>
                <w:szCs w:val="24"/>
              </w:rPr>
            </w:pPr>
            <w:r>
              <w:rPr>
                <w:b/>
                <w:i/>
              </w:rPr>
              <w:t xml:space="preserve">a) </w:t>
            </w:r>
            <w:r>
              <w:rPr>
                <w:b/>
                <w:i/>
              </w:rPr>
              <w:tab/>
              <w:t>boli vyrobené v súlade s príslušnými právnymi predpismi krajiny výroby; a</w:t>
            </w:r>
          </w:p>
        </w:tc>
      </w:tr>
      <w:tr>
        <w:trPr>
          <w:jc w:val="center"/>
        </w:trPr>
        <w:tc>
          <w:tcPr>
            <w:tcW w:w="4876" w:type="dxa"/>
          </w:tcPr>
          <w:p>
            <w:pPr>
              <w:pStyle w:val="Normal6a"/>
            </w:pPr>
          </w:p>
        </w:tc>
        <w:tc>
          <w:tcPr>
            <w:tcW w:w="4876" w:type="dxa"/>
          </w:tcPr>
          <w:p>
            <w:pPr>
              <w:pStyle w:val="Normal6a"/>
              <w:rPr>
                <w:b/>
                <w:i/>
                <w:szCs w:val="24"/>
              </w:rPr>
            </w:pPr>
            <w:r>
              <w:rPr>
                <w:b/>
                <w:i/>
              </w:rPr>
              <w:t xml:space="preserve">b) </w:t>
            </w:r>
            <w:r>
              <w:rPr>
                <w:b/>
                <w:i/>
              </w:rPr>
              <w:tab/>
              <w:t>spĺňajú požiadavky na dokumentáciu uvedené v článku 5 ods. 1a.“</w:t>
            </w:r>
          </w:p>
        </w:tc>
      </w:tr>
    </w:tbl>
    <w:p>
      <w:pPr>
        <w:pStyle w:val="AmJustText"/>
      </w:pPr>
    </w:p>
    <w:p>
      <w:pPr>
        <w:pStyle w:val="AmNumberTabs"/>
      </w:pPr>
      <w:r>
        <w:t>Pozmeňujúci návrh</w:t>
      </w:r>
      <w:r>
        <w:tab/>
      </w:r>
      <w:r>
        <w:tab/>
      </w:r>
      <w:r>
        <w:rPr>
          <w:rStyle w:val="HideTWBExt"/>
          <w:b w:val="0"/>
        </w:rPr>
        <w:t>&lt;NumAm&gt;</w:t>
      </w:r>
      <w:r>
        <w:t>7</w:t>
      </w:r>
      <w:r>
        <w:rPr>
          <w:rStyle w:val="HideTWBExt"/>
          <w:b w:val="0"/>
        </w:rPr>
        <w:t>&lt;/</w:t>
      </w:r>
      <w:proofErr w:type="spellStart"/>
      <w:r>
        <w:rPr>
          <w:rStyle w:val="HideTWBExt"/>
          <w:b w:val="0"/>
        </w:rPr>
        <w:t>NumAm</w:t>
      </w:r>
      <w:proofErr w:type="spellEnd"/>
      <w:r>
        <w:rPr>
          <w:rStyle w:val="HideTWBExt"/>
          <w:b w:val="0"/>
        </w:rPr>
        <w:t>&gt;</w:t>
      </w:r>
    </w:p>
    <w:p>
      <w:pPr>
        <w:pStyle w:val="NormalBold"/>
        <w:rPr>
          <w:rStyle w:val="HideTWBExt"/>
          <w:b w:val="0"/>
          <w:lang w:val="sk-SK"/>
        </w:rPr>
      </w:pPr>
    </w:p>
    <w:p>
      <w:pPr>
        <w:pStyle w:val="NormalBold"/>
        <w:rPr>
          <w:lang w:val="sk-SK"/>
        </w:rPr>
      </w:pPr>
      <w:r>
        <w:rPr>
          <w:rStyle w:val="HideTWBExt"/>
          <w:b w:val="0"/>
          <w:lang w:val="sk-SK"/>
        </w:rPr>
        <w:t>&lt;DocAmend&gt;</w:t>
      </w:r>
      <w:r>
        <w:rPr>
          <w:lang w:val="sk-SK"/>
        </w:rPr>
        <w:t>Návrh nariadenia</w:t>
      </w:r>
      <w:r>
        <w:rPr>
          <w:rStyle w:val="HideTWBExt"/>
          <w:b w:val="0"/>
          <w:lang w:val="sk-SK"/>
        </w:rPr>
        <w:t>&lt;/</w:t>
      </w:r>
      <w:proofErr w:type="spellStart"/>
      <w:r>
        <w:rPr>
          <w:rStyle w:val="HideTWBExt"/>
          <w:b w:val="0"/>
          <w:lang w:val="sk-SK"/>
        </w:rPr>
        <w:t>DocAmend</w:t>
      </w:r>
      <w:proofErr w:type="spellEnd"/>
      <w:r>
        <w:rPr>
          <w:rStyle w:val="HideTWBExt"/>
          <w:b w:val="0"/>
          <w:lang w:val="sk-SK"/>
        </w:rPr>
        <w:t>&gt;</w:t>
      </w:r>
    </w:p>
    <w:p>
      <w:pPr>
        <w:pStyle w:val="NormalBold"/>
        <w:rPr>
          <w:lang w:val="sk-SK"/>
        </w:rPr>
      </w:pPr>
      <w:r>
        <w:rPr>
          <w:rStyle w:val="HideTWBExt"/>
          <w:b w:val="0"/>
          <w:lang w:val="sk-SK"/>
        </w:rPr>
        <w:t>&lt;Article&gt;</w:t>
      </w:r>
      <w:r>
        <w:rPr>
          <w:lang w:val="sk-SK"/>
        </w:rPr>
        <w:t>Článok 1 – odsek 1 – bod -1 d (nový)</w:t>
      </w:r>
      <w:r>
        <w:rPr>
          <w:rStyle w:val="HideTWBExt"/>
          <w:b w:val="0"/>
          <w:lang w:val="sk-SK"/>
        </w:rPr>
        <w:t>&lt;/</w:t>
      </w:r>
      <w:proofErr w:type="spellStart"/>
      <w:r>
        <w:rPr>
          <w:rStyle w:val="HideTWBExt"/>
          <w:b w:val="0"/>
          <w:lang w:val="sk-SK"/>
        </w:rPr>
        <w:t>Article</w:t>
      </w:r>
      <w:proofErr w:type="spellEnd"/>
      <w:r>
        <w:rPr>
          <w:rStyle w:val="HideTWBExt"/>
          <w:b w:val="0"/>
          <w:lang w:val="sk-SK"/>
        </w:rPr>
        <w:t>&gt;</w:t>
      </w:r>
    </w:p>
    <w:p>
      <w:pPr>
        <w:rPr>
          <w:lang w:val="en-GB"/>
        </w:rPr>
      </w:pPr>
      <w:r>
        <w:rPr>
          <w:rStyle w:val="HideTWBExt"/>
          <w:lang w:val="en-GB"/>
        </w:rPr>
        <w:t>&lt;DocAmend2&gt;</w:t>
      </w:r>
      <w:proofErr w:type="spellStart"/>
      <w:r>
        <w:rPr>
          <w:lang w:val="en-GB"/>
        </w:rPr>
        <w:t>Nariadenie</w:t>
      </w:r>
      <w:proofErr w:type="spellEnd"/>
      <w:r>
        <w:rPr>
          <w:lang w:val="en-GB"/>
        </w:rPr>
        <w:t xml:space="preserve"> (EÚ) 2023/1115</w:t>
      </w:r>
      <w:r>
        <w:rPr>
          <w:rStyle w:val="HideTWBExt"/>
          <w:lang w:val="en-GB"/>
        </w:rPr>
        <w:t>&lt;/DocAmend2&gt;</w:t>
      </w:r>
    </w:p>
    <w:p>
      <w:r>
        <w:rPr>
          <w:rStyle w:val="HideTWBExt"/>
        </w:rPr>
        <w:t>&lt;Article2&gt;</w:t>
      </w:r>
      <w:proofErr w:type="spellStart"/>
      <w:r>
        <w:t>Článok</w:t>
      </w:r>
      <w:proofErr w:type="spellEnd"/>
      <w:r>
        <w:t xml:space="preserve"> 4 – </w:t>
      </w:r>
      <w:proofErr w:type="spellStart"/>
      <w:r>
        <w:t>odsek</w:t>
      </w:r>
      <w:proofErr w:type="spellEnd"/>
      <w:r>
        <w:t xml:space="preserve"> 10 a (</w:t>
      </w:r>
      <w:proofErr w:type="spellStart"/>
      <w:r>
        <w:t>nový</w:t>
      </w:r>
      <w:proofErr w:type="spellEnd"/>
      <w:r>
        <w:t>)</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Text predložený Komisiou</w:t>
            </w:r>
          </w:p>
        </w:tc>
        <w:tc>
          <w:tcPr>
            <w:tcW w:w="4876" w:type="dxa"/>
          </w:tcPr>
          <w:p>
            <w:pPr>
              <w:pStyle w:val="AmColumnHeading"/>
              <w:keepNext/>
            </w:pPr>
            <w:r>
              <w:t>Pozmeňujúci návrh</w:t>
            </w:r>
          </w:p>
        </w:tc>
      </w:tr>
      <w:tr>
        <w:trPr>
          <w:jc w:val="center"/>
        </w:trPr>
        <w:tc>
          <w:tcPr>
            <w:tcW w:w="4876" w:type="dxa"/>
          </w:tcPr>
          <w:p>
            <w:pPr>
              <w:pStyle w:val="Normal6a"/>
            </w:pPr>
          </w:p>
        </w:tc>
        <w:tc>
          <w:tcPr>
            <w:tcW w:w="4876" w:type="dxa"/>
          </w:tcPr>
          <w:p>
            <w:pPr>
              <w:pStyle w:val="Normal6a"/>
              <w:rPr>
                <w:szCs w:val="24"/>
              </w:rPr>
            </w:pPr>
            <w:r>
              <w:rPr>
                <w:b/>
                <w:i/>
              </w:rPr>
              <w:t>-1d.</w:t>
            </w:r>
            <w:r>
              <w:rPr>
                <w:b/>
                <w:i/>
              </w:rPr>
              <w:tab/>
              <w:t>V článku 4 sa dopĺňa tento odsek:</w:t>
            </w:r>
          </w:p>
        </w:tc>
      </w:tr>
      <w:tr>
        <w:trPr>
          <w:jc w:val="center"/>
        </w:trPr>
        <w:tc>
          <w:tcPr>
            <w:tcW w:w="4876" w:type="dxa"/>
          </w:tcPr>
          <w:p>
            <w:pPr>
              <w:pStyle w:val="Normal6a"/>
            </w:pPr>
          </w:p>
        </w:tc>
        <w:tc>
          <w:tcPr>
            <w:tcW w:w="4876" w:type="dxa"/>
          </w:tcPr>
          <w:p>
            <w:pPr>
              <w:pStyle w:val="Normal6a"/>
              <w:rPr>
                <w:b/>
                <w:i/>
                <w:szCs w:val="24"/>
              </w:rPr>
            </w:pPr>
            <w:r>
              <w:rPr>
                <w:b/>
                <w:i/>
              </w:rPr>
              <w:t xml:space="preserve">„10a. </w:t>
            </w:r>
            <w:r>
              <w:rPr>
                <w:b/>
                <w:i/>
              </w:rPr>
              <w:tab/>
              <w:t xml:space="preserve">Odchylne od odsekov 1 až 10 tohto </w:t>
            </w:r>
            <w:r>
              <w:rPr>
                <w:b/>
                <w:i/>
              </w:rPr>
              <w:lastRenderedPageBreak/>
              <w:t>článku musia hospodárske subjekty, ktoré uvádzajú na trh alebo sprístupňujú na trhu alebo vyvážajú príslušné komodity a príslušné výrobky vyrobené v krajinách alebo ich častiach, ktoré nepredstavujú žiadne riziko v súlade s článkom 29, spĺňať iba požiadavky na dokumentáciu stanovené v článku 5 ods. 1a. Pokiaľ ide o príslušné výrobky a častí príslušných výrobkov, ktoré boli vyrobené v krajinách alebo ich častiach, ktoré nepredstavujú žiadne riziko v súlade s článkom 29, hospodárske subjekty postupujú s náležitou starostlivosťou v súlade s odsekom 1 tohto článku.“</w:t>
            </w:r>
          </w:p>
        </w:tc>
      </w:tr>
    </w:tbl>
    <w:p>
      <w:pPr>
        <w:pStyle w:val="AmJustText"/>
      </w:pPr>
    </w:p>
    <w:p>
      <w:pPr>
        <w:pStyle w:val="AmNumberTabs"/>
      </w:pPr>
      <w:r>
        <w:t>Pozmeňujúci návrh</w:t>
      </w:r>
      <w:r>
        <w:tab/>
      </w:r>
      <w:r>
        <w:tab/>
      </w:r>
      <w:r>
        <w:rPr>
          <w:rStyle w:val="HideTWBExt"/>
          <w:b w:val="0"/>
        </w:rPr>
        <w:t>&lt;NumAm&gt;</w:t>
      </w:r>
      <w:r>
        <w:t>9</w:t>
      </w:r>
      <w:r>
        <w:rPr>
          <w:rStyle w:val="HideTWBExt"/>
          <w:b w:val="0"/>
        </w:rPr>
        <w:t>&lt;/</w:t>
      </w:r>
      <w:proofErr w:type="spellStart"/>
      <w:r>
        <w:rPr>
          <w:rStyle w:val="HideTWBExt"/>
          <w:b w:val="0"/>
        </w:rPr>
        <w:t>NumAm</w:t>
      </w:r>
      <w:proofErr w:type="spellEnd"/>
      <w:r>
        <w:rPr>
          <w:rStyle w:val="HideTWBExt"/>
          <w:b w:val="0"/>
        </w:rPr>
        <w:t>&gt;</w:t>
      </w:r>
    </w:p>
    <w:p>
      <w:pPr>
        <w:pStyle w:val="NormalBold"/>
        <w:rPr>
          <w:rStyle w:val="HideTWBExt"/>
          <w:b w:val="0"/>
          <w:lang w:val="sk-SK"/>
        </w:rPr>
      </w:pPr>
    </w:p>
    <w:p>
      <w:pPr>
        <w:pStyle w:val="NormalBold"/>
        <w:rPr>
          <w:lang w:val="sk-SK"/>
        </w:rPr>
      </w:pPr>
      <w:r>
        <w:rPr>
          <w:rStyle w:val="HideTWBExt"/>
          <w:b w:val="0"/>
          <w:lang w:val="sk-SK"/>
        </w:rPr>
        <w:t>&lt;DocAmend&gt;</w:t>
      </w:r>
      <w:r>
        <w:rPr>
          <w:lang w:val="sk-SK"/>
        </w:rPr>
        <w:t>Návrh nariadenia</w:t>
      </w:r>
      <w:r>
        <w:rPr>
          <w:rStyle w:val="HideTWBExt"/>
          <w:b w:val="0"/>
          <w:lang w:val="sk-SK"/>
        </w:rPr>
        <w:t>&lt;/</w:t>
      </w:r>
      <w:proofErr w:type="spellStart"/>
      <w:r>
        <w:rPr>
          <w:rStyle w:val="HideTWBExt"/>
          <w:b w:val="0"/>
          <w:lang w:val="sk-SK"/>
        </w:rPr>
        <w:t>DocAmend</w:t>
      </w:r>
      <w:proofErr w:type="spellEnd"/>
      <w:r>
        <w:rPr>
          <w:rStyle w:val="HideTWBExt"/>
          <w:b w:val="0"/>
          <w:lang w:val="sk-SK"/>
        </w:rPr>
        <w:t>&gt;</w:t>
      </w:r>
    </w:p>
    <w:p>
      <w:pPr>
        <w:pStyle w:val="NormalBold"/>
        <w:rPr>
          <w:lang w:val="sk-SK"/>
        </w:rPr>
      </w:pPr>
      <w:r>
        <w:rPr>
          <w:rStyle w:val="HideTWBExt"/>
          <w:b w:val="0"/>
          <w:lang w:val="sk-SK"/>
        </w:rPr>
        <w:t>&lt;Article&gt;</w:t>
      </w:r>
      <w:r>
        <w:rPr>
          <w:lang w:val="sk-SK"/>
        </w:rPr>
        <w:t>Článok 1 – odsek 1 – bod -1 e (nový)</w:t>
      </w:r>
      <w:r>
        <w:rPr>
          <w:rStyle w:val="HideTWBExt"/>
          <w:b w:val="0"/>
          <w:lang w:val="sk-SK"/>
        </w:rPr>
        <w:t>&lt;/</w:t>
      </w:r>
      <w:proofErr w:type="spellStart"/>
      <w:r>
        <w:rPr>
          <w:rStyle w:val="HideTWBExt"/>
          <w:b w:val="0"/>
          <w:lang w:val="sk-SK"/>
        </w:rPr>
        <w:t>Article</w:t>
      </w:r>
      <w:proofErr w:type="spellEnd"/>
      <w:r>
        <w:rPr>
          <w:rStyle w:val="HideTWBExt"/>
          <w:b w:val="0"/>
          <w:lang w:val="sk-SK"/>
        </w:rPr>
        <w:t>&gt;</w:t>
      </w:r>
    </w:p>
    <w:p>
      <w:pPr>
        <w:rPr>
          <w:lang w:val="en-GB"/>
        </w:rPr>
      </w:pPr>
      <w:r>
        <w:rPr>
          <w:rStyle w:val="HideTWBExt"/>
          <w:lang w:val="en-GB"/>
        </w:rPr>
        <w:t>&lt;DocAmend2&gt;</w:t>
      </w:r>
      <w:proofErr w:type="spellStart"/>
      <w:r>
        <w:rPr>
          <w:lang w:val="en-GB"/>
        </w:rPr>
        <w:t>Nariadenie</w:t>
      </w:r>
      <w:proofErr w:type="spellEnd"/>
      <w:r>
        <w:rPr>
          <w:lang w:val="en-GB"/>
        </w:rPr>
        <w:t xml:space="preserve"> (EÚ) 2023/1115</w:t>
      </w:r>
      <w:r>
        <w:rPr>
          <w:rStyle w:val="HideTWBExt"/>
          <w:lang w:val="en-GB"/>
        </w:rPr>
        <w:t>&lt;/DocAmend2&gt;</w:t>
      </w:r>
    </w:p>
    <w:p>
      <w:r>
        <w:rPr>
          <w:rStyle w:val="HideTWBExt"/>
        </w:rPr>
        <w:t>&lt;Article2&gt;</w:t>
      </w:r>
      <w:proofErr w:type="spellStart"/>
      <w:r>
        <w:t>Článok</w:t>
      </w:r>
      <w:proofErr w:type="spellEnd"/>
      <w:r>
        <w:t xml:space="preserve"> 5 – </w:t>
      </w:r>
      <w:proofErr w:type="spellStart"/>
      <w:r>
        <w:t>odsek</w:t>
      </w:r>
      <w:proofErr w:type="spellEnd"/>
      <w:r>
        <w:t xml:space="preserve"> 1 a (</w:t>
      </w:r>
      <w:proofErr w:type="spellStart"/>
      <w:r>
        <w:t>nový</w:t>
      </w:r>
      <w:proofErr w:type="spellEnd"/>
      <w:r>
        <w:t>)</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Text predložený Komisiou</w:t>
            </w:r>
          </w:p>
        </w:tc>
        <w:tc>
          <w:tcPr>
            <w:tcW w:w="4876" w:type="dxa"/>
          </w:tcPr>
          <w:p>
            <w:pPr>
              <w:pStyle w:val="AmColumnHeading"/>
              <w:keepNext/>
            </w:pPr>
            <w:r>
              <w:t>Pozmeňujúci návrh</w:t>
            </w:r>
          </w:p>
        </w:tc>
      </w:tr>
      <w:tr>
        <w:trPr>
          <w:jc w:val="center"/>
        </w:trPr>
        <w:tc>
          <w:tcPr>
            <w:tcW w:w="4876" w:type="dxa"/>
          </w:tcPr>
          <w:p>
            <w:pPr>
              <w:pStyle w:val="Normal6a"/>
            </w:pPr>
          </w:p>
        </w:tc>
        <w:tc>
          <w:tcPr>
            <w:tcW w:w="4876" w:type="dxa"/>
          </w:tcPr>
          <w:p>
            <w:pPr>
              <w:pStyle w:val="Normal6a"/>
              <w:rPr>
                <w:szCs w:val="24"/>
              </w:rPr>
            </w:pPr>
            <w:r>
              <w:rPr>
                <w:b/>
                <w:i/>
              </w:rPr>
              <w:t>-1e.</w:t>
            </w:r>
            <w:r>
              <w:rPr>
                <w:b/>
                <w:i/>
              </w:rPr>
              <w:tab/>
              <w:t>V článku 5 sa vkladá tento odsek:</w:t>
            </w:r>
          </w:p>
        </w:tc>
      </w:tr>
      <w:tr>
        <w:trPr>
          <w:jc w:val="center"/>
        </w:trPr>
        <w:tc>
          <w:tcPr>
            <w:tcW w:w="4876" w:type="dxa"/>
          </w:tcPr>
          <w:p>
            <w:pPr>
              <w:pStyle w:val="Normal6a"/>
            </w:pPr>
          </w:p>
        </w:tc>
        <w:tc>
          <w:tcPr>
            <w:tcW w:w="4876" w:type="dxa"/>
          </w:tcPr>
          <w:p>
            <w:pPr>
              <w:pStyle w:val="Normal6a"/>
              <w:rPr>
                <w:b/>
                <w:i/>
                <w:szCs w:val="24"/>
              </w:rPr>
            </w:pPr>
            <w:r>
              <w:rPr>
                <w:b/>
                <w:i/>
              </w:rPr>
              <w:t xml:space="preserve">„1a. </w:t>
            </w:r>
            <w:r>
              <w:rPr>
                <w:b/>
                <w:i/>
              </w:rPr>
              <w:tab/>
              <w:t>Hospodárske subjekty, ktoré uvádzajú na trh alebo sprístupňujú na trhu alebo vyvážajú príslušné komodity a príslušné výrobky vyrobené v krajinách alebo ich častiach, ktoré nepredstavujú žiadne riziko v súlade s článkom 29, musia spĺňať požiadavky na dokumentáciu tým, že príslušným orgánom na požiadanie sprístupnia tieto dokumenty:</w:t>
            </w:r>
          </w:p>
        </w:tc>
      </w:tr>
      <w:tr>
        <w:trPr>
          <w:jc w:val="center"/>
        </w:trPr>
        <w:tc>
          <w:tcPr>
            <w:tcW w:w="4876" w:type="dxa"/>
          </w:tcPr>
          <w:p>
            <w:pPr>
              <w:pStyle w:val="Normal6a"/>
            </w:pPr>
          </w:p>
        </w:tc>
        <w:tc>
          <w:tcPr>
            <w:tcW w:w="4876" w:type="dxa"/>
          </w:tcPr>
          <w:p>
            <w:pPr>
              <w:pStyle w:val="Normal6a"/>
              <w:rPr>
                <w:b/>
                <w:i/>
                <w:szCs w:val="24"/>
              </w:rPr>
            </w:pPr>
            <w:r>
              <w:rPr>
                <w:b/>
                <w:i/>
              </w:rPr>
              <w:t xml:space="preserve">a) </w:t>
            </w:r>
            <w:r>
              <w:rPr>
                <w:b/>
                <w:i/>
              </w:rPr>
              <w:tab/>
              <w:t>obchodné meno a typ príslušných výrobkov;</w:t>
            </w:r>
          </w:p>
        </w:tc>
      </w:tr>
      <w:tr>
        <w:trPr>
          <w:jc w:val="center"/>
        </w:trPr>
        <w:tc>
          <w:tcPr>
            <w:tcW w:w="4876" w:type="dxa"/>
          </w:tcPr>
          <w:p>
            <w:pPr>
              <w:pStyle w:val="Normal6a"/>
            </w:pPr>
          </w:p>
        </w:tc>
        <w:tc>
          <w:tcPr>
            <w:tcW w:w="4876" w:type="dxa"/>
          </w:tcPr>
          <w:p>
            <w:pPr>
              <w:pStyle w:val="Normal6a"/>
              <w:rPr>
                <w:b/>
                <w:i/>
                <w:szCs w:val="24"/>
              </w:rPr>
            </w:pPr>
            <w:r>
              <w:rPr>
                <w:b/>
                <w:i/>
              </w:rPr>
              <w:t>b)</w:t>
            </w:r>
            <w:r>
              <w:rPr>
                <w:b/>
                <w:i/>
              </w:rPr>
              <w:tab/>
              <w:t xml:space="preserve"> množstvo príslušných výrobkov;</w:t>
            </w:r>
          </w:p>
        </w:tc>
      </w:tr>
      <w:tr>
        <w:trPr>
          <w:jc w:val="center"/>
        </w:trPr>
        <w:tc>
          <w:tcPr>
            <w:tcW w:w="4876" w:type="dxa"/>
          </w:tcPr>
          <w:p>
            <w:pPr>
              <w:pStyle w:val="Normal6a"/>
            </w:pPr>
          </w:p>
        </w:tc>
        <w:tc>
          <w:tcPr>
            <w:tcW w:w="4876" w:type="dxa"/>
          </w:tcPr>
          <w:p>
            <w:pPr>
              <w:pStyle w:val="Normal6a"/>
              <w:rPr>
                <w:b/>
                <w:i/>
                <w:szCs w:val="24"/>
              </w:rPr>
            </w:pPr>
            <w:r>
              <w:rPr>
                <w:b/>
                <w:i/>
              </w:rPr>
              <w:t xml:space="preserve">c) </w:t>
            </w:r>
            <w:r>
              <w:rPr>
                <w:b/>
                <w:i/>
              </w:rPr>
              <w:tab/>
              <w:t>krajina produkcie a v relevantnom prípade jej časti;</w:t>
            </w:r>
          </w:p>
        </w:tc>
      </w:tr>
      <w:tr>
        <w:trPr>
          <w:jc w:val="center"/>
        </w:trPr>
        <w:tc>
          <w:tcPr>
            <w:tcW w:w="4876" w:type="dxa"/>
          </w:tcPr>
          <w:p>
            <w:pPr>
              <w:pStyle w:val="Normal6a"/>
            </w:pPr>
          </w:p>
        </w:tc>
        <w:tc>
          <w:tcPr>
            <w:tcW w:w="4876" w:type="dxa"/>
          </w:tcPr>
          <w:p>
            <w:pPr>
              <w:pStyle w:val="Normal6a"/>
              <w:rPr>
                <w:b/>
                <w:i/>
                <w:szCs w:val="24"/>
              </w:rPr>
            </w:pPr>
            <w:r>
              <w:rPr>
                <w:b/>
                <w:i/>
              </w:rPr>
              <w:t xml:space="preserve">d) </w:t>
            </w:r>
            <w:r>
              <w:rPr>
                <w:b/>
                <w:i/>
              </w:rPr>
              <w:tab/>
              <w:t>meno, poštová adresa a emailová adresa akéhokoľvek podniku alebo osoby, od ktorých im boli dodané príslušné výrobky;</w:t>
            </w:r>
          </w:p>
        </w:tc>
      </w:tr>
      <w:tr>
        <w:trPr>
          <w:jc w:val="center"/>
        </w:trPr>
        <w:tc>
          <w:tcPr>
            <w:tcW w:w="4876" w:type="dxa"/>
          </w:tcPr>
          <w:p>
            <w:pPr>
              <w:pStyle w:val="Normal6a"/>
            </w:pPr>
          </w:p>
        </w:tc>
        <w:tc>
          <w:tcPr>
            <w:tcW w:w="4876" w:type="dxa"/>
          </w:tcPr>
          <w:p>
            <w:pPr>
              <w:pStyle w:val="Normal6a"/>
              <w:rPr>
                <w:b/>
                <w:i/>
                <w:szCs w:val="24"/>
              </w:rPr>
            </w:pPr>
            <w:r>
              <w:rPr>
                <w:b/>
                <w:i/>
              </w:rPr>
              <w:t xml:space="preserve">e) </w:t>
            </w:r>
            <w:r>
              <w:rPr>
                <w:b/>
                <w:i/>
              </w:rPr>
              <w:tab/>
              <w:t xml:space="preserve">meno, poštová adresa a emailová adresa akéhokoľvek podniku, </w:t>
            </w:r>
            <w:r>
              <w:rPr>
                <w:b/>
                <w:i/>
              </w:rPr>
              <w:lastRenderedPageBreak/>
              <w:t>hospodárskeho subjektu alebo obchodníka, ktorým boli príslušné výrobky dodané;</w:t>
            </w:r>
          </w:p>
        </w:tc>
      </w:tr>
      <w:tr>
        <w:trPr>
          <w:jc w:val="center"/>
        </w:trPr>
        <w:tc>
          <w:tcPr>
            <w:tcW w:w="4876" w:type="dxa"/>
          </w:tcPr>
          <w:p>
            <w:pPr>
              <w:pStyle w:val="Normal6a"/>
            </w:pPr>
          </w:p>
        </w:tc>
        <w:tc>
          <w:tcPr>
            <w:tcW w:w="4876" w:type="dxa"/>
          </w:tcPr>
          <w:p>
            <w:pPr>
              <w:pStyle w:val="Normal6a"/>
              <w:rPr>
                <w:b/>
                <w:i/>
                <w:szCs w:val="24"/>
              </w:rPr>
            </w:pPr>
            <w:r>
              <w:rPr>
                <w:b/>
                <w:i/>
              </w:rPr>
              <w:t xml:space="preserve">f) </w:t>
            </w:r>
            <w:r>
              <w:rPr>
                <w:b/>
                <w:i/>
              </w:rPr>
              <w:tab/>
              <w:t>dostatočne presvedčivé a overiteľné informácie o tom, že príslušné výrobky nespôsobujú degradáciu lesov;</w:t>
            </w:r>
          </w:p>
        </w:tc>
      </w:tr>
      <w:tr>
        <w:trPr>
          <w:jc w:val="center"/>
        </w:trPr>
        <w:tc>
          <w:tcPr>
            <w:tcW w:w="4876" w:type="dxa"/>
          </w:tcPr>
          <w:p>
            <w:pPr>
              <w:pStyle w:val="Normal6a"/>
            </w:pPr>
          </w:p>
        </w:tc>
        <w:tc>
          <w:tcPr>
            <w:tcW w:w="4876" w:type="dxa"/>
          </w:tcPr>
          <w:p>
            <w:pPr>
              <w:pStyle w:val="Normal6a"/>
              <w:rPr>
                <w:b/>
                <w:i/>
                <w:szCs w:val="24"/>
              </w:rPr>
            </w:pPr>
            <w:r>
              <w:rPr>
                <w:b/>
                <w:i/>
              </w:rPr>
              <w:t xml:space="preserve">g) </w:t>
            </w:r>
            <w:r>
              <w:rPr>
                <w:b/>
                <w:i/>
              </w:rPr>
              <w:tab/>
              <w:t>dostatočne presvedčivé a overiteľné informácie o tom, že príslušné komodity boli vyrobené v súlade s príslušnými právnymi predpismi krajiny výroby;“</w:t>
            </w:r>
          </w:p>
        </w:tc>
      </w:tr>
    </w:tbl>
    <w:p>
      <w:pPr>
        <w:pStyle w:val="AmJustText"/>
      </w:pPr>
    </w:p>
    <w:p>
      <w:pPr>
        <w:pStyle w:val="AmNumberTabs"/>
      </w:pPr>
      <w:r>
        <w:t>Pozmeňujúci návrh</w:t>
      </w:r>
      <w:r>
        <w:tab/>
      </w:r>
      <w:r>
        <w:tab/>
      </w:r>
      <w:r>
        <w:rPr>
          <w:rStyle w:val="HideTWBExt"/>
          <w:b w:val="0"/>
        </w:rPr>
        <w:t>&lt;NumAm&gt;</w:t>
      </w:r>
      <w:r>
        <w:t>10</w:t>
      </w:r>
      <w:r>
        <w:rPr>
          <w:rStyle w:val="HideTWBExt"/>
          <w:b w:val="0"/>
        </w:rPr>
        <w:t>&lt;/</w:t>
      </w:r>
      <w:proofErr w:type="spellStart"/>
      <w:r>
        <w:rPr>
          <w:rStyle w:val="HideTWBExt"/>
          <w:b w:val="0"/>
        </w:rPr>
        <w:t>NumAm</w:t>
      </w:r>
      <w:proofErr w:type="spellEnd"/>
      <w:r>
        <w:rPr>
          <w:rStyle w:val="HideTWBExt"/>
          <w:b w:val="0"/>
        </w:rPr>
        <w:t>&gt;</w:t>
      </w:r>
    </w:p>
    <w:p>
      <w:pPr>
        <w:pStyle w:val="NormalBold"/>
        <w:rPr>
          <w:rStyle w:val="HideTWBExt"/>
          <w:b w:val="0"/>
          <w:lang w:val="sk-SK"/>
        </w:rPr>
      </w:pPr>
    </w:p>
    <w:p>
      <w:pPr>
        <w:pStyle w:val="NormalBold"/>
        <w:rPr>
          <w:lang w:val="sk-SK"/>
        </w:rPr>
      </w:pPr>
      <w:r>
        <w:rPr>
          <w:rStyle w:val="HideTWBExt"/>
          <w:b w:val="0"/>
          <w:lang w:val="sk-SK"/>
        </w:rPr>
        <w:t>&lt;DocAmend&gt;</w:t>
      </w:r>
      <w:r>
        <w:rPr>
          <w:lang w:val="sk-SK"/>
        </w:rPr>
        <w:t>Návrh nariadenia</w:t>
      </w:r>
      <w:r>
        <w:rPr>
          <w:rStyle w:val="HideTWBExt"/>
          <w:b w:val="0"/>
          <w:lang w:val="sk-SK"/>
        </w:rPr>
        <w:t>&lt;/</w:t>
      </w:r>
      <w:proofErr w:type="spellStart"/>
      <w:r>
        <w:rPr>
          <w:rStyle w:val="HideTWBExt"/>
          <w:b w:val="0"/>
          <w:lang w:val="sk-SK"/>
        </w:rPr>
        <w:t>DocAmend</w:t>
      </w:r>
      <w:proofErr w:type="spellEnd"/>
      <w:r>
        <w:rPr>
          <w:rStyle w:val="HideTWBExt"/>
          <w:b w:val="0"/>
          <w:lang w:val="sk-SK"/>
        </w:rPr>
        <w:t>&gt;</w:t>
      </w:r>
    </w:p>
    <w:p>
      <w:pPr>
        <w:pStyle w:val="NormalBold"/>
        <w:rPr>
          <w:lang w:val="sk-SK"/>
        </w:rPr>
      </w:pPr>
      <w:r>
        <w:rPr>
          <w:rStyle w:val="HideTWBExt"/>
          <w:b w:val="0"/>
          <w:lang w:val="sk-SK"/>
        </w:rPr>
        <w:t>&lt;Article&gt;</w:t>
      </w:r>
      <w:r>
        <w:rPr>
          <w:lang w:val="sk-SK"/>
        </w:rPr>
        <w:t>Článok 1 – odsek 1 – bod 1 f (nový)</w:t>
      </w:r>
      <w:r>
        <w:rPr>
          <w:rStyle w:val="HideTWBExt"/>
          <w:b w:val="0"/>
          <w:lang w:val="sk-SK"/>
        </w:rPr>
        <w:t>&lt;/</w:t>
      </w:r>
      <w:proofErr w:type="spellStart"/>
      <w:r>
        <w:rPr>
          <w:rStyle w:val="HideTWBExt"/>
          <w:b w:val="0"/>
          <w:lang w:val="sk-SK"/>
        </w:rPr>
        <w:t>Article</w:t>
      </w:r>
      <w:proofErr w:type="spellEnd"/>
      <w:r>
        <w:rPr>
          <w:rStyle w:val="HideTWBExt"/>
          <w:b w:val="0"/>
          <w:lang w:val="sk-SK"/>
        </w:rPr>
        <w:t>&gt;</w:t>
      </w:r>
    </w:p>
    <w:p>
      <w:pPr>
        <w:rPr>
          <w:lang w:val="en-GB"/>
        </w:rPr>
      </w:pPr>
      <w:r>
        <w:rPr>
          <w:rStyle w:val="HideTWBExt"/>
          <w:lang w:val="en-GB"/>
        </w:rPr>
        <w:t>&lt;DocAmend2&gt;</w:t>
      </w:r>
      <w:proofErr w:type="spellStart"/>
      <w:r>
        <w:rPr>
          <w:lang w:val="en-GB"/>
        </w:rPr>
        <w:t>Nariadenie</w:t>
      </w:r>
      <w:proofErr w:type="spellEnd"/>
      <w:r>
        <w:rPr>
          <w:lang w:val="en-GB"/>
        </w:rPr>
        <w:t xml:space="preserve"> (EÚ) 2023/1115</w:t>
      </w:r>
      <w:r>
        <w:rPr>
          <w:rStyle w:val="HideTWBExt"/>
          <w:lang w:val="en-GB"/>
        </w:rPr>
        <w:t>&lt;/DocAmend2&gt;</w:t>
      </w:r>
    </w:p>
    <w:p>
      <w:r>
        <w:rPr>
          <w:rStyle w:val="HideTWBExt"/>
        </w:rPr>
        <w:t>&lt;Article2&gt;</w:t>
      </w:r>
      <w:proofErr w:type="spellStart"/>
      <w:r>
        <w:t>Článok</w:t>
      </w:r>
      <w:proofErr w:type="spellEnd"/>
      <w:r>
        <w:t xml:space="preserve"> 16 – </w:t>
      </w:r>
      <w:proofErr w:type="spellStart"/>
      <w:r>
        <w:t>odsek</w:t>
      </w:r>
      <w:proofErr w:type="spellEnd"/>
      <w:r>
        <w:t xml:space="preserve"> 10 a (</w:t>
      </w:r>
      <w:proofErr w:type="spellStart"/>
      <w:r>
        <w:t>nový</w:t>
      </w:r>
      <w:proofErr w:type="spellEnd"/>
      <w:r>
        <w:t>)</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Text predložený Komisiou</w:t>
            </w:r>
          </w:p>
        </w:tc>
        <w:tc>
          <w:tcPr>
            <w:tcW w:w="4876" w:type="dxa"/>
          </w:tcPr>
          <w:p>
            <w:pPr>
              <w:pStyle w:val="AmColumnHeading"/>
              <w:keepNext/>
            </w:pPr>
            <w:r>
              <w:t>Pozmeňujúci návrh</w:t>
            </w:r>
          </w:p>
        </w:tc>
      </w:tr>
      <w:tr>
        <w:trPr>
          <w:jc w:val="center"/>
        </w:trPr>
        <w:tc>
          <w:tcPr>
            <w:tcW w:w="4876" w:type="dxa"/>
          </w:tcPr>
          <w:p>
            <w:pPr>
              <w:pStyle w:val="Normal6a"/>
            </w:pPr>
          </w:p>
        </w:tc>
        <w:tc>
          <w:tcPr>
            <w:tcW w:w="4876" w:type="dxa"/>
          </w:tcPr>
          <w:p>
            <w:pPr>
              <w:pStyle w:val="Normal6a"/>
              <w:rPr>
                <w:szCs w:val="24"/>
              </w:rPr>
            </w:pPr>
            <w:r>
              <w:rPr>
                <w:b/>
                <w:i/>
              </w:rPr>
              <w:t>-1f.</w:t>
            </w:r>
            <w:r>
              <w:rPr>
                <w:b/>
                <w:i/>
              </w:rPr>
              <w:tab/>
              <w:t>V článku 16 sa vkladá tento odsek:</w:t>
            </w:r>
          </w:p>
        </w:tc>
      </w:tr>
      <w:tr>
        <w:trPr>
          <w:jc w:val="center"/>
        </w:trPr>
        <w:tc>
          <w:tcPr>
            <w:tcW w:w="4876" w:type="dxa"/>
          </w:tcPr>
          <w:p>
            <w:pPr>
              <w:pStyle w:val="Normal6a"/>
            </w:pPr>
          </w:p>
        </w:tc>
        <w:tc>
          <w:tcPr>
            <w:tcW w:w="4876" w:type="dxa"/>
          </w:tcPr>
          <w:p>
            <w:pPr>
              <w:pStyle w:val="Normal6a"/>
              <w:rPr>
                <w:b/>
                <w:i/>
                <w:szCs w:val="24"/>
              </w:rPr>
            </w:pPr>
            <w:r>
              <w:rPr>
                <w:b/>
              </w:rPr>
              <w:t>„</w:t>
            </w:r>
            <w:r>
              <w:rPr>
                <w:b/>
                <w:i/>
              </w:rPr>
              <w:t>10a.</w:t>
            </w:r>
            <w:r>
              <w:rPr>
                <w:b/>
                <w:i/>
              </w:rPr>
              <w:tab/>
              <w:t>Každý členský štát zabezpečí, aby sa ročné dozory vykonávané jeho príslušnými orgánmi podľa odseku 1 tohto článku vzťahovali aspoň na 0,1 % hospodárskych subjektov, ktoré umiestňujú na trh alebo sprístupňujú na ňom alebo vyvážajú príslušné výrobky, ktoré obsahujú príslušné komodity vyprodukované v krajine klasifikovanej v súlade s článkom 29 ako bezriziková alebo v jej častiach, alebo ktoré boli vyprodukované s použitím takýchto príslušných komodít.“</w:t>
            </w:r>
          </w:p>
        </w:tc>
      </w:tr>
    </w:tbl>
    <w:p>
      <w:pPr>
        <w:pStyle w:val="AmJustText"/>
      </w:pPr>
    </w:p>
    <w:p>
      <w:pPr>
        <w:pStyle w:val="AmNumberTabs"/>
      </w:pPr>
      <w:r>
        <w:t>Pozmeňujúci návrh</w:t>
      </w:r>
      <w:r>
        <w:tab/>
      </w:r>
      <w:r>
        <w:tab/>
      </w:r>
      <w:r>
        <w:rPr>
          <w:rStyle w:val="HideTWBExt"/>
          <w:b w:val="0"/>
        </w:rPr>
        <w:t>&lt;NumAm&gt;</w:t>
      </w:r>
      <w:r>
        <w:t>11</w:t>
      </w:r>
      <w:r>
        <w:rPr>
          <w:rStyle w:val="HideTWBExt"/>
          <w:b w:val="0"/>
        </w:rPr>
        <w:t>&lt;/</w:t>
      </w:r>
      <w:proofErr w:type="spellStart"/>
      <w:r>
        <w:rPr>
          <w:rStyle w:val="HideTWBExt"/>
          <w:b w:val="0"/>
        </w:rPr>
        <w:t>NumAm</w:t>
      </w:r>
      <w:proofErr w:type="spellEnd"/>
      <w:r>
        <w:rPr>
          <w:rStyle w:val="HideTWBExt"/>
          <w:b w:val="0"/>
        </w:rPr>
        <w:t>&gt;</w:t>
      </w:r>
    </w:p>
    <w:p>
      <w:pPr>
        <w:pStyle w:val="NormalBold"/>
        <w:rPr>
          <w:rStyle w:val="HideTWBExt"/>
          <w:b w:val="0"/>
          <w:lang w:val="sk-SK"/>
        </w:rPr>
      </w:pPr>
    </w:p>
    <w:p>
      <w:pPr>
        <w:pStyle w:val="NormalBold"/>
        <w:rPr>
          <w:lang w:val="sk-SK"/>
        </w:rPr>
      </w:pPr>
      <w:r>
        <w:rPr>
          <w:rStyle w:val="HideTWBExt"/>
          <w:b w:val="0"/>
          <w:lang w:val="sk-SK"/>
        </w:rPr>
        <w:t>&lt;DocAmend&gt;</w:t>
      </w:r>
      <w:r>
        <w:rPr>
          <w:lang w:val="sk-SK"/>
        </w:rPr>
        <w:t>Návrh nariadenia</w:t>
      </w:r>
      <w:r>
        <w:rPr>
          <w:rStyle w:val="HideTWBExt"/>
          <w:b w:val="0"/>
          <w:lang w:val="sk-SK"/>
        </w:rPr>
        <w:t>&lt;/</w:t>
      </w:r>
      <w:proofErr w:type="spellStart"/>
      <w:r>
        <w:rPr>
          <w:rStyle w:val="HideTWBExt"/>
          <w:b w:val="0"/>
          <w:lang w:val="sk-SK"/>
        </w:rPr>
        <w:t>DocAmend</w:t>
      </w:r>
      <w:proofErr w:type="spellEnd"/>
      <w:r>
        <w:rPr>
          <w:rStyle w:val="HideTWBExt"/>
          <w:b w:val="0"/>
          <w:lang w:val="sk-SK"/>
        </w:rPr>
        <w:t>&gt;</w:t>
      </w:r>
    </w:p>
    <w:p>
      <w:pPr>
        <w:pStyle w:val="NormalBold"/>
        <w:rPr>
          <w:lang w:val="sk-SK"/>
        </w:rPr>
      </w:pPr>
      <w:r>
        <w:rPr>
          <w:rStyle w:val="HideTWBExt"/>
          <w:b w:val="0"/>
          <w:lang w:val="sk-SK"/>
        </w:rPr>
        <w:t>&lt;Article&gt;</w:t>
      </w:r>
      <w:r>
        <w:rPr>
          <w:lang w:val="sk-SK"/>
        </w:rPr>
        <w:t>Článok 1 – odsek 1 – bod 1 g (nový)</w:t>
      </w:r>
      <w:r>
        <w:rPr>
          <w:rStyle w:val="HideTWBExt"/>
          <w:b w:val="0"/>
          <w:lang w:val="sk-SK"/>
        </w:rPr>
        <w:t>&lt;/</w:t>
      </w:r>
      <w:proofErr w:type="spellStart"/>
      <w:r>
        <w:rPr>
          <w:rStyle w:val="HideTWBExt"/>
          <w:b w:val="0"/>
          <w:lang w:val="sk-SK"/>
        </w:rPr>
        <w:t>Article</w:t>
      </w:r>
      <w:proofErr w:type="spellEnd"/>
      <w:r>
        <w:rPr>
          <w:rStyle w:val="HideTWBExt"/>
          <w:b w:val="0"/>
          <w:lang w:val="sk-SK"/>
        </w:rPr>
        <w:t>&gt;</w:t>
      </w:r>
    </w:p>
    <w:p>
      <w:r>
        <w:rPr>
          <w:rStyle w:val="HideTWBExt"/>
        </w:rPr>
        <w:t>&lt;DocAmend2&gt;</w:t>
      </w:r>
      <w:proofErr w:type="spellStart"/>
      <w:r>
        <w:t>Nariadenie</w:t>
      </w:r>
      <w:proofErr w:type="spellEnd"/>
      <w:r>
        <w:t xml:space="preserve"> (EÚ) 2023/1115</w:t>
      </w:r>
      <w:r>
        <w:rPr>
          <w:rStyle w:val="HideTWBExt"/>
        </w:rPr>
        <w:t>&lt;/DocAmend2&gt;</w:t>
      </w:r>
    </w:p>
    <w:p>
      <w:r>
        <w:rPr>
          <w:rStyle w:val="HideTWBExt"/>
        </w:rPr>
        <w:t>&lt;Article2&gt;</w:t>
      </w:r>
      <w:proofErr w:type="spellStart"/>
      <w:r>
        <w:t>Článok</w:t>
      </w:r>
      <w:proofErr w:type="spellEnd"/>
      <w:r>
        <w:t xml:space="preserve"> 29 – </w:t>
      </w:r>
      <w:proofErr w:type="spellStart"/>
      <w:r>
        <w:t>odsek</w:t>
      </w:r>
      <w:proofErr w:type="spellEnd"/>
      <w:r>
        <w:t xml:space="preserve"> 1</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Platný text</w:t>
            </w:r>
          </w:p>
        </w:tc>
        <w:tc>
          <w:tcPr>
            <w:tcW w:w="4876" w:type="dxa"/>
          </w:tcPr>
          <w:p>
            <w:pPr>
              <w:pStyle w:val="AmColumnHeading"/>
              <w:keepNext/>
            </w:pPr>
            <w:r>
              <w:t>Pozmeňujúci návrh</w:t>
            </w:r>
          </w:p>
        </w:tc>
      </w:tr>
      <w:tr>
        <w:trPr>
          <w:jc w:val="center"/>
        </w:trPr>
        <w:tc>
          <w:tcPr>
            <w:tcW w:w="4876" w:type="dxa"/>
          </w:tcPr>
          <w:p>
            <w:pPr>
              <w:pStyle w:val="Normal6a"/>
            </w:pPr>
          </w:p>
        </w:tc>
        <w:tc>
          <w:tcPr>
            <w:tcW w:w="4876" w:type="dxa"/>
          </w:tcPr>
          <w:p>
            <w:pPr>
              <w:pStyle w:val="Normal6a"/>
              <w:rPr>
                <w:szCs w:val="24"/>
              </w:rPr>
            </w:pPr>
            <w:r>
              <w:rPr>
                <w:b/>
                <w:i/>
              </w:rPr>
              <w:t>-1g.</w:t>
            </w:r>
            <w:r>
              <w:rPr>
                <w:b/>
                <w:i/>
              </w:rPr>
              <w:tab/>
              <w:t>V článku 29 sa odsek 1 nahrádza takto:</w:t>
            </w:r>
          </w:p>
        </w:tc>
      </w:tr>
      <w:tr>
        <w:trPr>
          <w:jc w:val="center"/>
        </w:trPr>
        <w:tc>
          <w:tcPr>
            <w:tcW w:w="4876" w:type="dxa"/>
          </w:tcPr>
          <w:p>
            <w:pPr>
              <w:pStyle w:val="Normal6a"/>
            </w:pPr>
            <w:r>
              <w:t>1.</w:t>
            </w:r>
            <w:r>
              <w:tab/>
              <w:t xml:space="preserve">Týmto nariadením sa stanovuje </w:t>
            </w:r>
            <w:r>
              <w:rPr>
                <w:b/>
                <w:i/>
              </w:rPr>
              <w:t>troj</w:t>
            </w:r>
            <w:r>
              <w:t>stupňový systém posudzovania krajín alebo ich častí. Na tento účel sú členské štáty a tretie krajiny alebo ich časti zaradené do jednej z týchto kategórií rizika:</w:t>
            </w:r>
          </w:p>
        </w:tc>
        <w:tc>
          <w:tcPr>
            <w:tcW w:w="4876" w:type="dxa"/>
          </w:tcPr>
          <w:p>
            <w:pPr>
              <w:pStyle w:val="Normal6a"/>
              <w:rPr>
                <w:b/>
                <w:i/>
                <w:szCs w:val="24"/>
              </w:rPr>
            </w:pPr>
            <w:r>
              <w:t>„1.</w:t>
            </w:r>
            <w:r>
              <w:tab/>
              <w:t xml:space="preserve">Týmto nariadením sa stanovuje </w:t>
            </w:r>
            <w:r>
              <w:rPr>
                <w:b/>
                <w:i/>
              </w:rPr>
              <w:t>štvor</w:t>
            </w:r>
            <w:r>
              <w:t>stupňový systém posudzovania krajín alebo ich častí. Na tento účel sú členské štáty a tretie krajiny alebo ich časti zaradené do jednej z týchto kategórií rizika:</w:t>
            </w:r>
          </w:p>
        </w:tc>
      </w:tr>
      <w:tr>
        <w:trPr>
          <w:jc w:val="center"/>
        </w:trPr>
        <w:tc>
          <w:tcPr>
            <w:tcW w:w="4876" w:type="dxa"/>
          </w:tcPr>
          <w:p>
            <w:pPr>
              <w:pStyle w:val="Normal6a"/>
              <w:rPr>
                <w:szCs w:val="24"/>
              </w:rPr>
            </w:pPr>
            <w:r>
              <w:t>a)</w:t>
            </w:r>
            <w:r>
              <w:tab/>
              <w:t>„vysoké riziko“ odkazuje na krajiny alebo ich časti, v prípade ktorých sa na základe posúdenia uvedeného v odseku 3 identifikuje vysoké riziko, ktoré je v týchto krajinách alebo ich častiach spojené s produkciou príslušných komodít, pre ktoré príslušné výrobky nie sú v súlade s článkom 3 písm. a);</w:t>
            </w:r>
          </w:p>
        </w:tc>
        <w:tc>
          <w:tcPr>
            <w:tcW w:w="4876" w:type="dxa"/>
          </w:tcPr>
          <w:p>
            <w:pPr>
              <w:pStyle w:val="Normal6a"/>
              <w:rPr>
                <w:szCs w:val="24"/>
              </w:rPr>
            </w:pPr>
            <w:r>
              <w:t>a)</w:t>
            </w:r>
            <w:r>
              <w:tab/>
              <w:t>„vysoké riziko“ odkazuje na krajiny alebo ich časti, v prípade ktorých sa na základe posúdenia uvedeného v odseku 3 identifikuje vysoké riziko, ktoré je v týchto krajinách alebo ich častiach spojené s produkciou príslušných komodít, pre ktoré príslušné výrobky nie sú v súlade s článkom 3 písm. a);</w:t>
            </w:r>
          </w:p>
        </w:tc>
      </w:tr>
      <w:tr>
        <w:trPr>
          <w:jc w:val="center"/>
        </w:trPr>
        <w:tc>
          <w:tcPr>
            <w:tcW w:w="4876" w:type="dxa"/>
          </w:tcPr>
          <w:p>
            <w:pPr>
              <w:pStyle w:val="Normal6a"/>
              <w:rPr>
                <w:szCs w:val="24"/>
              </w:rPr>
            </w:pPr>
            <w:r>
              <w:t>b)</w:t>
            </w:r>
            <w:r>
              <w:tab/>
              <w:t>„nízke riziko“ odkazuje na krajiny alebo ich časti, v prípade ktorých sa na základe posúdenia uvedeného v odseku 3 dospeje k záveru, že existuje dostatočná istota, že prípady produkcie príslušných komodít, pre ktoré príslušné výrobky nie sú v súlade článkom 3 písm. a), sú v týchto krajinách alebo ich častiach výnimočné;</w:t>
            </w:r>
          </w:p>
        </w:tc>
        <w:tc>
          <w:tcPr>
            <w:tcW w:w="4876" w:type="dxa"/>
          </w:tcPr>
          <w:p>
            <w:pPr>
              <w:pStyle w:val="Normal6a"/>
              <w:rPr>
                <w:szCs w:val="24"/>
              </w:rPr>
            </w:pPr>
            <w:r>
              <w:t>b)</w:t>
            </w:r>
            <w:r>
              <w:tab/>
              <w:t xml:space="preserve">„nízke riziko“ odkazuje na krajiny alebo ich časti, v prípade ktorých sa na základe posúdenia uvedeného v odseku 3 dospeje k záveru, že existuje dostatočná istota, že prípady produkcie príslušných komodít, pre ktoré príslušné výrobky nie sú v súlade článkom 3 písm. a), sú v týchto krajinách alebo ich častiach výnimočné; </w:t>
            </w:r>
          </w:p>
        </w:tc>
      </w:tr>
      <w:tr>
        <w:trPr>
          <w:jc w:val="center"/>
        </w:trPr>
        <w:tc>
          <w:tcPr>
            <w:tcW w:w="4876" w:type="dxa"/>
          </w:tcPr>
          <w:p>
            <w:pPr>
              <w:pStyle w:val="Normal6a"/>
              <w:rPr>
                <w:szCs w:val="24"/>
              </w:rPr>
            </w:pPr>
            <w:r>
              <w:t>c)</w:t>
            </w:r>
            <w:r>
              <w:tab/>
              <w:t xml:space="preserve">„štandardné riziko“ odkazuje na krajiny alebo ich časti, ktoré nepatria do kategórie „vysokého rizika“ </w:t>
            </w:r>
            <w:r>
              <w:rPr>
                <w:b/>
                <w:i/>
              </w:rPr>
              <w:t>ani do kategórie</w:t>
            </w:r>
            <w:r>
              <w:t xml:space="preserve"> „nízkeho rizika“.</w:t>
            </w:r>
          </w:p>
        </w:tc>
        <w:tc>
          <w:tcPr>
            <w:tcW w:w="4876" w:type="dxa"/>
          </w:tcPr>
          <w:p>
            <w:pPr>
              <w:pStyle w:val="Normal6"/>
              <w:rPr>
                <w:szCs w:val="24"/>
                <w:lang w:val="sk-SK"/>
              </w:rPr>
            </w:pPr>
            <w:r>
              <w:rPr>
                <w:lang w:val="sk-SK"/>
              </w:rPr>
              <w:t>c)</w:t>
            </w:r>
            <w:r>
              <w:rPr>
                <w:lang w:val="sk-SK"/>
              </w:rPr>
              <w:tab/>
              <w:t>„štandardné riziko“ odkazuje na krajiny alebo ich časti, ktoré nepatria do kategórie „vysokého rizika“</w:t>
            </w:r>
            <w:r>
              <w:rPr>
                <w:b/>
                <w:i/>
                <w:lang w:val="sk-SK"/>
              </w:rPr>
              <w:t>,</w:t>
            </w:r>
            <w:r>
              <w:rPr>
                <w:lang w:val="sk-SK"/>
              </w:rPr>
              <w:t xml:space="preserve"> „nízkeho rizika“ </w:t>
            </w:r>
            <w:r>
              <w:rPr>
                <w:b/>
                <w:i/>
                <w:lang w:val="sk-SK"/>
              </w:rPr>
              <w:t>ani do kategórie</w:t>
            </w:r>
            <w:r>
              <w:rPr>
                <w:b/>
                <w:lang w:val="sk-SK"/>
              </w:rPr>
              <w:t xml:space="preserve"> </w:t>
            </w:r>
            <w:r>
              <w:rPr>
                <w:b/>
                <w:i/>
                <w:lang w:val="sk-SK"/>
              </w:rPr>
              <w:t>„žiadneho rizika“;</w:t>
            </w:r>
          </w:p>
        </w:tc>
      </w:tr>
      <w:tr>
        <w:trPr>
          <w:jc w:val="center"/>
        </w:trPr>
        <w:tc>
          <w:tcPr>
            <w:tcW w:w="4876" w:type="dxa"/>
          </w:tcPr>
          <w:p>
            <w:pPr>
              <w:pStyle w:val="Normal6a"/>
              <w:rPr>
                <w:szCs w:val="24"/>
              </w:rPr>
            </w:pPr>
          </w:p>
        </w:tc>
        <w:tc>
          <w:tcPr>
            <w:tcW w:w="4876" w:type="dxa"/>
          </w:tcPr>
          <w:p>
            <w:pPr>
              <w:pStyle w:val="Normal6a"/>
              <w:rPr>
                <w:rFonts w:eastAsia="Arial"/>
                <w:b/>
                <w:bCs/>
                <w:i/>
                <w:iCs/>
                <w:szCs w:val="24"/>
              </w:rPr>
            </w:pPr>
            <w:proofErr w:type="spellStart"/>
            <w:r>
              <w:rPr>
                <w:b/>
                <w:i/>
              </w:rPr>
              <w:t>ca</w:t>
            </w:r>
            <w:proofErr w:type="spellEnd"/>
            <w:r>
              <w:rPr>
                <w:b/>
                <w:i/>
              </w:rPr>
              <w:t>)</w:t>
            </w:r>
            <w:r>
              <w:rPr>
                <w:b/>
                <w:i/>
              </w:rPr>
              <w:tab/>
              <w:t xml:space="preserve">„žiadne riziko“ sa vzťahuje na krajiny alebo ich časti, ktoré spĺňajú tieto kritériá posúdenia: </w:t>
            </w:r>
          </w:p>
        </w:tc>
      </w:tr>
      <w:tr>
        <w:trPr>
          <w:jc w:val="center"/>
        </w:trPr>
        <w:tc>
          <w:tcPr>
            <w:tcW w:w="4876" w:type="dxa"/>
          </w:tcPr>
          <w:p>
            <w:pPr>
              <w:pStyle w:val="Normal6a"/>
              <w:rPr>
                <w:szCs w:val="24"/>
              </w:rPr>
            </w:pPr>
          </w:p>
        </w:tc>
        <w:tc>
          <w:tcPr>
            <w:tcW w:w="4876" w:type="dxa"/>
          </w:tcPr>
          <w:p>
            <w:pPr>
              <w:pStyle w:val="Normal6a"/>
              <w:rPr>
                <w:rFonts w:eastAsia="Arial"/>
                <w:b/>
                <w:bCs/>
                <w:i/>
              </w:rPr>
            </w:pPr>
            <w:r>
              <w:rPr>
                <w:b/>
                <w:i/>
              </w:rPr>
              <w:t>i)</w:t>
            </w:r>
            <w:r>
              <w:rPr>
                <w:b/>
                <w:i/>
              </w:rPr>
              <w:tab/>
              <w:t>rozvoj lesnatých plôch je stabilný alebo sa v porovnaní s rokom 1990 zvýšil;</w:t>
            </w:r>
          </w:p>
        </w:tc>
      </w:tr>
      <w:tr>
        <w:trPr>
          <w:jc w:val="center"/>
        </w:trPr>
        <w:tc>
          <w:tcPr>
            <w:tcW w:w="4876" w:type="dxa"/>
          </w:tcPr>
          <w:p>
            <w:pPr>
              <w:pStyle w:val="Normal6a"/>
              <w:rPr>
                <w:szCs w:val="24"/>
              </w:rPr>
            </w:pPr>
          </w:p>
        </w:tc>
        <w:tc>
          <w:tcPr>
            <w:tcW w:w="4876" w:type="dxa"/>
          </w:tcPr>
          <w:p>
            <w:pPr>
              <w:pStyle w:val="Normal6a"/>
              <w:rPr>
                <w:rFonts w:eastAsia="Arial"/>
                <w:b/>
                <w:bCs/>
                <w:i/>
              </w:rPr>
            </w:pPr>
            <w:r>
              <w:rPr>
                <w:b/>
                <w:i/>
              </w:rPr>
              <w:t>ii)</w:t>
            </w:r>
            <w:r>
              <w:rPr>
                <w:b/>
                <w:i/>
              </w:rPr>
              <w:tab/>
              <w:t>dotknuté krajiny a ich časti podpísali Parížsku dohodu a medzinárodné dohovory o ľudských právach a predchádzaní odlesňovaniu;</w:t>
            </w:r>
          </w:p>
        </w:tc>
      </w:tr>
      <w:tr>
        <w:trPr>
          <w:jc w:val="center"/>
        </w:trPr>
        <w:tc>
          <w:tcPr>
            <w:tcW w:w="4876" w:type="dxa"/>
          </w:tcPr>
          <w:p>
            <w:pPr>
              <w:pStyle w:val="Normal6a"/>
              <w:rPr>
                <w:szCs w:val="24"/>
              </w:rPr>
            </w:pPr>
          </w:p>
        </w:tc>
        <w:tc>
          <w:tcPr>
            <w:tcW w:w="4876" w:type="dxa"/>
          </w:tcPr>
          <w:p>
            <w:pPr>
              <w:pStyle w:val="Normal6a"/>
              <w:rPr>
                <w:rFonts w:eastAsia="Arial"/>
                <w:b/>
                <w:bCs/>
                <w:i/>
                <w:szCs w:val="24"/>
              </w:rPr>
            </w:pPr>
            <w:r>
              <w:rPr>
                <w:b/>
                <w:i/>
              </w:rPr>
              <w:t>iii)</w:t>
            </w:r>
            <w:r>
              <w:rPr>
                <w:b/>
                <w:i/>
              </w:rPr>
              <w:tab/>
              <w:t>na vnútroštátnej úrovni sa dôkladne a úplne transparentne vykonávajú, presadzujú a monitorujú predpisy o predchádzaní odlesňovaniu a ochrane lesov.“</w:t>
            </w:r>
          </w:p>
        </w:tc>
      </w:tr>
    </w:tbl>
    <w:p>
      <w:pPr>
        <w:rPr>
          <w:b/>
          <w:snapToGrid w:val="0"/>
          <w:lang w:val="sk-SK"/>
        </w:rPr>
      </w:pPr>
    </w:p>
    <w:sectPr>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 w:id="1">
    <w:p>
      <w:pPr>
        <w:pStyle w:val="FootnoteText"/>
        <w:ind w:left="567" w:hanging="567"/>
        <w:rPr>
          <w:sz w:val="24"/>
          <w:szCs w:val="24"/>
          <w:lang w:val="en-GB"/>
        </w:rPr>
      </w:pPr>
      <w:r>
        <w:rPr>
          <w:rStyle w:val="FootnoteReference"/>
          <w:sz w:val="24"/>
          <w:szCs w:val="24"/>
        </w:rPr>
        <w:footnoteRef/>
      </w:r>
      <w:r>
        <w:rPr>
          <w:sz w:val="24"/>
          <w:szCs w:val="24"/>
        </w:rPr>
        <w:t xml:space="preserve"> </w:t>
      </w:r>
      <w:r>
        <w:rPr>
          <w:sz w:val="24"/>
          <w:szCs w:val="24"/>
          <w:lang w:val="en-GB"/>
        </w:rPr>
        <w:tab/>
      </w:r>
      <w:r>
        <w:rPr>
          <w:sz w:val="24"/>
          <w:szCs w:val="24"/>
          <w:lang w:val="sk-SK"/>
        </w:rPr>
        <w:t xml:space="preserve">Vec bola vrátená gestorskému výboru na </w:t>
      </w:r>
      <w:proofErr w:type="spellStart"/>
      <w:r>
        <w:rPr>
          <w:sz w:val="24"/>
          <w:szCs w:val="24"/>
          <w:lang w:val="sk-SK"/>
        </w:rPr>
        <w:t>medziinštitucionálne</w:t>
      </w:r>
      <w:proofErr w:type="spellEnd"/>
      <w:r>
        <w:rPr>
          <w:sz w:val="24"/>
          <w:szCs w:val="24"/>
          <w:lang w:val="sk-SK"/>
        </w:rPr>
        <w:t xml:space="preserve"> rokovania podľa článku 60 ods. 4 štvrtého </w:t>
      </w:r>
      <w:proofErr w:type="spellStart"/>
      <w:r>
        <w:rPr>
          <w:sz w:val="24"/>
          <w:szCs w:val="24"/>
          <w:lang w:val="sk-SK"/>
        </w:rPr>
        <w:t>pododseku</w:t>
      </w:r>
      <w:bookmarkStart w:id="8" w:name="_GoBack"/>
      <w:bookmarkEnd w:id="8"/>
      <w:proofErr w:type="spellEnd"/>
      <w:r>
        <w:rPr>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r-FR" w:vendorID="64" w:dllVersion="131078" w:nlCheck="1" w:checkStyle="0"/>
  <w:activeWritingStyle w:appName="MSWord" w:lang="en-GB" w:vendorID="64" w:dllVersion="131078" w:nlCheck="1" w:checkStyle="1"/>
  <w:activeWritingStyle w:appName="MSWord" w:lang="fr-FR" w:vendorID="9" w:dllVersion="512" w:checkStyle="0"/>
  <w:activeWritingStyle w:appName="MSWord" w:lang="pt-PT" w:vendorID="13" w:dllVersion="513" w:checkStyle="1"/>
  <w:activeWritingStyle w:appName="MSWord" w:lang="pl-PL" w:vendorID="12"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346300B-F062-4996-87AF-66E23F910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semiHidden/>
    <w:pPr>
      <w:keepLines/>
      <w:spacing w:line="260" w:lineRule="exact"/>
      <w:ind w:left="425" w:hanging="425"/>
    </w:pPr>
    <w:rPr>
      <w:sz w:val="22"/>
    </w:rPr>
  </w:style>
  <w:style w:type="paragraph" w:styleId="Header">
    <w:name w:val="header"/>
    <w:basedOn w:val="Normal"/>
    <w:link w:val="HeaderChar"/>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pPr>
      <w:widowControl w:val="0"/>
      <w:spacing w:after="240"/>
    </w:pPr>
    <w:rPr>
      <w:snapToGrid w:val="0"/>
      <w:lang w:val="en-GB"/>
    </w:rPr>
  </w:style>
  <w:style w:type="paragraph" w:customStyle="1" w:styleId="NormalBold">
    <w:name w:val="NormalBold"/>
    <w:basedOn w:val="Normal"/>
    <w:pPr>
      <w:widowControl w:val="0"/>
    </w:pPr>
    <w:rPr>
      <w:b/>
      <w:snapToGrid w:val="0"/>
      <w:lang w:val="en-GB"/>
    </w:rPr>
  </w:style>
  <w:style w:type="paragraph" w:customStyle="1" w:styleId="Normal12Hanging">
    <w:name w:val="Normal12Hanging"/>
    <w:basedOn w:val="Normal12"/>
    <w:link w:val="Normal12HangingChar"/>
    <w:pPr>
      <w:ind w:left="357" w:hanging="357"/>
    </w:pPr>
  </w:style>
  <w:style w:type="character" w:customStyle="1" w:styleId="longtext">
    <w:name w:val="long_text"/>
    <w:rPr>
      <w:rFonts w:cs="Times New Roman"/>
    </w:rPr>
  </w:style>
  <w:style w:type="paragraph" w:customStyle="1" w:styleId="Hanging12">
    <w:name w:val="Hanging12"/>
    <w:basedOn w:val="Normal12"/>
    <w:pPr>
      <w:tabs>
        <w:tab w:val="left" w:pos="357"/>
      </w:tabs>
      <w:ind w:left="357" w:hanging="357"/>
    </w:pPr>
    <w:rPr>
      <w:snapToGrid/>
    </w:rPr>
  </w:style>
  <w:style w:type="paragraph" w:customStyle="1" w:styleId="Normal6">
    <w:name w:val="Normal6"/>
    <w:basedOn w:val="Normal"/>
    <w:link w:val="Normal6Char"/>
    <w:pPr>
      <w:widowControl w:val="0"/>
      <w:spacing w:after="120"/>
    </w:pPr>
    <w:rPr>
      <w:noProof/>
      <w:lang w:val="en-GB"/>
    </w:rPr>
  </w:style>
  <w:style w:type="character" w:customStyle="1" w:styleId="Normal6Char">
    <w:name w:val="Normal6 Char"/>
    <w:link w:val="Normal6"/>
    <w:rPr>
      <w:noProof/>
      <w:sz w:val="24"/>
      <w:lang w:val="en-GB" w:eastAsia="en-GB" w:bidi="ar-SA"/>
    </w:rPr>
  </w:style>
  <w:style w:type="character" w:customStyle="1" w:styleId="Normal12HangingChar">
    <w:name w:val="Normal12Hanging Char"/>
    <w:link w:val="Normal12Hanging"/>
    <w:rPr>
      <w:snapToGrid w:val="0"/>
      <w:sz w:val="24"/>
      <w:lang w:val="en-GB" w:eastAsia="en-GB" w:bidi="ar-SA"/>
    </w:rPr>
  </w:style>
  <w:style w:type="character" w:customStyle="1" w:styleId="hps">
    <w:name w:val="hps"/>
    <w:basedOn w:val="DefaultParagraphFont"/>
  </w:style>
  <w:style w:type="character" w:customStyle="1" w:styleId="HideTWBExt">
    <w:name w:val="HideTWBExt"/>
    <w:rPr>
      <w:rFonts w:ascii="Arial" w:hAnsi="Arial"/>
      <w:noProof/>
      <w:vanish/>
      <w:color w:val="000080"/>
      <w:sz w:val="20"/>
    </w:rPr>
  </w:style>
  <w:style w:type="paragraph" w:customStyle="1" w:styleId="ZSessionDoc">
    <w:name w:val="ZSessionDoc"/>
    <w:basedOn w:val="Normal"/>
    <w:next w:val="Normal"/>
    <w:pPr>
      <w:widowControl w:val="0"/>
      <w:jc w:val="center"/>
    </w:pPr>
    <w:rPr>
      <w:rFonts w:ascii="Arial" w:hAnsi="Arial" w:cs="Arial"/>
      <w:i/>
      <w:sz w:val="22"/>
      <w:szCs w:val="22"/>
      <w:lang w:val="en-GB"/>
    </w:rPr>
  </w:style>
  <w:style w:type="paragraph" w:customStyle="1" w:styleId="LineTop">
    <w:name w:val="LineTop"/>
    <w:basedOn w:val="Normal"/>
    <w:next w:val="ZSessionDoc"/>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pPr>
      <w:widowControl w:val="0"/>
      <w:spacing w:before="40" w:after="40"/>
    </w:pPr>
    <w:rPr>
      <w:rFonts w:ascii="Arial" w:hAnsi="Arial" w:cs="Arial"/>
      <w:sz w:val="22"/>
      <w:szCs w:val="22"/>
    </w:rPr>
  </w:style>
  <w:style w:type="paragraph" w:customStyle="1" w:styleId="PERight">
    <w:name w:val="PERight"/>
    <w:basedOn w:val="Normal"/>
    <w:next w:val="Normal"/>
    <w:pPr>
      <w:widowControl w:val="0"/>
      <w:jc w:val="right"/>
    </w:pPr>
    <w:rPr>
      <w:rFonts w:ascii="Arial" w:hAnsi="Arial" w:cs="Arial"/>
      <w:sz w:val="22"/>
      <w:szCs w:val="22"/>
    </w:rPr>
  </w:style>
  <w:style w:type="paragraph" w:customStyle="1" w:styleId="EPName">
    <w:name w:val="EPName"/>
    <w:basedOn w:val="Normal"/>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pPr>
      <w:widowControl w:val="0"/>
      <w:spacing w:after="80"/>
    </w:pPr>
    <w:rPr>
      <w:rFonts w:ascii="Arial" w:hAnsi="Arial" w:cs="Arial"/>
      <w:sz w:val="20"/>
      <w:szCs w:val="22"/>
    </w:rPr>
  </w:style>
  <w:style w:type="paragraph" w:customStyle="1" w:styleId="EPLogo">
    <w:name w:val="EPLogo"/>
    <w:basedOn w:val="Normal"/>
    <w:qFormat/>
    <w:pPr>
      <w:widowControl w:val="0"/>
      <w:jc w:val="right"/>
    </w:pPr>
    <w:rPr>
      <w:lang w:val="en-GB"/>
    </w:rPr>
  </w:style>
  <w:style w:type="paragraph" w:customStyle="1" w:styleId="Institutionquiagit">
    <w:name w:val="Institution qui agit"/>
    <w:basedOn w:val="Normal"/>
    <w:next w:val="Normal"/>
    <w:pPr>
      <w:keepNext/>
      <w:spacing w:before="600" w:after="120"/>
      <w:jc w:val="both"/>
    </w:pPr>
    <w:rPr>
      <w:szCs w:val="24"/>
      <w:lang w:val="en-GB"/>
    </w:rPr>
  </w:style>
  <w:style w:type="paragraph" w:customStyle="1" w:styleId="EPFooter2">
    <w:name w:val="EPFooter2"/>
    <w:basedOn w:val="Normal"/>
    <w:next w:val="Normal"/>
    <w:pPr>
      <w:tabs>
        <w:tab w:val="center" w:pos="4535"/>
        <w:tab w:val="right" w:pos="9921"/>
      </w:tabs>
      <w:ind w:left="-850" w:right="-850"/>
    </w:pPr>
    <w:rPr>
      <w:rFonts w:ascii="Arial" w:hAnsi="Arial" w:cs="Arial"/>
      <w:b/>
      <w:sz w:val="48"/>
      <w:lang w:val="sk-SK"/>
    </w:rPr>
  </w:style>
  <w:style w:type="paragraph" w:customStyle="1" w:styleId="EPFooter">
    <w:name w:val="EPFooter"/>
    <w:basedOn w:val="Normal"/>
    <w:pPr>
      <w:widowControl w:val="0"/>
      <w:tabs>
        <w:tab w:val="center" w:pos="4535"/>
        <w:tab w:val="right" w:pos="9071"/>
      </w:tabs>
      <w:spacing w:before="240" w:after="240"/>
    </w:pPr>
    <w:rPr>
      <w:color w:val="010000"/>
      <w:sz w:val="22"/>
      <w:lang w:val="sk-SK"/>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rPr>
      <w:lang w:val="fr-FR"/>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lang w:val="fr-FR"/>
    </w:rPr>
  </w:style>
  <w:style w:type="paragraph" w:styleId="Revision">
    <w:name w:val="Revision"/>
    <w:hidden/>
    <w:uiPriority w:val="99"/>
    <w:semiHidden/>
    <w:rPr>
      <w:sz w:val="24"/>
      <w:lang w:val="fr-FR"/>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fr-FR"/>
    </w:rPr>
  </w:style>
  <w:style w:type="paragraph" w:customStyle="1" w:styleId="AmDocTypeTab">
    <w:name w:val="AmDocTypeTab"/>
    <w:basedOn w:val="Normal"/>
    <w:pPr>
      <w:widowControl w:val="0"/>
      <w:tabs>
        <w:tab w:val="right" w:pos="9071"/>
      </w:tabs>
    </w:pPr>
    <w:rPr>
      <w:b/>
      <w:lang w:val="sk-SK"/>
    </w:rPr>
  </w:style>
  <w:style w:type="paragraph" w:customStyle="1" w:styleId="Normal12a">
    <w:name w:val="Normal12a"/>
    <w:basedOn w:val="Normal"/>
    <w:pPr>
      <w:widowControl w:val="0"/>
      <w:spacing w:after="240"/>
    </w:pPr>
    <w:rPr>
      <w:lang w:val="sk-SK"/>
    </w:rPr>
  </w:style>
  <w:style w:type="character" w:customStyle="1" w:styleId="HideTWBInt">
    <w:name w:val="HideTWBInt"/>
    <w:rPr>
      <w:rFonts w:ascii="Arial" w:hAnsi="Arial"/>
      <w:vanish/>
      <w:color w:val="808080"/>
      <w:sz w:val="20"/>
    </w:rPr>
  </w:style>
  <w:style w:type="paragraph" w:customStyle="1" w:styleId="AmOrLang">
    <w:name w:val="AmOrLang"/>
    <w:basedOn w:val="Normal"/>
    <w:pPr>
      <w:widowControl w:val="0"/>
      <w:spacing w:before="240" w:after="240"/>
      <w:jc w:val="right"/>
    </w:pPr>
    <w:rPr>
      <w:lang w:val="sk-SK"/>
    </w:rPr>
  </w:style>
  <w:style w:type="paragraph" w:customStyle="1" w:styleId="Normal6a">
    <w:name w:val="Normal6a"/>
    <w:basedOn w:val="Normal"/>
    <w:pPr>
      <w:widowControl w:val="0"/>
      <w:spacing w:after="120"/>
    </w:pPr>
    <w:rPr>
      <w:lang w:val="sk-SK"/>
    </w:rPr>
  </w:style>
  <w:style w:type="paragraph" w:customStyle="1" w:styleId="AmJustTitle">
    <w:name w:val="AmJustTitle"/>
    <w:basedOn w:val="Normal"/>
    <w:next w:val="AmJustText"/>
    <w:pPr>
      <w:keepNext/>
      <w:widowControl w:val="0"/>
      <w:spacing w:before="240" w:after="240"/>
      <w:jc w:val="center"/>
    </w:pPr>
    <w:rPr>
      <w:i/>
      <w:lang w:val="sk-SK"/>
    </w:rPr>
  </w:style>
  <w:style w:type="paragraph" w:customStyle="1" w:styleId="AmDateTab">
    <w:name w:val="AmDateTab"/>
    <w:basedOn w:val="Normal"/>
    <w:pPr>
      <w:widowControl w:val="0"/>
      <w:tabs>
        <w:tab w:val="right" w:pos="9071"/>
      </w:tabs>
    </w:pPr>
    <w:rPr>
      <w:lang w:val="sk-SK"/>
    </w:rPr>
  </w:style>
  <w:style w:type="paragraph" w:customStyle="1" w:styleId="AmJustText">
    <w:name w:val="AmJustText"/>
    <w:basedOn w:val="Normal"/>
    <w:pPr>
      <w:widowControl w:val="0"/>
      <w:spacing w:after="240"/>
    </w:pPr>
    <w:rPr>
      <w:i/>
      <w:lang w:val="sk-SK"/>
    </w:rPr>
  </w:style>
  <w:style w:type="paragraph" w:customStyle="1" w:styleId="AmColumnHeading">
    <w:name w:val="AmColumnHeading"/>
    <w:basedOn w:val="Normal"/>
    <w:pPr>
      <w:widowControl w:val="0"/>
      <w:spacing w:after="240"/>
      <w:jc w:val="center"/>
    </w:pPr>
    <w:rPr>
      <w:i/>
      <w:lang w:val="sk-SK"/>
    </w:rPr>
  </w:style>
  <w:style w:type="paragraph" w:customStyle="1" w:styleId="AmNumberTabs">
    <w:name w:val="AmNumberTabs"/>
    <w:basedOn w:val="Normal"/>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sk-SK"/>
    </w:rPr>
  </w:style>
  <w:style w:type="character" w:customStyle="1" w:styleId="FooterChar">
    <w:name w:val="Footer Char"/>
    <w:basedOn w:val="DefaultParagraphFont"/>
    <w:link w:val="Footer"/>
    <w:rPr>
      <w:sz w:val="22"/>
      <w:lang w:val="fr-FR"/>
    </w:rPr>
  </w:style>
  <w:style w:type="character" w:customStyle="1" w:styleId="HeaderChar">
    <w:name w:val="Header Char"/>
    <w:basedOn w:val="DefaultParagraphFont"/>
    <w:link w:val="Header"/>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531BD9-1382-49A4-B840-BC26B9451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7</Pages>
  <Words>1702</Words>
  <Characters>10961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12638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SOLTYSOVA Zuzana</dc:creator>
  <cp:keywords/>
  <cp:lastModifiedBy>SUCHANOVA Monika</cp:lastModifiedBy>
  <cp:revision>2</cp:revision>
  <cp:lastPrinted>2014-08-07T13:15:00Z</cp:lastPrinted>
  <dcterms:created xsi:type="dcterms:W3CDTF">2024-12-16T10:55:00Z</dcterms:created>
  <dcterms:modified xsi:type="dcterms:W3CDTF">2024-12-16T10:55:00Z</dcterms:modified>
</cp:coreProperties>
</file>