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11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11D7" w:rsidRDefault="00C26922" w:rsidP="0010095E">
            <w:pPr>
              <w:pStyle w:val="EPName"/>
            </w:pPr>
            <w:r w:rsidRPr="00E111D7">
              <w:t>Parlament Europejski</w:t>
            </w:r>
          </w:p>
          <w:p w:rsidR="00751A4A" w:rsidRPr="00E111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11D7">
              <w:t>2024</w:t>
            </w:r>
            <w:r w:rsidR="00817416" w:rsidRPr="00E111D7">
              <w:t>-202</w:t>
            </w:r>
            <w:r w:rsidRPr="00E111D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111D7" w:rsidRDefault="00187494" w:rsidP="0010095E">
            <w:pPr>
              <w:pStyle w:val="EPLogo"/>
            </w:pPr>
            <w:r w:rsidRPr="00E111D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11D7" w:rsidRDefault="00D058B8" w:rsidP="004C5D52">
      <w:pPr>
        <w:pStyle w:val="LineTop"/>
      </w:pPr>
    </w:p>
    <w:p w:rsidR="00680577" w:rsidRPr="00E111D7" w:rsidRDefault="00C26922" w:rsidP="00680577">
      <w:pPr>
        <w:pStyle w:val="EPBodyTA1"/>
      </w:pPr>
      <w:r w:rsidRPr="00E111D7">
        <w:t>TEKSTY PRZYJĘTE</w:t>
      </w:r>
    </w:p>
    <w:p w:rsidR="00D058B8" w:rsidRPr="00E111D7" w:rsidRDefault="00D058B8" w:rsidP="00D058B8">
      <w:pPr>
        <w:pStyle w:val="LineBottom"/>
      </w:pPr>
    </w:p>
    <w:p w:rsidR="00C26922" w:rsidRPr="00E111D7" w:rsidRDefault="00C26922" w:rsidP="00C26922">
      <w:pPr>
        <w:pStyle w:val="ATHeading1"/>
      </w:pPr>
      <w:bookmarkStart w:id="0" w:name="TANumber"/>
      <w:r w:rsidRPr="00E111D7">
        <w:t>P10_TA(2024)00</w:t>
      </w:r>
      <w:bookmarkEnd w:id="0"/>
      <w:r w:rsidR="00B81D85">
        <w:t>35</w:t>
      </w:r>
    </w:p>
    <w:p w:rsidR="00C26922" w:rsidRPr="00E111D7" w:rsidRDefault="00FC3CDD" w:rsidP="00FC3CDD">
      <w:pPr>
        <w:pStyle w:val="ATHeading2"/>
      </w:pPr>
      <w:r w:rsidRPr="00FC3CDD">
        <w:rPr>
          <w:bCs/>
        </w:rPr>
        <w:t>Konferencja ONZ w sprawie zmiany klimatu w 2024 r. w Baku, Azerbejdżan</w:t>
      </w:r>
      <w:r>
        <w:rPr>
          <w:bCs/>
        </w:rPr>
        <w:t xml:space="preserve"> </w:t>
      </w:r>
      <w:r w:rsidRPr="00B81D85">
        <w:rPr>
          <w:bCs/>
        </w:rPr>
        <w:t>(COP29)</w:t>
      </w:r>
    </w:p>
    <w:p w:rsidR="00C26922" w:rsidRPr="00E111D7" w:rsidRDefault="00C26922" w:rsidP="00C26922">
      <w:pPr>
        <w:rPr>
          <w:i/>
          <w:vanish/>
        </w:rPr>
      </w:pPr>
      <w:r w:rsidRPr="00E111D7">
        <w:rPr>
          <w:i/>
        </w:rPr>
        <w:fldChar w:fldCharType="begin"/>
      </w:r>
      <w:r w:rsidRPr="00E111D7">
        <w:rPr>
          <w:i/>
        </w:rPr>
        <w:instrText xml:space="preserve"> TC"(</w:instrText>
      </w:r>
      <w:bookmarkStart w:id="1" w:name="DocNumber"/>
      <w:r w:rsidRPr="00E111D7">
        <w:rPr>
          <w:i/>
        </w:rPr>
        <w:instrText>B</w:instrText>
      </w:r>
      <w:proofErr w:type="gramStart"/>
      <w:r w:rsidRPr="00E111D7">
        <w:rPr>
          <w:i/>
        </w:rPr>
        <w:instrText>10-0156/2024</w:instrText>
      </w:r>
      <w:bookmarkEnd w:id="1"/>
      <w:r w:rsidRPr="00E111D7">
        <w:rPr>
          <w:i/>
        </w:rPr>
        <w:instrText>)"\l</w:instrText>
      </w:r>
      <w:proofErr w:type="gramEnd"/>
      <w:r w:rsidRPr="00E111D7">
        <w:rPr>
          <w:i/>
        </w:rPr>
        <w:instrText xml:space="preserve">3 \n&gt; \* MERGEFORMAT </w:instrText>
      </w:r>
      <w:r w:rsidRPr="00E111D7">
        <w:rPr>
          <w:i/>
        </w:rPr>
        <w:fldChar w:fldCharType="end"/>
      </w:r>
    </w:p>
    <w:p w:rsidR="00C26922" w:rsidRPr="00E111D7" w:rsidRDefault="00C26922" w:rsidP="00C26922">
      <w:pPr>
        <w:rPr>
          <w:vanish/>
        </w:rPr>
      </w:pPr>
      <w:bookmarkStart w:id="2" w:name="PE"/>
      <w:r w:rsidRPr="00E111D7">
        <w:rPr>
          <w:vanish/>
        </w:rPr>
        <w:t>PE762.921</w:t>
      </w:r>
      <w:bookmarkEnd w:id="2"/>
    </w:p>
    <w:p w:rsidR="00C26922" w:rsidRPr="00E111D7" w:rsidRDefault="00FC3CDD" w:rsidP="00C26922">
      <w:pPr>
        <w:pStyle w:val="ATHeading3"/>
      </w:pPr>
      <w:bookmarkStart w:id="3" w:name="Sujet"/>
      <w:r>
        <w:t>Rezolucja</w:t>
      </w:r>
      <w:r w:rsidR="00C26922" w:rsidRPr="00E111D7">
        <w:t xml:space="preserve"> Parlamentu Europejskiego z dnia </w:t>
      </w:r>
      <w:r>
        <w:t>14 listopada</w:t>
      </w:r>
      <w:r w:rsidR="00C26922" w:rsidRPr="00E111D7">
        <w:t xml:space="preserve"> 2024 r. w sprawie Konferencji ONZ w sprawie zmiany klimatu 2024 (COP29) w Baku, Azerbejdżan</w:t>
      </w:r>
      <w:bookmarkEnd w:id="3"/>
      <w:r w:rsidR="00C26922" w:rsidRPr="00E111D7">
        <w:t xml:space="preserve"> </w:t>
      </w:r>
      <w:bookmarkStart w:id="4" w:name="References"/>
      <w:r w:rsidR="00C26922" w:rsidRPr="00E111D7">
        <w:t>(2024/2718(RSP))</w:t>
      </w:r>
      <w:bookmarkEnd w:id="4"/>
    </w:p>
    <w:p w:rsidR="00C26922" w:rsidRPr="00E111D7" w:rsidRDefault="00C26922" w:rsidP="00C26922"/>
    <w:p w:rsidR="00D16727" w:rsidRPr="00E111D7" w:rsidRDefault="00D16727" w:rsidP="00D16727">
      <w:pPr>
        <w:pStyle w:val="EPComma"/>
      </w:pPr>
      <w:bookmarkStart w:id="5" w:name="TextBodyBegin"/>
      <w:bookmarkEnd w:id="5"/>
      <w:r w:rsidRPr="00E111D7">
        <w:rPr>
          <w:i/>
        </w:rPr>
        <w:t>Parlament Europejski</w:t>
      </w:r>
      <w:r w:rsidRPr="00E111D7">
        <w:t>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Ramową konwencję Narodów Zjednoczonych w sprawie zmian klimatu (UNFCCC) i protokół z Kioto do tej konwencji,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porozumienie przyjęte 12 grudnia 2015 r. na 21. Konferencji Stron UNFCCC (COP21) w Paryżu (porozumienie paryskie),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 xml:space="preserve">uwzględniając 28. Konferencję Stron UNFCCC (COP28), 18. </w:t>
      </w:r>
      <w:proofErr w:type="gramStart"/>
      <w:r w:rsidRPr="00E111D7">
        <w:t>sesję</w:t>
      </w:r>
      <w:proofErr w:type="gramEnd"/>
      <w:r w:rsidRPr="00E111D7">
        <w:t xml:space="preserve"> Konferencji Stron służącą jako spotkanie Stron protokołu z Kioto (CMP18), piąte posiedzenie Konferencji Stron służące jako spotkanie Stron porozumienia paryskiego (CMA5) i pakt klimatyczny z Glasgow przyjęty 13 listopada 2021 r. na 26. Konferencji Stron UNFCCC (COP26) w Glasgow,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porozumienie zawarte na 27. Konferencji Stron UNFCCC (COP27) w sprawie ustanowienia instrumentu finansowania strat i szkód, utworzenie podczas COP28 komitetu przejściowego ds. uruchomienia nowych mechanizmów finansowania reagowania na straty i szkody oraz sieć z Santiago ds. strat i szkód,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swoją rezolucję z 21 listopada 2023 r. w sprawie Konferencji ONZ w sprawie zmiany klimatu 2023 (COP28) w Dubaju, Zjednoczone Emiraty Arabskie</w:t>
      </w:r>
      <w:r w:rsidRPr="00E111D7">
        <w:rPr>
          <w:rStyle w:val="FootnoteReference"/>
          <w:color w:val="000000"/>
        </w:rPr>
        <w:footnoteReference w:id="1"/>
      </w:r>
      <w:r w:rsidRPr="00E111D7">
        <w:t>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 xml:space="preserve">uwzględniając swoją rezolucję z 25 kwietnia 2024 r. w sprawie Azerbejdżanu, w szczególności represji wobec społeczeństwa obywatelskiego oraz sytuacji dr. </w:t>
      </w:r>
      <w:proofErr w:type="spellStart"/>
      <w:r w:rsidRPr="00E111D7">
        <w:t>Gubada</w:t>
      </w:r>
      <w:proofErr w:type="spellEnd"/>
      <w:r w:rsidRPr="00E111D7">
        <w:t xml:space="preserve"> </w:t>
      </w:r>
      <w:proofErr w:type="spellStart"/>
      <w:r w:rsidRPr="00E111D7">
        <w:t>Ibadoglu</w:t>
      </w:r>
      <w:proofErr w:type="spellEnd"/>
      <w:r w:rsidRPr="00E111D7">
        <w:t xml:space="preserve"> i </w:t>
      </w:r>
      <w:proofErr w:type="spellStart"/>
      <w:r w:rsidRPr="00E111D7">
        <w:t>Ilhamiza</w:t>
      </w:r>
      <w:proofErr w:type="spellEnd"/>
      <w:r w:rsidRPr="00E111D7">
        <w:t xml:space="preserve"> </w:t>
      </w:r>
      <w:proofErr w:type="spellStart"/>
      <w:r w:rsidRPr="00E111D7">
        <w:t>Gulijewa</w:t>
      </w:r>
      <w:proofErr w:type="spellEnd"/>
      <w:r w:rsidRPr="00E111D7">
        <w:rPr>
          <w:vertAlign w:val="superscript"/>
        </w:rPr>
        <w:footnoteReference w:id="2"/>
      </w:r>
      <w:r w:rsidRPr="00E111D7">
        <w:t>, a także wszystkie wcześniejsze rezolucje w sprawie Azerbejdżanu,</w:t>
      </w:r>
    </w:p>
    <w:p w:rsidR="00D16727" w:rsidRPr="00E111D7" w:rsidRDefault="00D16727" w:rsidP="00D16727">
      <w:pPr>
        <w:pStyle w:val="NormalHanging12a"/>
      </w:pPr>
      <w:r w:rsidRPr="00E111D7">
        <w:lastRenderedPageBreak/>
        <w:t>–</w:t>
      </w:r>
      <w:r w:rsidRPr="00E111D7">
        <w:tab/>
        <w:t>uwzględniając Agendę ONZ na rzecz zrównoważonego rozwoju 2030 oraz cele zrównoważonego rozwoju,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swoją rezolucję z 15 czerwca 2023 r. w sprawie wdrażania i realizacji celów zrównoważonego rozwoju</w:t>
      </w:r>
      <w:r w:rsidRPr="00E111D7">
        <w:rPr>
          <w:rStyle w:val="FootnoteReference"/>
          <w:color w:val="000000"/>
        </w:rPr>
        <w:footnoteReference w:id="3"/>
      </w:r>
      <w:r w:rsidRPr="00E111D7">
        <w:t>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sprawozdanie specjalne Międzyrządowego Zespołu ds. Zmian Klimatu (IPCC) z 2018 r. dotyczące globalnego ocieplenia o 1,5 °C, jego sprawozdanie specjalne w sprawie zmiany klimatu i gruntów, jego sprawozdanie specjalne w sprawie oceanów i kriosfery w zmieniającym się klimacie oraz jego szóste sprawozdanie oceniające,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Europejskiego Naukowego Komitetu Doradczego ds. Zmiany Klimatu z 18 stycznia 2024 r. pt. „</w:t>
      </w:r>
      <w:proofErr w:type="spellStart"/>
      <w:r w:rsidRPr="00E111D7">
        <w:t>Towards</w:t>
      </w:r>
      <w:proofErr w:type="spellEnd"/>
      <w:r w:rsidRPr="00E111D7">
        <w:t xml:space="preserve"> EU </w:t>
      </w:r>
      <w:proofErr w:type="spellStart"/>
      <w:r w:rsidRPr="00E111D7">
        <w:t>climate</w:t>
      </w:r>
      <w:proofErr w:type="spellEnd"/>
      <w:r w:rsidRPr="00E111D7">
        <w:t xml:space="preserve"> </w:t>
      </w:r>
      <w:proofErr w:type="spellStart"/>
      <w:r w:rsidRPr="00E111D7">
        <w:t>neutrality</w:t>
      </w:r>
      <w:proofErr w:type="spellEnd"/>
      <w:r w:rsidRPr="00E111D7">
        <w:t xml:space="preserve">: </w:t>
      </w:r>
      <w:proofErr w:type="spellStart"/>
      <w:r w:rsidRPr="00E111D7">
        <w:t>progress</w:t>
      </w:r>
      <w:proofErr w:type="spellEnd"/>
      <w:r w:rsidRPr="00E111D7">
        <w:t xml:space="preserve">, policy </w:t>
      </w:r>
      <w:proofErr w:type="spellStart"/>
      <w:r w:rsidRPr="00E111D7">
        <w:t>gaps</w:t>
      </w:r>
      <w:proofErr w:type="spellEnd"/>
      <w:r w:rsidRPr="00E111D7">
        <w:t xml:space="preserve"> and </w:t>
      </w:r>
      <w:proofErr w:type="spellStart"/>
      <w:r w:rsidRPr="00E111D7">
        <w:t>opportunities</w:t>
      </w:r>
      <w:proofErr w:type="spellEnd"/>
      <w:r w:rsidRPr="00E111D7">
        <w:t>” [W kierunku neutralności klimatycznej UE: postępy, luki w polityce i szanse], a także jego sprawozdanie z 15 czerwca 2023 r. pt. „</w:t>
      </w:r>
      <w:proofErr w:type="spellStart"/>
      <w:r w:rsidRPr="00E111D7">
        <w:t>Scientific</w:t>
      </w:r>
      <w:proofErr w:type="spellEnd"/>
      <w:r w:rsidRPr="00E111D7">
        <w:t xml:space="preserve"> </w:t>
      </w:r>
      <w:proofErr w:type="spellStart"/>
      <w:r w:rsidRPr="00E111D7">
        <w:t>advice</w:t>
      </w:r>
      <w:proofErr w:type="spellEnd"/>
      <w:r w:rsidRPr="00E111D7">
        <w:t xml:space="preserve"> for the </w:t>
      </w:r>
      <w:proofErr w:type="spellStart"/>
      <w:r w:rsidRPr="00E111D7">
        <w:t>determination</w:t>
      </w:r>
      <w:proofErr w:type="spellEnd"/>
      <w:r w:rsidRPr="00E111D7">
        <w:t xml:space="preserve"> of </w:t>
      </w:r>
      <w:proofErr w:type="spellStart"/>
      <w:r w:rsidRPr="00E111D7">
        <w:t>an</w:t>
      </w:r>
      <w:proofErr w:type="spellEnd"/>
      <w:r w:rsidRPr="00E111D7">
        <w:t xml:space="preserve"> EU-</w:t>
      </w:r>
      <w:proofErr w:type="spellStart"/>
      <w:r w:rsidRPr="00E111D7">
        <w:t>wide</w:t>
      </w:r>
      <w:proofErr w:type="spellEnd"/>
      <w:r w:rsidRPr="00E111D7">
        <w:t xml:space="preserve"> 2040 </w:t>
      </w:r>
      <w:proofErr w:type="spellStart"/>
      <w:r w:rsidRPr="00E111D7">
        <w:t>climate</w:t>
      </w:r>
      <w:proofErr w:type="spellEnd"/>
      <w:r w:rsidRPr="00E111D7">
        <w:t xml:space="preserve"> target and a </w:t>
      </w:r>
      <w:proofErr w:type="spellStart"/>
      <w:r w:rsidRPr="00E111D7">
        <w:t>greenhouse</w:t>
      </w:r>
      <w:proofErr w:type="spellEnd"/>
      <w:r w:rsidRPr="00E111D7">
        <w:t xml:space="preserve"> </w:t>
      </w:r>
      <w:proofErr w:type="spellStart"/>
      <w:r w:rsidRPr="00E111D7">
        <w:t>gas</w:t>
      </w:r>
      <w:proofErr w:type="spellEnd"/>
      <w:r w:rsidRPr="00E111D7">
        <w:t xml:space="preserve"> </w:t>
      </w:r>
      <w:proofErr w:type="spellStart"/>
      <w:r w:rsidRPr="00E111D7">
        <w:t>budget</w:t>
      </w:r>
      <w:proofErr w:type="spellEnd"/>
      <w:r w:rsidRPr="00E111D7">
        <w:t xml:space="preserve"> for 2030–2050” [Doradztwo naukowe dotyczące określenia </w:t>
      </w:r>
      <w:proofErr w:type="spellStart"/>
      <w:r w:rsidRPr="00E111D7">
        <w:t>ogólnounijnego</w:t>
      </w:r>
      <w:proofErr w:type="spellEnd"/>
      <w:r w:rsidRPr="00E111D7">
        <w:t xml:space="preserve"> celu klimatycznego na 2040 r. oraz budżetu na lata 2030–2050 przeznaczonego na ograniczenie emisji gazów cieplarnianych],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rozporządzenie Parlamentu Europejskiego i Rady (UE) 2021/1119 z 30 czerwca 2021 r. w sprawie ustanowienia ram na potrzeby osiągnięcia neutralności klimatycznej i zmiany rozporządzeń (WE) nr 401/2009 i (UE) 2018/1999 (Europejskie prawo o klimacie)</w:t>
      </w:r>
      <w:r w:rsidRPr="00E111D7">
        <w:rPr>
          <w:rStyle w:val="FootnoteReference"/>
          <w:color w:val="000000"/>
          <w:szCs w:val="24"/>
        </w:rPr>
        <w:footnoteReference w:id="4"/>
      </w:r>
      <w:r w:rsidRPr="00E111D7">
        <w:t>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niedawno przyjęte przepisy UE, które wpisują cele UE, takie jak redukcja emisji netto o co najmniej 55 % do 2030 r. w porównaniu z poziomami z 1990 r. i osiągnięcie neutralności klimatycznej do 2050 r. (pakiet „Gotowi na 55”), w konkretne strategie polityczne w różnych sektorach,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decyzję Parlamentu Europejskiego i Rady (UE) 2022/591 z 6 kwietnia 2022 r. w sprawie ogólnego unijnego programu działań w zakresie środowiska do 2030 r. („8. EAP”), a także sprawozdanie Europejskiej Agencji Środowiska z monitorowania postępów w realizacji celów 8. EAP w 2023 r. oraz śródokresowy przegląd 8. EAP przeprowadzony przez Komisję,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swoją rezolucję z 28 listopada 2019 r. w sprawie alarmującej sytuacji klimatycznej i środowiskowej</w:t>
      </w:r>
      <w:r w:rsidRPr="00E111D7">
        <w:rPr>
          <w:rStyle w:val="FootnoteReference"/>
          <w:color w:val="000000"/>
        </w:rPr>
        <w:footnoteReference w:id="5"/>
      </w:r>
      <w:r w:rsidRPr="00E111D7">
        <w:t>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komunikat Komisji z 6 lutego 2024 r. pt. „Zabezpieczenie naszej przyszłości. Cel klimatyczny Europy na 2040 r. i droga ku neutralności klimatycznej do 2050 r. jako fundamenty zrównoważonego, sprawiedliwego i dostatniego społeczeństwa” (COM(2024)0063),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komunikat Komisji z 12 marca 2024 r. pt. „Zarządzanie ryzykiem klimatycznym – ochrona obywateli i dobrobytu” (COM(2024)0091),</w:t>
      </w:r>
    </w:p>
    <w:p w:rsidR="00D16727" w:rsidRPr="00E111D7" w:rsidRDefault="00D16727" w:rsidP="00D16727">
      <w:pPr>
        <w:pStyle w:val="NormalHanging12a"/>
      </w:pPr>
      <w:r w:rsidRPr="00E111D7">
        <w:lastRenderedPageBreak/>
        <w:t>–</w:t>
      </w:r>
      <w:r w:rsidRPr="00E111D7">
        <w:tab/>
        <w:t>uwzględniając komunikat Komisji z 24 lutego 2021 r. pt. „Budując Europę odporną na zmianę klimatu – nowa Strategia w zakresie przystosowania do zmiany klimatu” (COM(2021)0082),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swoją rezolucję z 17 grudnia 2020 r. w sprawie strategii UE w zakresie przystosowania się do zmiany klimatu</w:t>
      </w:r>
      <w:r w:rsidRPr="00E111D7">
        <w:rPr>
          <w:rStyle w:val="FootnoteReference"/>
          <w:color w:val="000000"/>
        </w:rPr>
        <w:footnoteReference w:id="6"/>
      </w:r>
      <w:r w:rsidRPr="00E111D7">
        <w:t>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z 20 listopada 2023 r. na temat rozbieżności między potrzebami a perspektywami w zakresie redukcji emisji sporządzone przez Program ONZ ds. Ochrony Środowiska (UNEP) pt. „</w:t>
      </w:r>
      <w:proofErr w:type="spellStart"/>
      <w:r w:rsidRPr="00E111D7">
        <w:t>Broken</w:t>
      </w:r>
      <w:proofErr w:type="spellEnd"/>
      <w:r w:rsidRPr="00E111D7">
        <w:t xml:space="preserve"> </w:t>
      </w:r>
      <w:proofErr w:type="spellStart"/>
      <w:r w:rsidRPr="00E111D7">
        <w:t>Record</w:t>
      </w:r>
      <w:proofErr w:type="spellEnd"/>
      <w:r w:rsidRPr="00E111D7">
        <w:t xml:space="preserve"> – </w:t>
      </w:r>
      <w:proofErr w:type="spellStart"/>
      <w:r w:rsidRPr="00E111D7">
        <w:t>Temperatures</w:t>
      </w:r>
      <w:proofErr w:type="spellEnd"/>
      <w:r w:rsidRPr="00E111D7">
        <w:t xml:space="preserve"> hit </w:t>
      </w:r>
      <w:proofErr w:type="spellStart"/>
      <w:r w:rsidRPr="00E111D7">
        <w:t>new</w:t>
      </w:r>
      <w:proofErr w:type="spellEnd"/>
      <w:r w:rsidRPr="00E111D7">
        <w:t xml:space="preserve"> </w:t>
      </w:r>
      <w:proofErr w:type="spellStart"/>
      <w:r w:rsidRPr="00E111D7">
        <w:t>highs</w:t>
      </w:r>
      <w:proofErr w:type="spellEnd"/>
      <w:r w:rsidRPr="00E111D7">
        <w:t xml:space="preserve">, </w:t>
      </w:r>
      <w:proofErr w:type="spellStart"/>
      <w:r w:rsidRPr="00E111D7">
        <w:t>yet</w:t>
      </w:r>
      <w:proofErr w:type="spellEnd"/>
      <w:r w:rsidRPr="00E111D7">
        <w:t xml:space="preserve"> </w:t>
      </w:r>
      <w:proofErr w:type="spellStart"/>
      <w:r w:rsidRPr="00E111D7">
        <w:t>world</w:t>
      </w:r>
      <w:proofErr w:type="spellEnd"/>
      <w:r w:rsidRPr="00E111D7">
        <w:t xml:space="preserve"> </w:t>
      </w:r>
      <w:proofErr w:type="spellStart"/>
      <w:r w:rsidRPr="00E111D7">
        <w:t>fails</w:t>
      </w:r>
      <w:proofErr w:type="spellEnd"/>
      <w:r w:rsidRPr="00E111D7">
        <w:t xml:space="preserve"> to </w:t>
      </w:r>
      <w:proofErr w:type="spellStart"/>
      <w:r w:rsidRPr="00E111D7">
        <w:t>cut</w:t>
      </w:r>
      <w:proofErr w:type="spellEnd"/>
      <w:r w:rsidRPr="00E111D7">
        <w:t xml:space="preserve"> </w:t>
      </w:r>
      <w:proofErr w:type="spellStart"/>
      <w:r w:rsidRPr="00E111D7">
        <w:t>emissions</w:t>
      </w:r>
      <w:proofErr w:type="spellEnd"/>
      <w:r w:rsidRPr="00E111D7">
        <w:t xml:space="preserve"> (</w:t>
      </w:r>
      <w:proofErr w:type="spellStart"/>
      <w:r w:rsidRPr="00E111D7">
        <w:t>again</w:t>
      </w:r>
      <w:proofErr w:type="spellEnd"/>
      <w:proofErr w:type="gramStart"/>
      <w:r w:rsidRPr="00E111D7">
        <w:t>)” [Nowy</w:t>
      </w:r>
      <w:proofErr w:type="gramEnd"/>
      <w:r w:rsidRPr="00E111D7">
        <w:t xml:space="preserve"> rekord – najwyższe temperatury w historii, ale świat (znów) nie ogranicza emisji], sprawozdanie UNEP z 2 listopada 2023 r. na temat luki adaptacyjnej pt. „</w:t>
      </w:r>
      <w:proofErr w:type="spellStart"/>
      <w:r w:rsidRPr="00E111D7">
        <w:t>Underfinanced</w:t>
      </w:r>
      <w:proofErr w:type="spellEnd"/>
      <w:r w:rsidRPr="00E111D7">
        <w:t xml:space="preserve">.  </w:t>
      </w:r>
      <w:proofErr w:type="spellStart"/>
      <w:r w:rsidRPr="00E111D7">
        <w:t>Underprepared</w:t>
      </w:r>
      <w:proofErr w:type="spellEnd"/>
      <w:r w:rsidRPr="00E111D7">
        <w:t xml:space="preserve"> – </w:t>
      </w:r>
      <w:proofErr w:type="spellStart"/>
      <w:r w:rsidRPr="00E111D7">
        <w:t>Inadequate</w:t>
      </w:r>
      <w:proofErr w:type="spellEnd"/>
      <w:r w:rsidRPr="00E111D7">
        <w:t xml:space="preserve"> investment and </w:t>
      </w:r>
      <w:proofErr w:type="spellStart"/>
      <w:r w:rsidRPr="00E111D7">
        <w:t>planning</w:t>
      </w:r>
      <w:proofErr w:type="spellEnd"/>
      <w:r w:rsidRPr="00E111D7">
        <w:t xml:space="preserve"> on </w:t>
      </w:r>
      <w:proofErr w:type="spellStart"/>
      <w:r w:rsidRPr="00E111D7">
        <w:t>climate</w:t>
      </w:r>
      <w:proofErr w:type="spellEnd"/>
      <w:r w:rsidRPr="00E111D7">
        <w:t xml:space="preserve"> </w:t>
      </w:r>
      <w:proofErr w:type="spellStart"/>
      <w:r w:rsidRPr="00E111D7">
        <w:t>adaptation</w:t>
      </w:r>
      <w:proofErr w:type="spellEnd"/>
      <w:r w:rsidRPr="00E111D7">
        <w:t xml:space="preserve"> </w:t>
      </w:r>
      <w:proofErr w:type="spellStart"/>
      <w:r w:rsidRPr="00E111D7">
        <w:t>leaves</w:t>
      </w:r>
      <w:proofErr w:type="spellEnd"/>
      <w:r w:rsidRPr="00E111D7">
        <w:t xml:space="preserve"> </w:t>
      </w:r>
      <w:proofErr w:type="spellStart"/>
      <w:r w:rsidRPr="00E111D7">
        <w:t>world</w:t>
      </w:r>
      <w:proofErr w:type="spellEnd"/>
      <w:r w:rsidRPr="00E111D7">
        <w:t xml:space="preserve"> </w:t>
      </w:r>
      <w:proofErr w:type="spellStart"/>
      <w:r w:rsidRPr="00E111D7">
        <w:t>exposed</w:t>
      </w:r>
      <w:proofErr w:type="spellEnd"/>
      <w:r w:rsidRPr="00E111D7">
        <w:t>” [Niedofinansowani, nieprzygotowani – brak wystarczających inwestycji i planowania w zakresie dostosowania do zmiany klimatu naraża świat na ryzyko], a także sprawozdanie UNEP z 8 listopada 2023 r. na temat rozbieżności w produkcji pt. „</w:t>
      </w:r>
      <w:proofErr w:type="spellStart"/>
      <w:r w:rsidRPr="00E111D7">
        <w:t>Phasing</w:t>
      </w:r>
      <w:proofErr w:type="spellEnd"/>
      <w:r w:rsidRPr="00E111D7">
        <w:t xml:space="preserve"> down </w:t>
      </w:r>
      <w:proofErr w:type="spellStart"/>
      <w:r w:rsidRPr="00E111D7">
        <w:t>or</w:t>
      </w:r>
      <w:proofErr w:type="spellEnd"/>
      <w:r w:rsidRPr="00E111D7">
        <w:t xml:space="preserve"> </w:t>
      </w:r>
      <w:proofErr w:type="spellStart"/>
      <w:r w:rsidRPr="00E111D7">
        <w:t>phasing</w:t>
      </w:r>
      <w:proofErr w:type="spellEnd"/>
      <w:r w:rsidRPr="00E111D7">
        <w:t xml:space="preserve"> </w:t>
      </w:r>
      <w:proofErr w:type="spellStart"/>
      <w:r w:rsidRPr="00E111D7">
        <w:t>up</w:t>
      </w:r>
      <w:proofErr w:type="spellEnd"/>
      <w:r w:rsidRPr="00E111D7">
        <w:t xml:space="preserve">? Top </w:t>
      </w:r>
      <w:proofErr w:type="spellStart"/>
      <w:r w:rsidRPr="00E111D7">
        <w:t>fossil</w:t>
      </w:r>
      <w:proofErr w:type="spellEnd"/>
      <w:r w:rsidRPr="00E111D7">
        <w:t xml:space="preserve"> </w:t>
      </w:r>
      <w:proofErr w:type="spellStart"/>
      <w:r w:rsidRPr="00E111D7">
        <w:t>fuel</w:t>
      </w:r>
      <w:proofErr w:type="spellEnd"/>
      <w:r w:rsidRPr="00E111D7">
        <w:t xml:space="preserve"> </w:t>
      </w:r>
      <w:proofErr w:type="spellStart"/>
      <w:r w:rsidRPr="00E111D7">
        <w:t>producers</w:t>
      </w:r>
      <w:proofErr w:type="spellEnd"/>
      <w:r w:rsidRPr="00E111D7">
        <w:t xml:space="preserve"> plan </w:t>
      </w:r>
      <w:proofErr w:type="spellStart"/>
      <w:r w:rsidRPr="00E111D7">
        <w:t>even</w:t>
      </w:r>
      <w:proofErr w:type="spellEnd"/>
      <w:r w:rsidRPr="00E111D7">
        <w:t xml:space="preserve"> </w:t>
      </w:r>
      <w:proofErr w:type="spellStart"/>
      <w:r w:rsidRPr="00E111D7">
        <w:t>more</w:t>
      </w:r>
      <w:proofErr w:type="spellEnd"/>
      <w:r w:rsidRPr="00E111D7">
        <w:t xml:space="preserve"> </w:t>
      </w:r>
      <w:proofErr w:type="spellStart"/>
      <w:r w:rsidRPr="00E111D7">
        <w:t>extraction</w:t>
      </w:r>
      <w:proofErr w:type="spellEnd"/>
      <w:r w:rsidRPr="00E111D7">
        <w:t xml:space="preserve"> </w:t>
      </w:r>
      <w:proofErr w:type="spellStart"/>
      <w:r w:rsidRPr="00E111D7">
        <w:t>despite</w:t>
      </w:r>
      <w:proofErr w:type="spellEnd"/>
      <w:r w:rsidRPr="00E111D7">
        <w:t xml:space="preserve"> </w:t>
      </w:r>
      <w:proofErr w:type="spellStart"/>
      <w:r w:rsidRPr="00E111D7">
        <w:t>climate</w:t>
      </w:r>
      <w:proofErr w:type="spellEnd"/>
      <w:r w:rsidRPr="00E111D7">
        <w:t xml:space="preserve"> </w:t>
      </w:r>
      <w:proofErr w:type="spellStart"/>
      <w:r w:rsidRPr="00E111D7">
        <w:t>promises</w:t>
      </w:r>
      <w:proofErr w:type="spellEnd"/>
      <w:r w:rsidRPr="00E111D7">
        <w:t>” [Stopniowe zmniejszanie czy stopniowe zwiększanie? Pomimo obietnic klimatycznych czołowi producenci paliw kopalnych planują jeszcze większe wydobycie],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sprawozdanie podsumowujące UNFCCC z 14 listopada 2023 r. w sprawie wkładów ustalonych na poziomie krajowym w ramach porozumienia paryskiego,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 xml:space="preserve">uwzględniając drugie sprawozdanie niezależnej grupy ekspertów wysokiego szczebla ds. finansowania działań w związku ze zmianą klimatu z listopada 2023 r. pt. „A </w:t>
      </w:r>
      <w:proofErr w:type="spellStart"/>
      <w:r w:rsidRPr="00E111D7">
        <w:t>climate</w:t>
      </w:r>
      <w:proofErr w:type="spellEnd"/>
      <w:r w:rsidRPr="00E111D7">
        <w:t xml:space="preserve"> </w:t>
      </w:r>
      <w:proofErr w:type="spellStart"/>
      <w:r w:rsidRPr="00E111D7">
        <w:t>finance</w:t>
      </w:r>
      <w:proofErr w:type="spellEnd"/>
      <w:r w:rsidRPr="00E111D7">
        <w:t xml:space="preserve"> </w:t>
      </w:r>
      <w:proofErr w:type="spellStart"/>
      <w:r w:rsidRPr="00E111D7">
        <w:t>framework</w:t>
      </w:r>
      <w:proofErr w:type="spellEnd"/>
      <w:r w:rsidRPr="00E111D7">
        <w:t xml:space="preserve">: </w:t>
      </w:r>
      <w:proofErr w:type="spellStart"/>
      <w:r w:rsidRPr="00E111D7">
        <w:t>decisive</w:t>
      </w:r>
      <w:proofErr w:type="spellEnd"/>
      <w:r w:rsidRPr="00E111D7">
        <w:t xml:space="preserve"> </w:t>
      </w:r>
      <w:proofErr w:type="spellStart"/>
      <w:r w:rsidRPr="00E111D7">
        <w:t>action</w:t>
      </w:r>
      <w:proofErr w:type="spellEnd"/>
      <w:r w:rsidRPr="00E111D7">
        <w:t xml:space="preserve"> to </w:t>
      </w:r>
      <w:proofErr w:type="spellStart"/>
      <w:r w:rsidRPr="00E111D7">
        <w:t>deliver</w:t>
      </w:r>
      <w:proofErr w:type="spellEnd"/>
      <w:r w:rsidRPr="00E111D7">
        <w:t xml:space="preserve"> on the Paris Agreement” [Ramy finansowania w związku ze zmianą klimatu: zdecydowane działania na rzecz realizacji porozumienia paryskiego],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Programu Narodów Zjednoczonych ds. Ochrony Środowiska (UNEP) z 1 grudnia 2023 r. pt. „</w:t>
      </w:r>
      <w:proofErr w:type="spellStart"/>
      <w:r w:rsidRPr="00E111D7">
        <w:t>An</w:t>
      </w:r>
      <w:proofErr w:type="spellEnd"/>
      <w:r w:rsidRPr="00E111D7">
        <w:t xml:space="preserve"> </w:t>
      </w:r>
      <w:proofErr w:type="spellStart"/>
      <w:r w:rsidRPr="00E111D7">
        <w:t>Eye</w:t>
      </w:r>
      <w:proofErr w:type="spellEnd"/>
      <w:r w:rsidRPr="00E111D7">
        <w:t xml:space="preserve"> on </w:t>
      </w:r>
      <w:proofErr w:type="spellStart"/>
      <w:r w:rsidRPr="00E111D7">
        <w:t>Methane</w:t>
      </w:r>
      <w:proofErr w:type="spellEnd"/>
      <w:r w:rsidRPr="00E111D7">
        <w:t xml:space="preserve">: International </w:t>
      </w:r>
      <w:proofErr w:type="spellStart"/>
      <w:r w:rsidRPr="00E111D7">
        <w:t>Methane</w:t>
      </w:r>
      <w:proofErr w:type="spellEnd"/>
      <w:r w:rsidRPr="00E111D7">
        <w:t xml:space="preserve"> </w:t>
      </w:r>
      <w:proofErr w:type="spellStart"/>
      <w:r w:rsidRPr="00E111D7">
        <w:t>Emissions</w:t>
      </w:r>
      <w:proofErr w:type="spellEnd"/>
      <w:r w:rsidRPr="00E111D7">
        <w:t xml:space="preserve"> </w:t>
      </w:r>
      <w:proofErr w:type="spellStart"/>
      <w:r w:rsidRPr="00E111D7">
        <w:t>Observatory</w:t>
      </w:r>
      <w:proofErr w:type="spellEnd"/>
      <w:r w:rsidRPr="00E111D7">
        <w:t xml:space="preserve"> 2023 Report” [Oko na metan: sprawozdanie Międzynarodowego Obserwatorium Emisji Metanu 2023] oraz sprawozdanie UNEP z 6 maja 2021 r. pt. „Global </w:t>
      </w:r>
      <w:proofErr w:type="spellStart"/>
      <w:r w:rsidRPr="00E111D7">
        <w:t>Methane</w:t>
      </w:r>
      <w:proofErr w:type="spellEnd"/>
      <w:r w:rsidRPr="00E111D7">
        <w:t xml:space="preserve"> </w:t>
      </w:r>
      <w:proofErr w:type="spellStart"/>
      <w:r w:rsidRPr="00E111D7">
        <w:t>Assessment</w:t>
      </w:r>
      <w:proofErr w:type="spellEnd"/>
      <w:r w:rsidRPr="00E111D7">
        <w:t xml:space="preserve">: </w:t>
      </w:r>
      <w:proofErr w:type="spellStart"/>
      <w:r w:rsidRPr="00E111D7">
        <w:t>Benefits</w:t>
      </w:r>
      <w:proofErr w:type="spellEnd"/>
      <w:r w:rsidRPr="00E111D7">
        <w:t xml:space="preserve"> and </w:t>
      </w:r>
      <w:proofErr w:type="spellStart"/>
      <w:r w:rsidRPr="00E111D7">
        <w:t>Costs</w:t>
      </w:r>
      <w:proofErr w:type="spellEnd"/>
      <w:r w:rsidRPr="00E111D7">
        <w:t xml:space="preserve"> of </w:t>
      </w:r>
      <w:proofErr w:type="spellStart"/>
      <w:r w:rsidRPr="00E111D7">
        <w:t>Mitigating</w:t>
      </w:r>
      <w:proofErr w:type="spellEnd"/>
      <w:r w:rsidRPr="00E111D7">
        <w:t xml:space="preserve"> </w:t>
      </w:r>
      <w:proofErr w:type="spellStart"/>
      <w:r w:rsidRPr="00E111D7">
        <w:t>Methane</w:t>
      </w:r>
      <w:proofErr w:type="spellEnd"/>
      <w:r w:rsidRPr="00E111D7">
        <w:t xml:space="preserve"> </w:t>
      </w:r>
      <w:proofErr w:type="spellStart"/>
      <w:r w:rsidRPr="00E111D7">
        <w:t>Emissions</w:t>
      </w:r>
      <w:proofErr w:type="spellEnd"/>
      <w:r w:rsidRPr="00E111D7">
        <w:t>” [Globalna ocena metanu: korzyści i koszty ograniczania emisji metanu].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 xml:space="preserve">uwzględniając sprawozdanie Global </w:t>
      </w:r>
      <w:proofErr w:type="spellStart"/>
      <w:r w:rsidRPr="00E111D7">
        <w:t>Methane</w:t>
      </w:r>
      <w:proofErr w:type="spellEnd"/>
      <w:r w:rsidRPr="00E111D7">
        <w:t xml:space="preserve"> </w:t>
      </w:r>
      <w:proofErr w:type="spellStart"/>
      <w:r w:rsidRPr="00E111D7">
        <w:t>Tracker</w:t>
      </w:r>
      <w:proofErr w:type="spellEnd"/>
      <w:r w:rsidRPr="00E111D7">
        <w:t xml:space="preserve"> 2024 z marca 2024 r. opublikowane przez Międzynarodową Agencję Energetyczną,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komunikat Komisji z 14 października 2020 r. dotyczący strategii UE na rzecz ograniczenia emisji metanu (COM(2020)0663),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 xml:space="preserve">uwzględniając wyniki sprawozdania ze strategicznego dialogu na temat przyszłości rolnictwa UE pt. „A </w:t>
      </w:r>
      <w:proofErr w:type="spellStart"/>
      <w:r w:rsidRPr="00E111D7">
        <w:t>shared</w:t>
      </w:r>
      <w:proofErr w:type="spellEnd"/>
      <w:r w:rsidRPr="00E111D7">
        <w:t xml:space="preserve"> </w:t>
      </w:r>
      <w:proofErr w:type="spellStart"/>
      <w:r w:rsidRPr="00E111D7">
        <w:t>prospect</w:t>
      </w:r>
      <w:proofErr w:type="spellEnd"/>
      <w:r w:rsidRPr="00E111D7">
        <w:t xml:space="preserve"> for </w:t>
      </w:r>
      <w:proofErr w:type="spellStart"/>
      <w:r w:rsidRPr="00E111D7">
        <w:t>farming</w:t>
      </w:r>
      <w:proofErr w:type="spellEnd"/>
      <w:r w:rsidRPr="00E111D7">
        <w:t xml:space="preserve"> and food in Europe” [Wspólna </w:t>
      </w:r>
      <w:r w:rsidRPr="00E111D7">
        <w:lastRenderedPageBreak/>
        <w:t>perspektywa rolnictwa i żywności w Europie],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swoją rezolucję z 21 października 2021 r. w sprawie strategii UE na rzecz ograniczenia emisji metanu</w:t>
      </w:r>
      <w:r w:rsidRPr="00E111D7">
        <w:rPr>
          <w:rStyle w:val="FootnoteReference"/>
          <w:color w:val="000000"/>
        </w:rPr>
        <w:footnoteReference w:id="7"/>
      </w:r>
      <w:r w:rsidRPr="00E111D7">
        <w:t>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sprawozdanie Światowej Organizacji Meteorologicznej (WMO) z 19 marca 2024 r. w sprawie stanu klimatu na świecie w 2023 r.,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 xml:space="preserve">uwzględniając usługę programu Copernicus w zakresie zmiany klimatu oraz odnośne sprawozdanie pt. „Global </w:t>
      </w:r>
      <w:proofErr w:type="spellStart"/>
      <w:r w:rsidRPr="00E111D7">
        <w:t>Climate</w:t>
      </w:r>
      <w:proofErr w:type="spellEnd"/>
      <w:r w:rsidRPr="00E111D7">
        <w:t xml:space="preserve"> </w:t>
      </w:r>
      <w:proofErr w:type="spellStart"/>
      <w:r w:rsidRPr="00E111D7">
        <w:t>Highlights</w:t>
      </w:r>
      <w:proofErr w:type="spellEnd"/>
      <w:r w:rsidRPr="00E111D7">
        <w:t xml:space="preserve"> 2023” [Najważniejsze kwestie związane z klimatem w ujęciu globalnym 2023],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światowy rejestr emisji i rezerw paliw kopalnych,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UNEP z 18 lutego 2021 r. pt. „</w:t>
      </w:r>
      <w:proofErr w:type="spellStart"/>
      <w:r w:rsidRPr="00E111D7">
        <w:t>Making</w:t>
      </w:r>
      <w:proofErr w:type="spellEnd"/>
      <w:r w:rsidRPr="00E111D7">
        <w:t xml:space="preserve"> </w:t>
      </w:r>
      <w:proofErr w:type="spellStart"/>
      <w:r w:rsidRPr="00E111D7">
        <w:t>Peace</w:t>
      </w:r>
      <w:proofErr w:type="spellEnd"/>
      <w:r w:rsidRPr="00E111D7">
        <w:t xml:space="preserve"> with Nature: a </w:t>
      </w:r>
      <w:proofErr w:type="spellStart"/>
      <w:r w:rsidRPr="00E111D7">
        <w:t>scientific</w:t>
      </w:r>
      <w:proofErr w:type="spellEnd"/>
      <w:r w:rsidRPr="00E111D7">
        <w:t xml:space="preserve"> </w:t>
      </w:r>
      <w:proofErr w:type="spellStart"/>
      <w:r w:rsidRPr="00E111D7">
        <w:t>blueprint</w:t>
      </w:r>
      <w:proofErr w:type="spellEnd"/>
      <w:r w:rsidRPr="00E111D7">
        <w:t xml:space="preserve"> to </w:t>
      </w:r>
      <w:proofErr w:type="spellStart"/>
      <w:r w:rsidRPr="00E111D7">
        <w:t>tackle</w:t>
      </w:r>
      <w:proofErr w:type="spellEnd"/>
      <w:r w:rsidRPr="00E111D7">
        <w:t xml:space="preserve"> the </w:t>
      </w:r>
      <w:proofErr w:type="spellStart"/>
      <w:r w:rsidRPr="00E111D7">
        <w:t>climate</w:t>
      </w:r>
      <w:proofErr w:type="spellEnd"/>
      <w:r w:rsidRPr="00E111D7">
        <w:t xml:space="preserve">, </w:t>
      </w:r>
      <w:proofErr w:type="spellStart"/>
      <w:r w:rsidRPr="00E111D7">
        <w:t>biodiversity</w:t>
      </w:r>
      <w:proofErr w:type="spellEnd"/>
      <w:r w:rsidRPr="00E111D7">
        <w:t xml:space="preserve"> and </w:t>
      </w:r>
      <w:proofErr w:type="spellStart"/>
      <w:r w:rsidRPr="00E111D7">
        <w:t>pollution</w:t>
      </w:r>
      <w:proofErr w:type="spellEnd"/>
      <w:r w:rsidRPr="00E111D7">
        <w:t xml:space="preserve"> </w:t>
      </w:r>
      <w:proofErr w:type="spellStart"/>
      <w:r w:rsidRPr="00E111D7">
        <w:t>emergencies</w:t>
      </w:r>
      <w:proofErr w:type="spellEnd"/>
      <w:r w:rsidRPr="00E111D7">
        <w:t>” [W zgodzie z naturą – naukowy plan działania w sytuacjach kryzysowych związanych z klimatem, różnorodnością biologiczną i zanieczyszczeniem],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sprawozdanie Międzyrządowej Platformy Naukowo-Politycznej w sprawie Różnorodności Biologicznej i Funkcjonowania Ekosystemów z 25 listopada 2019 r. na temat globalnej oceny różnorodności biologicznej i usług ekosystemowych,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 xml:space="preserve">uwzględniając globalne ramy różnorodności biologicznej z Kunmingu/Montrealu uzgodnione podczas 15. </w:t>
      </w:r>
      <w:proofErr w:type="gramStart"/>
      <w:r w:rsidRPr="00E111D7">
        <w:t>posiedzenia</w:t>
      </w:r>
      <w:proofErr w:type="gramEnd"/>
      <w:r w:rsidRPr="00E111D7">
        <w:t xml:space="preserve"> Konferencji Stron Konwencji ONZ o różnorodności biologicznej (COP15),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komunikat Komisji z 20 maja 2020 r. pt. „Unijna strategia na rzecz bioróżnorodności 2030: przywracanie przyrody do naszego życia” (COM(2020)0380),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swoją rezolucję z 9 czerwca 2021 r. w sprawie unijnej strategii na rzecz bioróżnorodności 2030: przywracanie przyrody do naszego życia</w:t>
      </w:r>
      <w:r w:rsidRPr="00E111D7">
        <w:rPr>
          <w:rStyle w:val="FootnoteReference"/>
          <w:color w:val="000000"/>
        </w:rPr>
        <w:footnoteReference w:id="8"/>
      </w:r>
      <w:r w:rsidRPr="00E111D7">
        <w:t>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ze wspólnych warsztatów IPBES-IPCC z 10 czerwca 2021 r. poświęconych różnorodności biologicznej i zmianie klimatu,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swoją rezolucję z 6 października 2022 r. w sprawie impulsu do działań na rzecz oceanów: w celu poprawy zarządzania oceanami i różnorodności biologicznej</w:t>
      </w:r>
      <w:r w:rsidRPr="00E111D7">
        <w:rPr>
          <w:rStyle w:val="FootnoteReference"/>
          <w:color w:val="000000"/>
        </w:rPr>
        <w:footnoteReference w:id="9"/>
      </w:r>
      <w:r w:rsidRPr="00E111D7">
        <w:t>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Porozumienie w ramach Konwencji Narodów Zjednoczonych o prawie morza, dotyczące ochrony i zrównoważonego wykorzystywania morskiej różnorodności biologicznej na obszarach znajdujących się poza jurysdykcją krajową (porozumienie dotyczące różnorodności biologicznej na obszarach znajdujących się poza jurysdykcją krajową) przyjęte 19 czerwca 2023 r.,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swoją rezolucję z 28 kwietnia 2021 r. w sprawie ochrony gleb</w:t>
      </w:r>
      <w:r w:rsidRPr="00E111D7">
        <w:rPr>
          <w:rStyle w:val="FootnoteReference"/>
          <w:color w:val="000000"/>
        </w:rPr>
        <w:footnoteReference w:id="10"/>
      </w:r>
      <w:r w:rsidRPr="00E111D7">
        <w:t>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lastRenderedPageBreak/>
        <w:t>–</w:t>
      </w:r>
      <w:r w:rsidRPr="00E111D7">
        <w:tab/>
        <w:t xml:space="preserve">uwzględniając raport Europejskiej Agencji Środowiska (EEA) z 4 grudnia 2019 r. pt. „The </w:t>
      </w:r>
      <w:proofErr w:type="spellStart"/>
      <w:r w:rsidRPr="00E111D7">
        <w:t>European</w:t>
      </w:r>
      <w:proofErr w:type="spellEnd"/>
      <w:r w:rsidRPr="00E111D7">
        <w:t xml:space="preserve"> Environment – </w:t>
      </w:r>
      <w:proofErr w:type="spellStart"/>
      <w:r w:rsidRPr="00E111D7">
        <w:t>State</w:t>
      </w:r>
      <w:proofErr w:type="spellEnd"/>
      <w:r w:rsidRPr="00E111D7">
        <w:t xml:space="preserve"> and Outlook 2020” [Europejskie środowisko – stan i prognozy na 2020 r.], ocenę EEA z 8 września 2022 r. dotyczącą potencjału europejskich gleb w zakresie bardziej zdecydowanych działań w dziedzinie klimatu oraz pierwszą przeprowadzoną przez EEA europejską ocenę ryzyka klimatycznego z 11 marca 2024 r.,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swoją rezolucję z 16 września 2020 r. w sprawie roli UE w ochronie i odtwarzaniu światowych lasów</w:t>
      </w:r>
      <w:r w:rsidRPr="00E111D7">
        <w:rPr>
          <w:rStyle w:val="FootnoteReference"/>
          <w:color w:val="000000"/>
        </w:rPr>
        <w:footnoteReference w:id="11"/>
      </w:r>
      <w:r w:rsidRPr="00E111D7">
        <w:t>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swoją rezolucję z 15 września 2022 r. w sprawie konsekwencji suszy, pożarów i innych ekstremalnych zjawisk pogodowych: zwiększenie starań UE w walce ze zmianą klimatu</w:t>
      </w:r>
      <w:r w:rsidRPr="00E111D7">
        <w:rPr>
          <w:rStyle w:val="FootnoteReference"/>
          <w:color w:val="000000"/>
        </w:rPr>
        <w:footnoteReference w:id="12"/>
      </w:r>
      <w:r w:rsidRPr="00E111D7">
        <w:t>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światowe sprawozdanie ONZ z 9 maja 2023 r. w sprawie rozwoju wód dotyczące partnerstwa i współpracy na rzecz wody oraz Konferencję Wodną ONZ, która odbyła się w dniach 22–24 marca 2023 r. i była pierwszą od 1977 r. dużą konferencją ONZ poświęconą wodzie,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rezolucję Zgromadzenia ONZ ds. Ochrony Środowiska z 1 marca 2024 r. w sprawie skutecznego i sprzyjającego włączeniu społecznemu rozwiązania na rzecz wzmocnienia polityki wodnej w celu osiągnięcia zrównoważonego rozwoju w kontekście zmiany klimatu, utraty różnorodności biologicznej i zanieczyszczeń,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swoją rezolucję z 5 października 2022 r. w sprawie dostępu do wody jako prawa człowieka – wymiar zewnętrzny</w:t>
      </w:r>
      <w:r w:rsidRPr="00E111D7">
        <w:rPr>
          <w:rStyle w:val="FootnoteReference"/>
        </w:rPr>
        <w:footnoteReference w:id="13"/>
      </w:r>
      <w:r w:rsidRPr="00E111D7">
        <w:t>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sprawozdanie ONZ z 2019 r. na temat rozwoju zasobów wodnych na świecie pt. „</w:t>
      </w:r>
      <w:proofErr w:type="spellStart"/>
      <w:r w:rsidRPr="00E111D7">
        <w:t>Leaving</w:t>
      </w:r>
      <w:proofErr w:type="spellEnd"/>
      <w:r w:rsidRPr="00E111D7">
        <w:t xml:space="preserve"> No One </w:t>
      </w:r>
      <w:proofErr w:type="spellStart"/>
      <w:r w:rsidRPr="00E111D7">
        <w:t>Behind</w:t>
      </w:r>
      <w:proofErr w:type="spellEnd"/>
      <w:r w:rsidRPr="00E111D7">
        <w:t>” [Nie pozostawić nikogo w tyle],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sprawozdanie ONZ z 2024 r. na temat rozwoju zasobów wodnych na świecie pt. „</w:t>
      </w:r>
      <w:proofErr w:type="spellStart"/>
      <w:r w:rsidRPr="00E111D7">
        <w:t>Water</w:t>
      </w:r>
      <w:proofErr w:type="spellEnd"/>
      <w:r w:rsidRPr="00E111D7">
        <w:t xml:space="preserve"> for prosperity and </w:t>
      </w:r>
      <w:proofErr w:type="spellStart"/>
      <w:r w:rsidRPr="00E111D7">
        <w:t>Peace</w:t>
      </w:r>
      <w:proofErr w:type="spellEnd"/>
      <w:r w:rsidRPr="00E111D7">
        <w:t>” [Woda dla dobrobytu i pokoju],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komunikat Komisji z 11 marca 2020 r. pt. „Nowy plan działania UE dotyczący gospodarki o obiegu zamkniętym na rzecz czystszej i bardziej konkurencyjnej Europy” (COM(2020)0098),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swoją rezolucję z 10 lutego 2021 r. w sprawie nowego planu działania dotyczącego gospodarki o obiegu zamkniętym</w:t>
      </w:r>
      <w:r w:rsidRPr="00E111D7">
        <w:rPr>
          <w:rStyle w:val="FootnoteReference"/>
          <w:color w:val="000000"/>
        </w:rPr>
        <w:footnoteReference w:id="14"/>
      </w:r>
      <w:r w:rsidRPr="00E111D7">
        <w:t>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przyjęte przez UNEP globalne ramy dotyczące chemikaliów – na rzecz planety wolnej od szkodliwych chemikaliów i odpadów, opublikowane w marcu 2024 r.,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sprawozdanie Komisji z 23 listopada 2020 r. pt. „Zaktualizowana analiza wpływu na klimat emisji lotniczych innych niż CO</w:t>
      </w:r>
      <w:r w:rsidRPr="00E111D7">
        <w:rPr>
          <w:vertAlign w:val="subscript"/>
        </w:rPr>
        <w:t>2</w:t>
      </w:r>
      <w:r w:rsidRPr="00E111D7">
        <w:t xml:space="preserve"> oraz potencjalnych środków z zakresu polityki zgodnie z art. 30 ust. 4 dyrektywy w sprawie unijnego systemu handlu </w:t>
      </w:r>
      <w:r w:rsidRPr="00E111D7">
        <w:lastRenderedPageBreak/>
        <w:t>uprawnieniami do emisji” COM(2020)0747,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 xml:space="preserve">uwzględniając sprawozdanie Międzynarodowej Agencji Energii Odnawialnej z czerwca 2023 r. pt. „World Energy </w:t>
      </w:r>
      <w:proofErr w:type="spellStart"/>
      <w:r w:rsidRPr="00E111D7">
        <w:t>Transitions</w:t>
      </w:r>
      <w:proofErr w:type="spellEnd"/>
      <w:r w:rsidRPr="00E111D7">
        <w:t xml:space="preserve"> Outlook 2023: 1.5 °C </w:t>
      </w:r>
      <w:proofErr w:type="spellStart"/>
      <w:r w:rsidRPr="00E111D7">
        <w:t>Pathway</w:t>
      </w:r>
      <w:proofErr w:type="spellEnd"/>
      <w:r w:rsidRPr="00E111D7">
        <w:t>” [Perspektywa światowych przemian energetycznych na 2022 r. – cel 1,5 °C],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 xml:space="preserve">uwzględniając sprawozdanie Międzynarodowej Agencji Energetycznej (MAE) z maja 2021 r. pt. „Net Zero by 2050 – A </w:t>
      </w:r>
      <w:proofErr w:type="spellStart"/>
      <w:r w:rsidRPr="00E111D7">
        <w:t>Roadmap</w:t>
      </w:r>
      <w:proofErr w:type="spellEnd"/>
      <w:r w:rsidRPr="00E111D7">
        <w:t xml:space="preserve"> for the Global Energy </w:t>
      </w:r>
      <w:proofErr w:type="spellStart"/>
      <w:r w:rsidRPr="00E111D7">
        <w:t>Sector</w:t>
      </w:r>
      <w:proofErr w:type="spellEnd"/>
      <w:r w:rsidRPr="00E111D7">
        <w:t>” [</w:t>
      </w:r>
      <w:proofErr w:type="spellStart"/>
      <w:r w:rsidRPr="00E111D7">
        <w:t>Zeroemisyjność</w:t>
      </w:r>
      <w:proofErr w:type="spellEnd"/>
      <w:r w:rsidRPr="00E111D7">
        <w:t xml:space="preserve"> netto do 2050 r. – plan działania dla globalnego sektora energetycznego] oraz jego aktualizację z września 2023 r. pt. „Net Zero </w:t>
      </w:r>
      <w:proofErr w:type="spellStart"/>
      <w:r w:rsidRPr="00E111D7">
        <w:t>Roadmap</w:t>
      </w:r>
      <w:proofErr w:type="spellEnd"/>
      <w:r w:rsidRPr="00E111D7">
        <w:t xml:space="preserve">: A Global </w:t>
      </w:r>
      <w:proofErr w:type="spellStart"/>
      <w:r w:rsidRPr="00E111D7">
        <w:t>Pathway</w:t>
      </w:r>
      <w:proofErr w:type="spellEnd"/>
      <w:r w:rsidRPr="00E111D7">
        <w:t xml:space="preserve"> to </w:t>
      </w:r>
      <w:proofErr w:type="spellStart"/>
      <w:r w:rsidRPr="00E111D7">
        <w:t>Keep</w:t>
      </w:r>
      <w:proofErr w:type="spellEnd"/>
      <w:r w:rsidRPr="00E111D7">
        <w:t xml:space="preserve"> the 1.5 °C </w:t>
      </w:r>
      <w:proofErr w:type="spellStart"/>
      <w:r w:rsidRPr="00E111D7">
        <w:t>Goal</w:t>
      </w:r>
      <w:proofErr w:type="spellEnd"/>
      <w:r w:rsidRPr="00E111D7">
        <w:t xml:space="preserve"> in Reach” [Harmonogram na rzecz </w:t>
      </w:r>
      <w:proofErr w:type="spellStart"/>
      <w:r w:rsidRPr="00E111D7">
        <w:t>zeroemisyjności</w:t>
      </w:r>
      <w:proofErr w:type="spellEnd"/>
      <w:r w:rsidRPr="00E111D7">
        <w:t>: globalny scenariusz, który pozwoli utrzymać cel 1,5 °C w zasięgu],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specjalne MAE z maja 2024 r. pt. „</w:t>
      </w:r>
      <w:proofErr w:type="spellStart"/>
      <w:r w:rsidRPr="00E111D7">
        <w:t>Strategies</w:t>
      </w:r>
      <w:proofErr w:type="spellEnd"/>
      <w:r w:rsidRPr="00E111D7">
        <w:t xml:space="preserve"> for </w:t>
      </w:r>
      <w:proofErr w:type="spellStart"/>
      <w:r w:rsidRPr="00E111D7">
        <w:t>Affordable</w:t>
      </w:r>
      <w:proofErr w:type="spellEnd"/>
      <w:r w:rsidRPr="00E111D7">
        <w:t xml:space="preserve"> and Fair </w:t>
      </w:r>
      <w:proofErr w:type="spellStart"/>
      <w:r w:rsidRPr="00E111D7">
        <w:t>Clean</w:t>
      </w:r>
      <w:proofErr w:type="spellEnd"/>
      <w:r w:rsidRPr="00E111D7">
        <w:t xml:space="preserve"> Energy </w:t>
      </w:r>
      <w:proofErr w:type="spellStart"/>
      <w:r w:rsidRPr="00E111D7">
        <w:t>Transitions</w:t>
      </w:r>
      <w:proofErr w:type="spellEnd"/>
      <w:r w:rsidRPr="00E111D7">
        <w:t xml:space="preserve">” [Strategie na rzecz przystępnej cenowo i sprawiedliwej transformacji w kierunku czystej energii] oraz jej sprawozdanie z czerwca 2024 r. pt. </w:t>
      </w:r>
      <w:r w:rsidRPr="00B81D85">
        <w:rPr>
          <w:lang w:val="en-GB"/>
        </w:rPr>
        <w:t>„COP28 Tripling Renewable Capacity Pledge. Tracking countries’ ambitions and identifying policies to bridge the gap” [</w:t>
      </w:r>
      <w:proofErr w:type="spellStart"/>
      <w:r w:rsidRPr="00B81D85">
        <w:rPr>
          <w:lang w:val="en-GB"/>
        </w:rPr>
        <w:t>Potrojenie</w:t>
      </w:r>
      <w:proofErr w:type="spellEnd"/>
      <w:r w:rsidRPr="00B81D85">
        <w:rPr>
          <w:lang w:val="en-GB"/>
        </w:rPr>
        <w:t xml:space="preserve"> </w:t>
      </w:r>
      <w:proofErr w:type="spellStart"/>
      <w:r w:rsidRPr="00B81D85">
        <w:rPr>
          <w:lang w:val="en-GB"/>
        </w:rPr>
        <w:t>zobowiązań</w:t>
      </w:r>
      <w:proofErr w:type="spellEnd"/>
      <w:r w:rsidRPr="00B81D85">
        <w:rPr>
          <w:lang w:val="en-GB"/>
        </w:rPr>
        <w:t xml:space="preserve"> </w:t>
      </w:r>
      <w:proofErr w:type="spellStart"/>
      <w:r w:rsidRPr="00B81D85">
        <w:rPr>
          <w:lang w:val="en-GB"/>
        </w:rPr>
        <w:t>dotyczących</w:t>
      </w:r>
      <w:proofErr w:type="spellEnd"/>
      <w:r w:rsidRPr="00B81D85">
        <w:rPr>
          <w:lang w:val="en-GB"/>
        </w:rPr>
        <w:t xml:space="preserve"> </w:t>
      </w:r>
      <w:proofErr w:type="spellStart"/>
      <w:r w:rsidRPr="00B81D85">
        <w:rPr>
          <w:lang w:val="en-GB"/>
        </w:rPr>
        <w:t>mocy</w:t>
      </w:r>
      <w:proofErr w:type="spellEnd"/>
      <w:r w:rsidRPr="00B81D85">
        <w:rPr>
          <w:lang w:val="en-GB"/>
        </w:rPr>
        <w:t xml:space="preserve"> </w:t>
      </w:r>
      <w:proofErr w:type="spellStart"/>
      <w:r w:rsidRPr="00B81D85">
        <w:rPr>
          <w:lang w:val="en-GB"/>
        </w:rPr>
        <w:t>wytwórczej</w:t>
      </w:r>
      <w:proofErr w:type="spellEnd"/>
      <w:r w:rsidRPr="00B81D85">
        <w:rPr>
          <w:lang w:val="en-GB"/>
        </w:rPr>
        <w:t xml:space="preserve"> </w:t>
      </w:r>
      <w:proofErr w:type="spellStart"/>
      <w:r w:rsidRPr="00B81D85">
        <w:rPr>
          <w:lang w:val="en-GB"/>
        </w:rPr>
        <w:t>energii</w:t>
      </w:r>
      <w:proofErr w:type="spellEnd"/>
      <w:r w:rsidRPr="00B81D85">
        <w:rPr>
          <w:lang w:val="en-GB"/>
        </w:rPr>
        <w:t xml:space="preserve"> </w:t>
      </w:r>
      <w:proofErr w:type="spellStart"/>
      <w:r w:rsidRPr="00B81D85">
        <w:rPr>
          <w:lang w:val="en-GB"/>
        </w:rPr>
        <w:t>odnawialnej</w:t>
      </w:r>
      <w:proofErr w:type="spellEnd"/>
      <w:r w:rsidRPr="00B81D85">
        <w:rPr>
          <w:lang w:val="en-GB"/>
        </w:rPr>
        <w:t xml:space="preserve">. </w:t>
      </w:r>
      <w:r w:rsidRPr="00E111D7">
        <w:t>Śledzenie ambicji krajów i identyfikacja polityk z myślą o wypełnieniu luki],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przyjęte przez ONZ ramy z Sendai dotyczące ograniczania ryzyka klęsk żywiołowych w latach 2015–2030,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Biura ONZ ds. Zmniejszania Ryzyka Związanego z Klęskami Żywiołowymi (UNDRR) za 2023 r. z przeglądu śródokresowego wdrażania ram z Sendai dotyczących ograniczania ryzyka klęsk żywiołowych w latach 2015–2030,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UNDRR z 2023 r. z globalnej oceny zmniejszania ryzyka związanego z klęskami żywiołowymi,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sprawozdanie Światowej Organizacji Zdrowia (WHO) z 20 grudnia 2023 r. w sprawie zmian klimatu i zdrowia,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swoją rezolucję z 15 czerwca 2023 r. w sprawie Europejskiego Dnia Ofiar Światowego Kryzysu Klimatycznego</w:t>
      </w:r>
      <w:r w:rsidRPr="00E111D7">
        <w:rPr>
          <w:rStyle w:val="FootnoteReference"/>
          <w:color w:val="000000"/>
        </w:rPr>
        <w:footnoteReference w:id="15"/>
      </w:r>
      <w:r w:rsidRPr="00E111D7">
        <w:t>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Wspólnego Centrum Badawczego z 7 czerwca 2023 r. w sprawie wpływu zmiany klimatu na krytyczną infrastrukturę energetyczną związaną z obronnością,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Strategiczny kompas na rzecz bezpieczeństwa i obrony zatwierdzony przez Radę 21 marca 2022 r.,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plan działania Europejskiej Służby Działań Zewnętrznych (ESDZ) z listopada 2020 r. dotyczący zmiany klimatu i obronności,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 xml:space="preserve">uwzględniając swoją rezolucję z 7 czerwca 2022 r. w sprawie planu działania ESDZ </w:t>
      </w:r>
      <w:r w:rsidRPr="00E111D7">
        <w:lastRenderedPageBreak/>
        <w:t>w zakresie zmiany klimatu i obronności</w:t>
      </w:r>
      <w:r w:rsidRPr="00E111D7">
        <w:rPr>
          <w:rStyle w:val="FootnoteReference"/>
          <w:color w:val="000000"/>
        </w:rPr>
        <w:footnoteReference w:id="16"/>
      </w:r>
      <w:r w:rsidRPr="00E111D7">
        <w:t>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 xml:space="preserve">uwzględniając wnioski przyjęte na 66. </w:t>
      </w:r>
      <w:proofErr w:type="gramStart"/>
      <w:r w:rsidRPr="00E111D7">
        <w:t>sesji</w:t>
      </w:r>
      <w:proofErr w:type="gramEnd"/>
      <w:r w:rsidRPr="00E111D7">
        <w:t xml:space="preserve"> Komisji ONZ ds. Statusu Kobiet 25 marca 2022 r. pt. „</w:t>
      </w:r>
      <w:proofErr w:type="spellStart"/>
      <w:r w:rsidRPr="00E111D7">
        <w:t>Achieving</w:t>
      </w:r>
      <w:proofErr w:type="spellEnd"/>
      <w:r w:rsidRPr="00E111D7">
        <w:t xml:space="preserve"> </w:t>
      </w:r>
      <w:proofErr w:type="spellStart"/>
      <w:r w:rsidRPr="00E111D7">
        <w:t>gender</w:t>
      </w:r>
      <w:proofErr w:type="spellEnd"/>
      <w:r w:rsidRPr="00E111D7">
        <w:t xml:space="preserve"> </w:t>
      </w:r>
      <w:proofErr w:type="spellStart"/>
      <w:r w:rsidRPr="00E111D7">
        <w:t>equality</w:t>
      </w:r>
      <w:proofErr w:type="spellEnd"/>
      <w:r w:rsidRPr="00E111D7">
        <w:t xml:space="preserve"> and the </w:t>
      </w:r>
      <w:proofErr w:type="spellStart"/>
      <w:r w:rsidRPr="00E111D7">
        <w:t>empowerment</w:t>
      </w:r>
      <w:proofErr w:type="spellEnd"/>
      <w:r w:rsidRPr="00E111D7">
        <w:t xml:space="preserve"> of </w:t>
      </w:r>
      <w:proofErr w:type="spellStart"/>
      <w:r w:rsidRPr="00E111D7">
        <w:t>all</w:t>
      </w:r>
      <w:proofErr w:type="spellEnd"/>
      <w:r w:rsidRPr="00E111D7">
        <w:t xml:space="preserve"> </w:t>
      </w:r>
      <w:proofErr w:type="spellStart"/>
      <w:r w:rsidRPr="00E111D7">
        <w:t>women</w:t>
      </w:r>
      <w:proofErr w:type="spellEnd"/>
      <w:r w:rsidRPr="00E111D7">
        <w:t xml:space="preserve"> and girls in the </w:t>
      </w:r>
      <w:proofErr w:type="spellStart"/>
      <w:r w:rsidRPr="00E111D7">
        <w:t>context</w:t>
      </w:r>
      <w:proofErr w:type="spellEnd"/>
      <w:r w:rsidRPr="00E111D7">
        <w:t xml:space="preserve"> of </w:t>
      </w:r>
      <w:proofErr w:type="spellStart"/>
      <w:r w:rsidRPr="00E111D7">
        <w:t>climate</w:t>
      </w:r>
      <w:proofErr w:type="spellEnd"/>
      <w:r w:rsidRPr="00E111D7">
        <w:t xml:space="preserve"> </w:t>
      </w:r>
      <w:proofErr w:type="spellStart"/>
      <w:r w:rsidRPr="00E111D7">
        <w:t>change</w:t>
      </w:r>
      <w:proofErr w:type="spellEnd"/>
      <w:r w:rsidRPr="00E111D7">
        <w:t xml:space="preserve">, </w:t>
      </w:r>
      <w:proofErr w:type="spellStart"/>
      <w:r w:rsidRPr="00E111D7">
        <w:t>environmental</w:t>
      </w:r>
      <w:proofErr w:type="spellEnd"/>
      <w:r w:rsidRPr="00E111D7">
        <w:t xml:space="preserve"> and </w:t>
      </w:r>
      <w:proofErr w:type="spellStart"/>
      <w:r w:rsidRPr="00E111D7">
        <w:t>disaster</w:t>
      </w:r>
      <w:proofErr w:type="spellEnd"/>
      <w:r w:rsidRPr="00E111D7">
        <w:t xml:space="preserve"> </w:t>
      </w:r>
      <w:proofErr w:type="spellStart"/>
      <w:r w:rsidRPr="00E111D7">
        <w:t>risk</w:t>
      </w:r>
      <w:proofErr w:type="spellEnd"/>
      <w:r w:rsidRPr="00E111D7">
        <w:t xml:space="preserve"> </w:t>
      </w:r>
      <w:proofErr w:type="spellStart"/>
      <w:r w:rsidRPr="00E111D7">
        <w:t>reduction</w:t>
      </w:r>
      <w:proofErr w:type="spellEnd"/>
      <w:r w:rsidRPr="00E111D7">
        <w:t xml:space="preserve"> </w:t>
      </w:r>
      <w:proofErr w:type="spellStart"/>
      <w:r w:rsidRPr="00E111D7">
        <w:t>policies</w:t>
      </w:r>
      <w:proofErr w:type="spellEnd"/>
      <w:r w:rsidRPr="00E111D7">
        <w:t xml:space="preserve"> and </w:t>
      </w:r>
      <w:proofErr w:type="spellStart"/>
      <w:r w:rsidRPr="00E111D7">
        <w:t>programmes</w:t>
      </w:r>
      <w:proofErr w:type="spellEnd"/>
      <w:r w:rsidRPr="00E111D7">
        <w:t>” [Osiągnięcie równości płci i wzmocnienia pozycji wszystkich kobiet i dziewcząt w kontekście strategii politycznych i programów na rzecz zmniejszania ryzyka związanego ze zmianą klimatu, środowiskiem i klęskami żywiołowymi],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specjalnego sprawozdawcy ds. promocji oraz ochrony praw człowieka w kontekście zmiany klimatu z 26 lipca 2022 r.,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rezolucję Rady Praw Człowieka ONZ nr 41/21 z 12 lipca 2019 r. w sprawie praw człowieka i zmiany klimatu,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Konwencję ONZ o prawach dziecka z 1989 r. i komentarz ogólny Komitetu Praw Dziecka ONZ nr 26 z 22 sierpnia 2023 r. w sprawie praw dziecka i środowiska, ze szczególnym naciskiem na zmianę klimatu,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strategię UE na rzecz praw dziecka z 2021 r.,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sprawozdanie specjalnego sprawozdawcy ONZ ds. praw ludności rdzennej z 1 listopada 2017 r. na temat wpływu zmiany klimatu i finansowania działań w związku ze zmianą klimatu na prawa ludności rdzennej oraz deklarację ludności rdzennej przyjętą na konferencji „Sztokholm+50”,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drugie sprawozdanie UNFCCC z 29 stycznia 2024 r. w sprawie określenia potrzeb krajów rozwijających się będących stronami w odniesieniu do wdrażania konwencji i porozumienia paryskiego,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wyniki szczytu w sprawie nowego globalnego paktu finansowego z czerwca 2023 r.,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wspólne ramy G20 dotyczące traktowania długu wykraczające poza inicjatywę na rzecz zawieszenia obsługi długu,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sprawozdania specjalne Europejskiego Trybunału Obrachunkowego nr 04/2023 z 15 lutego 2023 r. pt. „Światowy sojusz na rzecz przeciwdziałania zmianie klimatu + – Osiągnięcia nie dorównały ambicjom” i nr 18/2023 z 26 czerwca 2023 r. pt. „Cele UE w dziedzinie klimatu i energii – osiągnięto cele na 2020 r., lecz niewiele wskazuje na to, że działania na rzecz realizacji celów na 2030 r. będą wystarczające”,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konkluzje Rady z 17 października 2023 r. w sprawie przygotowań do 28. Konferencji Stron UNFCCC (COP28) w Dubaju w dniach 30 listopada – 12 grudnia 2023 r.,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–</w:t>
      </w:r>
      <w:r w:rsidRPr="00E111D7">
        <w:tab/>
        <w:t>uwzględniając konkluzje Rady z 14 października 2024 r. w sprawie przygotowań do 29. Konferencji Stron UNFCCC (COP29) w Baku w dniach 11–22 listopada 2024 r.,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 xml:space="preserve">uwzględniając konkluzje Rady z 8 października 2024 r. w sprawie finansowania działań </w:t>
      </w:r>
      <w:proofErr w:type="spellStart"/>
      <w:r w:rsidRPr="00E111D7">
        <w:lastRenderedPageBreak/>
        <w:t>proklimatycznych</w:t>
      </w:r>
      <w:proofErr w:type="spellEnd"/>
      <w:r w:rsidRPr="00E111D7">
        <w:t xml:space="preserve"> w związku z Konferencją ONZ w sprawie zmiany klimatu (COP29), która odbędzie się w Baku w dniach 11–22 listopada 2024 r.,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pytania do Komisji i Rady dotyczące konferencji klimatycznej Narodów Zjednoczonych w 2024 r. w Baku (Azerbejdżan) (COP29) (O-0010/2024 – B10-0104/2024 i O-0009/2024 – B10-0105/2024),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art. 142 ust. 5 i art. 136 ust. 2 Regulaminu,</w:t>
      </w:r>
    </w:p>
    <w:p w:rsidR="00D16727" w:rsidRPr="00E111D7" w:rsidRDefault="00D16727" w:rsidP="00D16727">
      <w:pPr>
        <w:pStyle w:val="NormalHanging12a"/>
      </w:pPr>
      <w:r w:rsidRPr="00E111D7">
        <w:t>–</w:t>
      </w:r>
      <w:r w:rsidRPr="00E111D7">
        <w:tab/>
        <w:t>uwzględniając projekt rezolucji Komisji Ochrony Środowiska Naturalnego, Zdrowia Publicznego i Bezpieczeństwa Żywności,</w:t>
      </w:r>
    </w:p>
    <w:p w:rsidR="00D16727" w:rsidRPr="00E111D7" w:rsidRDefault="00D16727" w:rsidP="00D16727">
      <w:pPr>
        <w:pStyle w:val="NormalHanging12a"/>
      </w:pPr>
      <w:r w:rsidRPr="00E111D7">
        <w:t>A.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Parlament Europejski uznał sytuację klimatyczną i środowiskową za alarmującą oraz zobowiązał się do pilnego zwalczania i ograniczania tego zagrożenia;</w:t>
      </w:r>
    </w:p>
    <w:p w:rsidR="00D16727" w:rsidRPr="00E111D7" w:rsidRDefault="00D16727" w:rsidP="00D16727">
      <w:pPr>
        <w:pStyle w:val="NormalHanging12a"/>
      </w:pPr>
      <w:r w:rsidRPr="00E111D7">
        <w:t>B.</w:t>
      </w:r>
      <w:r w:rsidRPr="00E111D7">
        <w:tab/>
        <w:t>mając na uwadze, że porozumienie paryskie weszło w życie 4 listopada 2016 r.; mając na uwadze, że do tej pory do porozumienia przystąpiły 193 państwa i UE, które razem odpowiadają za ponad 98 % światowych emisji;</w:t>
      </w:r>
    </w:p>
    <w:p w:rsidR="00D16727" w:rsidRPr="00E111D7" w:rsidRDefault="00D16727" w:rsidP="00D16727">
      <w:pPr>
        <w:pStyle w:val="NormalHanging12a"/>
      </w:pPr>
      <w:r w:rsidRPr="00E111D7">
        <w:t>C.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zgodnie ze sprawozdaniem UNEP w sprawie rozbieżności między potrzebami a perspektywami w zakresie redukcji emisji z 2023 r. pełne wdrożenie bezwarunkowych wkładów ustalonych na poziomie krajowym w ramach porozumienia paryskiego na 2030 r. umożliwiłoby wejście świata na drogę do ograniczenia wzrostu temperatury do 2,9 °C w tym stuleciu; mając na uwadze, że pełne wdrożenie warunkowych wkładów ustalonych na poziomie krajowym obniżyłoby wzrost temperatury do 2,5 °C;</w:t>
      </w:r>
    </w:p>
    <w:p w:rsidR="00D16727" w:rsidRPr="00E111D7" w:rsidRDefault="00D16727" w:rsidP="00D16727">
      <w:pPr>
        <w:pStyle w:val="NormalHanging12a"/>
      </w:pPr>
      <w:r w:rsidRPr="00E111D7">
        <w:t>D.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w sprawozdaniu podsumowującym UNFCCC z 2023 r. dotyczącym wkładów ustalonych na poziomie krajowym stwierdzono, że według prognoz całkowity poziom globalnych emisji gazów cieplarnianych w 2030 r. ma być o 2 % niższy od poziomu z 2019 r.; mając na uwadze, że w pierwszym globalnym przeglądzie zakończonym w 2023 r. na COP28 podkreślono niezwykle istotną potrzebę ograniczenia globalnego ocieplenia do 1,5 °C, aby w znacznym stopniu zmniejszyć zagrożenia związane ze zmianą klimatu i jej skutki; mając na uwadze, że okno na utrzymanie wzrostu temperatury poniżej 1,5 °C zamyka się w alarmującym tempie; mając na uwadze, że emisje nadal rosną, a luka w redukcji emisji rośnie; </w:t>
      </w:r>
      <w:proofErr w:type="gramStart"/>
      <w:r w:rsidRPr="00E111D7">
        <w:t>mając</w:t>
      </w:r>
      <w:proofErr w:type="gramEnd"/>
      <w:r w:rsidRPr="00E111D7">
        <w:t xml:space="preserve"> na uwadze, że według wniosków IPCC w scenariuszach ograniczających ocieplenie do 1,5 °C do 2030 r. emisje gazów cieplarnianych muszą być o 43 % niższe od poziomu z 2019 r.;</w:t>
      </w:r>
    </w:p>
    <w:p w:rsidR="00D16727" w:rsidRPr="00E111D7" w:rsidRDefault="00D16727" w:rsidP="00D16727">
      <w:pPr>
        <w:pStyle w:val="NormalHanging12a"/>
      </w:pPr>
      <w:r w:rsidRPr="00E111D7">
        <w:t>E.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przekroczono sześć z dziewięciu poziomów krytycznych dla planety analizowanych przez </w:t>
      </w:r>
      <w:proofErr w:type="spellStart"/>
      <w:r w:rsidRPr="00E111D7">
        <w:t>Stockholm</w:t>
      </w:r>
      <w:proofErr w:type="spellEnd"/>
      <w:r w:rsidRPr="00E111D7">
        <w:t xml:space="preserve"> </w:t>
      </w:r>
      <w:proofErr w:type="spellStart"/>
      <w:r w:rsidRPr="00E111D7">
        <w:t>Resilience</w:t>
      </w:r>
      <w:proofErr w:type="spellEnd"/>
      <w:r w:rsidRPr="00E111D7">
        <w:t xml:space="preserve"> Centre;</w:t>
      </w:r>
    </w:p>
    <w:p w:rsidR="00D16727" w:rsidRPr="00E111D7" w:rsidRDefault="00D16727" w:rsidP="00D16727">
      <w:pPr>
        <w:pStyle w:val="NormalHanging12a"/>
      </w:pPr>
      <w:r w:rsidRPr="00E111D7">
        <w:t>F.</w:t>
      </w:r>
      <w:r w:rsidRPr="00E111D7">
        <w:tab/>
        <w:t>mając na uwadze, że w komunikacie Komisji COM</w:t>
      </w:r>
      <w:proofErr w:type="gramStart"/>
      <w:r w:rsidRPr="00E111D7">
        <w:t>(2024)0063 określono</w:t>
      </w:r>
      <w:proofErr w:type="gramEnd"/>
      <w:r w:rsidRPr="00E111D7">
        <w:t xml:space="preserve"> cel klimatyczny na 2040 r.; mając na uwadze, że nowo wybrana przewodnicząca </w:t>
      </w:r>
      <w:proofErr w:type="spellStart"/>
      <w:r w:rsidRPr="00E111D7">
        <w:t>Ursula</w:t>
      </w:r>
      <w:proofErr w:type="spellEnd"/>
      <w:r w:rsidRPr="00E111D7">
        <w:t xml:space="preserve"> von der </w:t>
      </w:r>
      <w:proofErr w:type="spellStart"/>
      <w:r w:rsidRPr="00E111D7">
        <w:t>Leyen</w:t>
      </w:r>
      <w:proofErr w:type="spellEnd"/>
      <w:r w:rsidRPr="00E111D7">
        <w:t xml:space="preserve"> w swoich wytycznych politycznych dla nowej Komisji zobowiązała się do zaproponowania celu klimatycznego na 2040 r.;</w:t>
      </w:r>
    </w:p>
    <w:p w:rsidR="00D16727" w:rsidRPr="00E111D7" w:rsidRDefault="00D16727" w:rsidP="00D16727">
      <w:pPr>
        <w:pStyle w:val="NormalHanging12a"/>
      </w:pPr>
      <w:r w:rsidRPr="00E111D7">
        <w:t>G.</w:t>
      </w:r>
      <w:r w:rsidRPr="00E111D7">
        <w:tab/>
        <w:t xml:space="preserve">mając na uwadze, że 16 października 2023 r. UE i jej państwa członkowskie przedłożyły aktualizację wkładu ustalonego na poziomie krajowym i zobowiązały się do ograniczenia swoich emisji gazów cieplarnianych netto do 2030 r. o co najmniej </w:t>
      </w:r>
      <w:r w:rsidRPr="00E111D7">
        <w:lastRenderedPageBreak/>
        <w:t>55 % w porównaniu z 1990 r., a tym samym nadal należą do światowych liderów działań na rzecz klimatu;</w:t>
      </w:r>
    </w:p>
    <w:p w:rsidR="00D16727" w:rsidRPr="00E111D7" w:rsidRDefault="00D16727" w:rsidP="00D16727">
      <w:pPr>
        <w:pStyle w:val="NormalHanging12a"/>
      </w:pPr>
      <w:r w:rsidRPr="00E111D7">
        <w:t>H.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Stany Zjednoczone odpowiadają za 24,1 % łącznych emisji CO</w:t>
      </w:r>
      <w:r w:rsidRPr="00E111D7">
        <w:rPr>
          <w:vertAlign w:val="subscript"/>
        </w:rPr>
        <w:t>2</w:t>
      </w:r>
      <w:r w:rsidRPr="00E111D7">
        <w:t xml:space="preserve"> na świecie, UE27 – za 16,7 %, Chiny –za 14,7 %, Rosja – za 6,7 %, a Zjednoczone Królestwo – za 4,5 %;</w:t>
      </w:r>
    </w:p>
    <w:p w:rsidR="00D16727" w:rsidRPr="00E111D7" w:rsidRDefault="00D16727" w:rsidP="00D16727">
      <w:pPr>
        <w:pStyle w:val="NormalHanging12a"/>
      </w:pPr>
      <w:r w:rsidRPr="00E111D7">
        <w:t>I.</w:t>
      </w:r>
      <w:r w:rsidRPr="00E111D7">
        <w:tab/>
        <w:t xml:space="preserve">mając na uwadze, że osiągnięcie globalnych celów klimatycznych wymaga wspólnego wysiłku wszystkich stron; mając na uwadze, że emisje w UE stanowią około </w:t>
      </w:r>
      <w:r w:rsidR="00B81D85">
        <w:t>6,1</w:t>
      </w:r>
      <w:r w:rsidRPr="00E111D7">
        <w:t> % światowych emisji, podczas gdy ludność UE stanowi 5,7 % ludności świata</w:t>
      </w:r>
      <w:proofErr w:type="gramStart"/>
      <w:r w:rsidRPr="00E111D7">
        <w:rPr>
          <w:vertAlign w:val="superscript"/>
        </w:rPr>
        <w:footnoteReference w:id="17"/>
      </w:r>
      <w:r w:rsidR="00A7056F">
        <w:t>,</w:t>
      </w:r>
      <w:r w:rsidR="00B81D85">
        <w:rPr>
          <w:rStyle w:val="FootnoteReference"/>
        </w:rPr>
        <w:footnoteReference w:id="18"/>
      </w:r>
      <w:r w:rsidR="00A7056F">
        <w:t>,</w:t>
      </w:r>
      <w:r w:rsidR="00B81D85">
        <w:rPr>
          <w:rStyle w:val="FootnoteReference"/>
        </w:rPr>
        <w:footnoteReference w:id="19"/>
      </w:r>
      <w:r w:rsidRPr="00E111D7">
        <w:t>; mając</w:t>
      </w:r>
      <w:proofErr w:type="gramEnd"/>
      <w:r w:rsidRPr="00E111D7">
        <w:t xml:space="preserve"> na uwadze, że dekarbonizacja w samej UE nie wystarczy;</w:t>
      </w:r>
    </w:p>
    <w:p w:rsidR="00D16727" w:rsidRPr="00E111D7" w:rsidRDefault="00D16727" w:rsidP="00D16727">
      <w:pPr>
        <w:pStyle w:val="NormalHanging12a"/>
      </w:pPr>
      <w:r w:rsidRPr="00E111D7">
        <w:t>J.</w:t>
      </w:r>
      <w:r w:rsidRPr="00E111D7">
        <w:tab/>
        <w:t>mając na uwadze, że ze wspólnotowej bazy danych dotyczącej gazów cieplarnianych, tj. bazy danych o emisjach na potrzeby światowych badań atmosferycznych (EDGAR) wynika, że w 2023 r. największe gospodarki wschodzące, takie jak Chiny, Indie i Brazylia, zwiększyły emisje, podczas gdy wszystkie sektory w UE-27 odnotowały spadek emisji gazów cieplarnianych w porównaniu z 2022 r.;</w:t>
      </w:r>
    </w:p>
    <w:p w:rsidR="00D16727" w:rsidRPr="00E111D7" w:rsidRDefault="00D16727" w:rsidP="00D16727">
      <w:pPr>
        <w:pStyle w:val="NormalHanging12a"/>
      </w:pPr>
      <w:r w:rsidRPr="00E111D7">
        <w:t>K.</w:t>
      </w:r>
      <w:r w:rsidRPr="00E111D7">
        <w:tab/>
        <w:t>mając na uwadze, że w pierwszym globalnym przeglądzie zakończonym w 2023 r. na COP28 podkreślono pilną potrzebę zajęcia się wzajemnie powiązanymi globalnymi kryzysami dotyczącymi zmiany klimatu i utraty różnorodności biologicznej w szerszym kontekście realizacji celów zrównoważonego rozwoju, a także kluczowe znaczenie, jakie dla zrównoważonych działań w dziedzinie klimatu mają ochrona, zachowanie, odbudowa i zrównoważone wykorzystywanie przyrody i ekosystemów;</w:t>
      </w:r>
    </w:p>
    <w:p w:rsidR="00D16727" w:rsidRPr="00E111D7" w:rsidRDefault="00D16727" w:rsidP="00D16727">
      <w:pPr>
        <w:pStyle w:val="NormalHanging12a"/>
      </w:pPr>
      <w:r w:rsidRPr="00E111D7">
        <w:t>L.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woda jest zasobem o podstawowym znaczeniu dla życia ludzkiego, działalności gospodarczej, w tym rolnictwa, i ekosystemów; mając na uwadze, że odnotowuje się coraz więcej problemów dotyczących wody, w tym jej zanieczyszczenie i niedobory; mając na uwadze, że społeczeństwa i ekosystemy odczuwają skutki zmiany klimatu głównie poprzez problemy z wodą i to na wodę najbardziej ona oddziałuje, co objawia się suszami, powodziami, niedoborami wody i zmieniającymi się wzorcami opadów, które stają się coraz silniejsze i częstsze; mając na uwadze, że pogłębia to wpływ zmiany klimatu i zwiększa ryzyko, jakie stwarza ona dla różnorodności biologicznej, dla odporności ekosystemów, </w:t>
      </w:r>
      <w:proofErr w:type="gramStart"/>
      <w:r w:rsidRPr="00E111D7">
        <w:t>dla</w:t>
      </w:r>
      <w:proofErr w:type="gramEnd"/>
      <w:r w:rsidRPr="00E111D7">
        <w:t xml:space="preserve"> rolnictwa, dla bezpieczeństwa żywnościowego i energetycznego oraz dla zaspokojenia podstawowych ludzkich potrzeb, a jednocześnie zagraża to z trudem wypracowanym postępom w rozwoju i transformacji ekologicznej, a także prawom człowieka i pokojowi; mając na uwadze, że 1,42 mld ludzi żyje na obszarach, które są w dużym lub bardzo dużym stopniu narażone na problemy z wodą; mając na uwadze, że odporne na zmianę klimatu zarządzanie zasobami wodnymi i oczyszczaniem ścieków należy do podstawowych elementów łagodzenia zmiany klimatu i przystosowania się do niej; mając na uwadze, </w:t>
      </w:r>
      <w:r w:rsidRPr="00E111D7">
        <w:lastRenderedPageBreak/>
        <w:t xml:space="preserve">że należy zagwarantować liczne funkcje ekosystemowe pełnione przez zasoby wodne, między innymi poprzez planowanie zasobów wodnych, zarządzanie </w:t>
      </w:r>
      <w:proofErr w:type="gramStart"/>
      <w:r w:rsidRPr="00E111D7">
        <w:t>nimi</w:t>
      </w:r>
      <w:proofErr w:type="gramEnd"/>
      <w:r w:rsidRPr="00E111D7">
        <w:t xml:space="preserve"> oraz inwestowanie w innowacje związane z wodą, w tym efektywność energetyczną i wodną, recykling wody oraz odtwarzanie i ochronę ekosystemów słodkowodnych; mając na uwadze, że gospodarka wodna silnie wiąże się z innymi obszarami polityki, w związku z czym należy zapewnić spójność polityki i podejmować działania na skalę całych dorzeczy poprzez wdrażanie rozwiązań opartych na zasobach przyrody;</w:t>
      </w:r>
    </w:p>
    <w:p w:rsidR="00D16727" w:rsidRPr="00E111D7" w:rsidRDefault="00D16727" w:rsidP="00D16727">
      <w:pPr>
        <w:pStyle w:val="NormalHanging12a"/>
      </w:pPr>
      <w:r w:rsidRPr="00E111D7">
        <w:t>M.</w:t>
      </w:r>
      <w:r w:rsidRPr="00E111D7">
        <w:tab/>
        <w:t>mając na uwadze, że gleby są największym lądowym rezerwuarem węgla i że dzięki dbałości o zdrowe gleby wzrasta odporność, a zmniejsza się podatność na zmianę klimatu;</w:t>
      </w:r>
    </w:p>
    <w:p w:rsidR="00D16727" w:rsidRPr="00E111D7" w:rsidRDefault="00D16727" w:rsidP="00D16727">
      <w:pPr>
        <w:pStyle w:val="NormalHanging12a"/>
      </w:pPr>
      <w:r w:rsidRPr="00E111D7">
        <w:t>N.</w:t>
      </w:r>
      <w:r w:rsidRPr="00E111D7">
        <w:tab/>
        <w:t>mając na uwadze, że lasy odgrywają zasadniczą rolę w przystosowaniu się do zmiany klimatu i w jej łagodzeniu: mając na uwadze, że zatrzymanie wylesiania, zwiększenie ochrony lasów, zalesianie i ponowne zalesianie oraz odpowiedzialne pozyskiwanie należą do kluczowych działań łagodzących;</w:t>
      </w:r>
    </w:p>
    <w:p w:rsidR="00D16727" w:rsidRPr="00E111D7" w:rsidRDefault="00D16727" w:rsidP="00D16727">
      <w:pPr>
        <w:pStyle w:val="NormalHanging12a"/>
      </w:pPr>
      <w:r w:rsidRPr="00E111D7">
        <w:t>O.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skutki upałów mogą się potęgować w miastach, w których mieszka ponad połowa ludności świata, z powodu efektu miejskich wysp ciepła; mając na uwadze, że fale upałów powodują gwałtowny wzrost zużycia energii, obniżenie wydajności pracy, a także zwiększone ryzyko zdrowotne, prowadzące do większej liczby zgonów; mając na uwadze, że rozwiązania naturalne, uwzględnianie zielonej infrastruktury i instalowanie naturalnego zacienienia przyczyniają się do spadku temperatury w miastach;</w:t>
      </w:r>
    </w:p>
    <w:p w:rsidR="00D16727" w:rsidRPr="00E111D7" w:rsidRDefault="00D16727" w:rsidP="00D16727">
      <w:pPr>
        <w:pStyle w:val="NormalHanging12a"/>
      </w:pPr>
      <w:r w:rsidRPr="00E111D7">
        <w:t>P.</w:t>
      </w:r>
      <w:r w:rsidRPr="00E111D7">
        <w:tab/>
        <w:t xml:space="preserve">mając na uwadze, że w szóstym sprawozdaniu oceniającym IPCC oraz w opinii naukowej Europejskiego Naukowego Komitetu Doradczego ds. Zmiany Klimatu dotyczącej ustalenia </w:t>
      </w:r>
      <w:proofErr w:type="spellStart"/>
      <w:r w:rsidRPr="00E111D7">
        <w:t>ogólnounijnego</w:t>
      </w:r>
      <w:proofErr w:type="spellEnd"/>
      <w:r w:rsidRPr="00E111D7">
        <w:t xml:space="preserve"> celu klimatycznego na 2040 r. i budżetu emisyjnego na lata 2030–2050 wyraźnie stwierdzono, że do realizacji celów klimatycznych określonych w porozumieniu paryskim i do osiągnięcia zerowej emisji gazów cieplarnianych netto konieczne są przede wszystkim głęboka, szybka i trwała redukcja emisji CO</w:t>
      </w:r>
      <w:r w:rsidRPr="00E111D7">
        <w:rPr>
          <w:vertAlign w:val="subscript"/>
        </w:rPr>
        <w:t>2</w:t>
      </w:r>
      <w:r w:rsidRPr="00E111D7">
        <w:t>, metanu i innych gazów cieplarnianych, a także zarówno pochłanianie dwutlenku węgla przez grunty, jak i stosowanie technologii usuwania dwutlenku węgla na dużą skalę;</w:t>
      </w:r>
    </w:p>
    <w:p w:rsidR="00D16727" w:rsidRPr="00E111D7" w:rsidRDefault="00D16727" w:rsidP="00D16727">
      <w:pPr>
        <w:pStyle w:val="NormalHanging12a"/>
      </w:pPr>
      <w:r w:rsidRPr="00E111D7">
        <w:t>Q.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układ o nierozprzestrzenianiu paliw kopalnych poparło tylko 14 państw, z których żadne nie jest państwem członkowskim UE;</w:t>
      </w:r>
    </w:p>
    <w:p w:rsidR="00D16727" w:rsidRPr="00E111D7" w:rsidRDefault="00D16727" w:rsidP="00D16727">
      <w:pPr>
        <w:pStyle w:val="NormalHanging12a"/>
      </w:pPr>
      <w:r w:rsidRPr="00E111D7">
        <w:t>R.</w:t>
      </w:r>
      <w:r w:rsidRPr="00E111D7">
        <w:tab/>
        <w:t>mając na uwadze, że zgodnie ze sprawozdaniem MAE pt. „</w:t>
      </w:r>
      <w:proofErr w:type="spellStart"/>
      <w:r w:rsidRPr="00E111D7">
        <w:t>Tripling</w:t>
      </w:r>
      <w:proofErr w:type="spellEnd"/>
      <w:r w:rsidRPr="00E111D7">
        <w:t xml:space="preserve"> </w:t>
      </w:r>
      <w:proofErr w:type="spellStart"/>
      <w:r w:rsidRPr="00E111D7">
        <w:t>Renewable</w:t>
      </w:r>
      <w:proofErr w:type="spellEnd"/>
      <w:r w:rsidRPr="00E111D7">
        <w:t xml:space="preserve"> </w:t>
      </w:r>
      <w:proofErr w:type="spellStart"/>
      <w:r w:rsidRPr="00E111D7">
        <w:t>Capacity</w:t>
      </w:r>
      <w:proofErr w:type="spellEnd"/>
      <w:r w:rsidRPr="00E111D7">
        <w:t xml:space="preserve"> </w:t>
      </w:r>
      <w:proofErr w:type="spellStart"/>
      <w:r w:rsidRPr="00E111D7">
        <w:t>Pledge</w:t>
      </w:r>
      <w:proofErr w:type="spellEnd"/>
      <w:r w:rsidRPr="00E111D7">
        <w:t xml:space="preserve">: </w:t>
      </w:r>
      <w:proofErr w:type="spellStart"/>
      <w:r w:rsidRPr="00E111D7">
        <w:t>Tracking</w:t>
      </w:r>
      <w:proofErr w:type="spellEnd"/>
      <w:r w:rsidRPr="00E111D7">
        <w:t xml:space="preserve"> </w:t>
      </w:r>
      <w:proofErr w:type="spellStart"/>
      <w:r w:rsidRPr="00E111D7">
        <w:t>countries</w:t>
      </w:r>
      <w:proofErr w:type="spellEnd"/>
      <w:r w:rsidRPr="00E111D7">
        <w:t xml:space="preserve">’ </w:t>
      </w:r>
      <w:proofErr w:type="spellStart"/>
      <w:r w:rsidRPr="00E111D7">
        <w:t>ambitions</w:t>
      </w:r>
      <w:proofErr w:type="spellEnd"/>
      <w:r w:rsidRPr="00E111D7">
        <w:t>” [Potrojenie zobowiązań dotyczących mocy wytwórczej energii odnawialnej. Śledzenie ambicji krajów] zobowiązania do wprowadzenia energii ze źródeł odnawialnych do 2030 r. zawarte we wkładach ustalonych na poziomie krajowym doprowadziłyby do osiągnięcia zaledwie 12 % celu potrojenia mocy wytwórczej energii odnawialnej;</w:t>
      </w:r>
    </w:p>
    <w:p w:rsidR="00D16727" w:rsidRPr="00E111D7" w:rsidRDefault="00D16727" w:rsidP="00D16727">
      <w:pPr>
        <w:pStyle w:val="NormalHanging12a"/>
      </w:pPr>
      <w:r w:rsidRPr="00E111D7">
        <w:t>S.</w:t>
      </w:r>
      <w:r w:rsidRPr="00E111D7">
        <w:tab/>
        <w:t xml:space="preserve">mając na uwadze, że oceany są największym pochłaniaczem dwutlenku węgla na naszej planecie i pochłaniają nadwyżkę ciepła i energii uwalnianą z rosnących emisji gazów cieplarnianych; mając na uwadze, że choć oceany odgrywają wyjątkową i kluczową rolę jako regulator klimatu, różnorodność biologiczna mórz jest poważnie zagrożona; mając na uwadze, że degradacja ekosystemów morskich, takich jak rafy koralowe, lasy namorzynowe i skupiska trawy morskiej, osłabia zdolność oceanów do sekwestracji </w:t>
      </w:r>
      <w:r w:rsidRPr="00E111D7">
        <w:lastRenderedPageBreak/>
        <w:t>dwutlenku węgla i przystosowania się do zmiany klimatu, co potęguje wpływ na klimat;</w:t>
      </w:r>
    </w:p>
    <w:p w:rsidR="00D16727" w:rsidRPr="00E111D7" w:rsidRDefault="00D16727" w:rsidP="00D16727">
      <w:pPr>
        <w:pStyle w:val="NormalHanging12a"/>
      </w:pPr>
      <w:r w:rsidRPr="00E111D7">
        <w:t>T.</w:t>
      </w:r>
      <w:r w:rsidRPr="00E111D7">
        <w:tab/>
        <w:t>mając na uwadze, że od czasu rewolucji przemysłowej metan odpowiada za około 30 % wzrostu temperatury na świecie; mając na uwadze, że szybkie i trwałe obniżenie emisji metanu jest kluczowe dla ograniczenia globalnego ocieplenia w perspektywie krótkoterminowej;</w:t>
      </w:r>
    </w:p>
    <w:p w:rsidR="00D16727" w:rsidRPr="00E111D7" w:rsidRDefault="00D16727" w:rsidP="00D16727">
      <w:pPr>
        <w:pStyle w:val="NormalHanging12a"/>
      </w:pPr>
      <w:r w:rsidRPr="00E111D7">
        <w:t>U.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MAE oszacowała, iż aby utrzymać się na poziomie poniżej 1,5 °C, należałoby ograniczyć emisję metanu z paliw kopalnych o 75 % do 2030 r., oraz wskazała, że zobowiązania podjęte do tej pory przez państwa i przedsiębiorstwa doprowadziłyby do ograniczenia emisji tylko o 50 % oraz że większość zobowiązań nie jest jeszcze poparta planami wdrożenia;</w:t>
      </w:r>
    </w:p>
    <w:p w:rsidR="00D16727" w:rsidRPr="00E111D7" w:rsidRDefault="00D16727" w:rsidP="00D16727">
      <w:pPr>
        <w:pStyle w:val="NormalHanging12a"/>
      </w:pPr>
      <w:r w:rsidRPr="00E111D7">
        <w:t>V.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w siódmej ocenie OECD dotyczącej postępów w realizacji celu UNFCCC w zakresie finansowania działań w związku ze zmianą klimatu stwierdzono, że w 2022 r. kraje rozwinięte zapewniły krajom rozwijającym się łącznie 115,9 mld USD na finansowanie takich działań, co jest kwotą wciąż znacznie poniżej rzeczywistych potrzeb;</w:t>
      </w:r>
    </w:p>
    <w:p w:rsidR="00D16727" w:rsidRPr="00E111D7" w:rsidRDefault="00D16727" w:rsidP="00D16727">
      <w:pPr>
        <w:pStyle w:val="NormalHanging12a"/>
      </w:pPr>
      <w:r w:rsidRPr="00E111D7">
        <w:t>W.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w pierwszym sprawozdaniu UNFCCC w sprawie określenia potrzeb stron będących krajami rozwijającymi się stwierdzono, że sprawozdania krajowe przedłożone przez strony będące krajami rozwijającymi się wykazują, że koszty zaspokojenia ich potrzeb związanych z wdrażaniem konwencji i porozumienia paryskiego wynoszą łącznie 5,8–5,9 bln USD do 2030 r.;</w:t>
      </w:r>
    </w:p>
    <w:p w:rsidR="00D16727" w:rsidRPr="00E111D7" w:rsidRDefault="00D16727" w:rsidP="00D16727">
      <w:pPr>
        <w:pStyle w:val="NormalHanging12a"/>
      </w:pPr>
      <w:r w:rsidRPr="00E111D7">
        <w:t>X.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w sprawozdaniu UNEP z 2023 r. dotyczącym luki adaptacyjnej podkreślono, że obecną lukę w finansowaniu w tej dziedzinie szacuje się na 194 mld USD do 366 mld USD rocznie, a luka ta będzie się zwiększać wraz z nasilaniem się skutków zmiany klimatu;</w:t>
      </w:r>
    </w:p>
    <w:p w:rsidR="00D16727" w:rsidRPr="00E111D7" w:rsidRDefault="00D16727" w:rsidP="00D16727">
      <w:pPr>
        <w:pStyle w:val="NormalHanging12a"/>
      </w:pPr>
      <w:r w:rsidRPr="00E111D7">
        <w:t>Y.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obecny cel finansowania działań w związku ze zmianą klimatu w wysokości 100 mld USD rocznie do 2025 r. jest finansowany przez strony sklasyfikowane jako uprzemysłowione w momencie podpisywania UNFCCC w 1992 r.; mając na uwadze, że ta klasyfikacja nie odzwierciedla już odpowiednio możliwości finansowych poszczególnych krajów i ich skumulowanych historycznych emisji, które od tego czasu znacznie się zmieniły;</w:t>
      </w:r>
    </w:p>
    <w:p w:rsidR="00D16727" w:rsidRPr="00E111D7" w:rsidRDefault="00D16727" w:rsidP="00D16727">
      <w:pPr>
        <w:pStyle w:val="NormalHanging12a"/>
      </w:pPr>
      <w:r w:rsidRPr="00E111D7">
        <w:t>Z.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zapewnienie spójności globalnych przepływów finansowych ze ścieżką prowadzącą w kierunku gospodarki o zerowej emisji netto i odpornej na zmianę klimatu jest zasadniczym celem zielonej transformacji zgodnie z art. 2 porozumienia paryskiego;</w:t>
      </w:r>
    </w:p>
    <w:p w:rsidR="00D16727" w:rsidRPr="00E111D7" w:rsidRDefault="00D16727" w:rsidP="00D16727">
      <w:pPr>
        <w:pStyle w:val="NormalHanging12a"/>
      </w:pPr>
      <w:r w:rsidRPr="00E111D7">
        <w:t>AA.</w:t>
      </w:r>
      <w:r w:rsidRPr="00E111D7">
        <w:tab/>
        <w:t>mając na uwadze, że w pierwszej Europejskiej ocenie ryzyka związanego z klimatem (EUCRA) stwierdzono, że niektóre zagrożenia klimatyczne w Europie już teraz osiągają poziom krytyczny, podczas gdy wiele innych zagrożeń może osiągnąć poziom krytyczny lub nawet katastrofalny w tym stuleciu, szkodliwie oddziałując na konkurencyjność gospodarek i przedsiębiorstw, krajobraz geopolityczny, siłę roboczą i spójność społeczną; mając na uwadze, że w sprawozdaniu z EUCRA zaleca się uwzględnienie obecnych i przyszłych zagrożeń klimatycznych praktycznie we wszystkich obszarach polityki oraz podjęcie działań zarówno na szczeblu unijnym, jak i krajowym;</w:t>
      </w:r>
    </w:p>
    <w:p w:rsidR="00D16727" w:rsidRPr="00E111D7" w:rsidRDefault="00D16727" w:rsidP="00D16727">
      <w:pPr>
        <w:pStyle w:val="NormalHanging12a"/>
      </w:pPr>
      <w:r w:rsidRPr="00E111D7">
        <w:lastRenderedPageBreak/>
        <w:t>AB.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Europejski Naukowy Komitet Doradczy ds. Zmiany Klimatu podkreśla potrzebę pilnego i pełnego wycofania szkodliwych dopłat do paliw kopalnych w całej UE; mając na uwadze, że 8. EAP wymaga ustalenia terminu stopniowego wycofywania dopłat do paliw kopalnych, zgodnie z dążeniem do ograniczenia globalnego ocieplenia do 1,5 °C; mając na uwadze, że w sprawozdaniu monitorującym Europejskiej Agencji Środowiska z 2023 r. dotyczącym postępów w realizacji 8. EAP pokreślono, że większość państw członkowskich nie ma konkretnych planów dotyczących tego, w jaki sposób i do kiedy zamierzają wycofać dopłaty do paliw kopalnych; mając na uwadze, że ma to kluczowe znaczenie dla przyspieszenia przejścia na energię ze źródeł odnawialnych, zapewnienia sprawiedliwego podziału zasobów i osiągnięcia celów klimatycznych UE określonych w porozumieniu paryskim;</w:t>
      </w:r>
    </w:p>
    <w:p w:rsidR="00D16727" w:rsidRPr="00E111D7" w:rsidRDefault="00D16727" w:rsidP="00D16727">
      <w:pPr>
        <w:pStyle w:val="NormalHanging12a"/>
      </w:pPr>
      <w:r w:rsidRPr="00E111D7">
        <w:t>AC.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istnieją naukowo udowodnione powiązania między zdrowiem a kryzysami środowiskowymi i klimatycznymi; mając na uwadze, że najbardziej wrażliwe grupy ludności są w nieproporcjonalnym stopniu dotknięte skutkami zmiany klimatu i bardziej narażone na brak bezpieczeństwa żywnościowego i wodnego, na zagrożenia dla zdrowia, na przesiedlenia i na utratę źródeł utrzymania;</w:t>
      </w:r>
    </w:p>
    <w:p w:rsidR="00D16727" w:rsidRPr="00E111D7" w:rsidRDefault="00D16727" w:rsidP="00D16727">
      <w:pPr>
        <w:pStyle w:val="NormalHanging12a"/>
      </w:pPr>
      <w:r w:rsidRPr="00E111D7">
        <w:t>AD.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wojna napastnicza Rosji przeciwko Ukrainie nie tylko rażąco narusza prawo międzynarodowe oraz powoduje ogromne straty w ludziach i szkody dla obywateli, ale także opóźnia bardzo potrzebne działania w zakresie przeciwdziałania zmianie klimatu oraz prowadzi do bezpośredniej i długoterminowej degradacji środowiska;</w:t>
      </w:r>
    </w:p>
    <w:p w:rsidR="00D16727" w:rsidRPr="00E111D7" w:rsidRDefault="00D16727" w:rsidP="00D16727">
      <w:pPr>
        <w:pStyle w:val="NormalHanging12a"/>
      </w:pPr>
      <w:r w:rsidRPr="00E111D7">
        <w:t>AE.</w:t>
      </w:r>
      <w:r w:rsidRPr="00E111D7">
        <w:tab/>
      </w:r>
      <w:proofErr w:type="gramStart"/>
      <w:r w:rsidRPr="00E111D7">
        <w:t>mając</w:t>
      </w:r>
      <w:proofErr w:type="gramEnd"/>
      <w:r w:rsidRPr="00E111D7">
        <w:t xml:space="preserve"> na uwadze, że zmiana klimatu w coraz większym stopniu staje się głównym czynnikiem powodującym migrację i wysiedlenia, a miliony osób są zmuszone do opuszczenia swoich domów z powodu podnoszenia się poziomu mórz, ekstremalnych zdarzeń pogodowych, suszy i niedoboru zasobów naturalnych; mając na uwadze, że do 2050 r. nawet 216 mln osób może być zmuszonych do migracji wewnętrznej ze względów klimatycznych w regionach Afryki, Ameryki Łacińskiej, Azji i Pacyfiku oraz Europy Wschodniej</w:t>
      </w:r>
      <w:r w:rsidRPr="00E111D7">
        <w:rPr>
          <w:vertAlign w:val="superscript"/>
        </w:rPr>
        <w:footnoteReference w:id="20"/>
      </w:r>
      <w:r w:rsidRPr="00E111D7">
        <w:t>;</w:t>
      </w:r>
    </w:p>
    <w:p w:rsidR="00D16727" w:rsidRPr="00E111D7" w:rsidRDefault="00D16727" w:rsidP="00D16727">
      <w:pPr>
        <w:pStyle w:val="NormalHanging12a"/>
        <w:rPr>
          <w:b/>
          <w:i/>
          <w:szCs w:val="24"/>
        </w:rPr>
      </w:pPr>
      <w:r w:rsidRPr="00E111D7">
        <w:rPr>
          <w:b/>
          <w:i/>
        </w:rPr>
        <w:t>Globalny przegląd i COP29 w Baku</w:t>
      </w:r>
    </w:p>
    <w:p w:rsidR="00D16727" w:rsidRPr="00E111D7" w:rsidRDefault="00D16727" w:rsidP="00D16727">
      <w:pPr>
        <w:pStyle w:val="NormalHanging12a"/>
      </w:pPr>
      <w:r w:rsidRPr="00E111D7">
        <w:t>1.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odnotowuje wyniki pierwszego globalnego przeglądu technicznego na COP28, w którym uznano, że ograniczenie globalnego ocieplenia do 1,5 °C bez przekroczenia lub przy ograniczonym przekroczeniu tej wartości oraz do 2 °C wymaga osiągnięcia szczytowego poziomu globalnych emisji gazów cieplarnianych do 2025 r. oraz że ograniczenie globalnego ocieplenia do 1,5 °C bez przekroczenia lub przy ograniczonym przekroczeniu tej wartości wymaga głębokiej, szybkiej i trwałej redukcji globalnych emisji gazów cieplarnianych o 43 % do 2030 r. i o 60 % do 2035 r. w stosunku do poziomu z 2019 r., co pozwoli osiągnąć zerowy poziom emisji gazów cieplarnianych netto do 2050 r.;</w:t>
      </w:r>
    </w:p>
    <w:p w:rsidR="00D16727" w:rsidRPr="00E111D7" w:rsidRDefault="00D16727" w:rsidP="00D16727">
      <w:pPr>
        <w:pStyle w:val="NormalHanging12a"/>
      </w:pPr>
      <w:r w:rsidRPr="00E111D7">
        <w:t>2.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przyjmuje ogłoszone przez UE na COP28 najważniejsze zobowiązania i działania mające na celu znaczne zwiększenie globalnych ambicji klimatycznych; wzywa wszystkie strony do podjęcia działań następczych poprzez ambitne wdrożenie i </w:t>
      </w:r>
      <w:r w:rsidRPr="00E111D7">
        <w:lastRenderedPageBreak/>
        <w:t>nasilenie działań ustalonych na szczeblu krajowym; podkreśla szczególną odpowiedzialność wszystkich krajów emitujących znaczne ilości gazów cieplarnianych i krajów G-20 za objęcie przywództwa; zaznacza, że konieczne są wspólne wysiłki i dalsze działania ze strony wszystkich krajów, zwłaszcza ze strony wszystkich największych gospodarek i gospodarek wschodzących; wzywa UE i partnerów o podobnych poglądach do współpracy ze wszystkimi stronami w celu zapewnienia pomyślnego wyniku COP29;</w:t>
      </w:r>
    </w:p>
    <w:p w:rsidR="00D16727" w:rsidRPr="00E111D7" w:rsidRDefault="00D16727" w:rsidP="00D16727">
      <w:pPr>
        <w:pStyle w:val="NormalHanging12a"/>
      </w:pPr>
      <w:r w:rsidRPr="00E111D7">
        <w:t>3.</w:t>
      </w:r>
      <w:r w:rsidRPr="00E111D7">
        <w:tab/>
      </w:r>
      <w:proofErr w:type="gramStart"/>
      <w:r w:rsidRPr="00E111D7">
        <w:t>popiera</w:t>
      </w:r>
      <w:proofErr w:type="gramEnd"/>
      <w:r w:rsidRPr="00E111D7">
        <w:t xml:space="preserve"> apel COP28 do stron UNFCCC o wniesienie wkładu w globalne wysiłki na rzecz potrojenia mocy wytwórczej energii odnawialnej na świecie i podwojenia globalnego średniego rocznego wskaźnika poprawy efektywności energetycznej do 2030 r.; wzywa wszystkie strony do przyjęcia konkretnych celów i strategii politycznych służących osiągnięciu tych wartości docelowych oraz do ich odzwierciedlenia we wkładach ustalonych na poziomie krajowym; podkreśla, że ważne jest, aby UE i państwa członkowskie odgrywały wiodącą rolę poprzez przyspieszenie wdrażania i zwiększenie inwestycji w infrastrukturę energii odnawialnej oraz promowanie innowacji w dziedzinie technologii magazynowania energii;</w:t>
      </w:r>
    </w:p>
    <w:p w:rsidR="00D16727" w:rsidRPr="00E111D7" w:rsidRDefault="00D16727" w:rsidP="00D16727">
      <w:pPr>
        <w:pStyle w:val="NormalHanging12a"/>
      </w:pPr>
      <w:r w:rsidRPr="00E111D7">
        <w:t>4.</w:t>
      </w:r>
      <w:r w:rsidRPr="00E111D7">
        <w:tab/>
      </w:r>
      <w:proofErr w:type="gramStart"/>
      <w:r w:rsidRPr="00E111D7">
        <w:t>popiera</w:t>
      </w:r>
      <w:proofErr w:type="gramEnd"/>
      <w:r w:rsidRPr="00E111D7">
        <w:t xml:space="preserve"> apel COP28 do stron konferencji o przyspieszenie wysiłków na rzecz stopniowego ograniczania wytwarzania energii z węgla o nieobniżonej emisji oraz o odchodzenie – w sposób sprawiedliwy, uporządkowany i równy – od paliw kopalnych w systemach energetycznych, z myślą o przyspieszeniu działań w tej kluczowej dekadzie, tak aby osiągnąć neutralność netto do 2050 r., zgodnie z wiedzą naukową; ubolewa, że w 2023 r. globalne emisje CO</w:t>
      </w:r>
      <w:r w:rsidRPr="00E111D7">
        <w:rPr>
          <w:vertAlign w:val="subscript"/>
        </w:rPr>
        <w:t>2</w:t>
      </w:r>
      <w:r w:rsidRPr="00E111D7">
        <w:t xml:space="preserve"> związane z energią osiągnęły nowy rekordowy poziom; wzywa, aby do dialogu UNFCCC w sprawie globalnego przeglądu włączyć sesję poświęconą wyzwaniom, przed jakimi stoją kraje w związku z zakończeniem ekspansji paliw kopalnych; ponawia apel do wszystkich stron, aby działały </w:t>
      </w:r>
      <w:proofErr w:type="gramStart"/>
      <w:r w:rsidRPr="00E111D7">
        <w:t>na</w:t>
      </w:r>
      <w:proofErr w:type="gramEnd"/>
      <w:r w:rsidRPr="00E111D7">
        <w:t xml:space="preserve"> rzecz opracowania traktatu o nierozprzestrzenianiu paliw kopalnych;</w:t>
      </w:r>
    </w:p>
    <w:p w:rsidR="00D16727" w:rsidRPr="00E111D7" w:rsidRDefault="00D16727" w:rsidP="00D16727">
      <w:pPr>
        <w:pStyle w:val="NormalHanging12a"/>
      </w:pPr>
      <w:r w:rsidRPr="00E111D7">
        <w:t>5.</w:t>
      </w:r>
      <w:r w:rsidRPr="00E111D7">
        <w:tab/>
      </w:r>
      <w:proofErr w:type="gramStart"/>
      <w:r w:rsidRPr="00E111D7">
        <w:t>zauważa</w:t>
      </w:r>
      <w:proofErr w:type="gramEnd"/>
      <w:r w:rsidRPr="00E111D7">
        <w:t>, że temperatura powietrza na świecie wzrosła już o blisko 1,3 °C w porównaniu z poziomem sprzed epoki przemysłowej oraz że rok 2023 r. i lato 2024 r. były najcieplejsze w historii Europy</w:t>
      </w:r>
      <w:r w:rsidRPr="00E111D7">
        <w:rPr>
          <w:vertAlign w:val="superscript"/>
        </w:rPr>
        <w:footnoteReference w:id="21"/>
      </w:r>
      <w:r w:rsidRPr="00E111D7">
        <w:t>; podkreśla, że rekordowe fale upałów, susze i pożary lasów doprowadziły do spadku światowego produktu krajowego brutto o ok. 0,6 % w 2023 r. oraz że w latach 1980–2022 ekstremalne zjawiska pogodowe i klimatyczne w Europie przyniosły straty w wysokości 650 mld EUR; podkreśla, że jakiekolwiek opóźnienia we wdrażaniu skutecznych środków łagodzenia zmiany klimatu i przystosowania się do niej potęgują zagrożenia klimatyczne, co powoduje wzrost strat i szkód;</w:t>
      </w:r>
    </w:p>
    <w:p w:rsidR="00D16727" w:rsidRPr="00E111D7" w:rsidRDefault="00D16727" w:rsidP="00D16727">
      <w:pPr>
        <w:pStyle w:val="NormalHanging12a"/>
      </w:pPr>
      <w:r w:rsidRPr="00E111D7">
        <w:t>6.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zaniepokojeniem odnotowuje, że w sprawozdaniu UNEP z 2023 r. w sprawie rozbieżności między potrzebami a perspektywami w zakresie redukcji emisji ustalono, że pełne wdrożenie obecnych bezwarunkowych wkładów ustalonych na poziomie krajowym prowadziłoby do globalnego ocieplenia o 2,9 °C, natomiast dodatkowe wdrożenie i utrzymanie warunkowych wkładów ustalonych na poziomie krajowym – o 2,5 °C w tym stuleciu; zwraca uwagę na fakt, że trajektoria ta jest daleka od celu 1,5 °C przyjętego przez wszystkie strony w ramach globalnego przeglądu technicznego na COP28, kierując świat na niebezpieczną drogę wiodącą do nieodwracalnej zmiany </w:t>
      </w:r>
      <w:r w:rsidRPr="00E111D7">
        <w:lastRenderedPageBreak/>
        <w:t>klimatu i przekroczenia kluczowych punktów krytycznych;</w:t>
      </w:r>
    </w:p>
    <w:p w:rsidR="00D16727" w:rsidRPr="00E111D7" w:rsidRDefault="00D16727" w:rsidP="00D16727">
      <w:pPr>
        <w:pStyle w:val="NormalHanging12a"/>
      </w:pPr>
      <w:r w:rsidRPr="00E111D7">
        <w:t>7.</w:t>
      </w:r>
      <w:r w:rsidRPr="00E111D7">
        <w:tab/>
      </w:r>
      <w:proofErr w:type="gramStart"/>
      <w:r w:rsidRPr="00E111D7">
        <w:t>zauważa</w:t>
      </w:r>
      <w:proofErr w:type="gramEnd"/>
      <w:r w:rsidRPr="00E111D7">
        <w:t xml:space="preserve">, że obecne wszystkie wkłady stron ustalone na poziomie krajowym są dalekie od wartości niezbędnych do osiągnięcia długoterminowych celów porozumienia paryskiego; wzywa wszystkie strony do przestrzegania decyzji COP26 dotyczącej wspólnych ram czasowych, a także do przekazania w 2025 r. wkładu ustalonego na poziomie krajowym na 2035 r. oraz do przedłożenia tego wkładu w terminie przewidzianym w porozumieniu paryskim; przypomina, że wszystkie strony powinny pilnie zwiększyć skalę swoich celów klimatycznych i towarzyszących im strategii politycznych z myślą o szybkiej i sprawiedliwej transformacji w kierunku gospodarki neutralnej dla klimatu; powinny także kontynuować wysiłki na rzecz ograniczenia wzrostu temperatury do 1,5 °C zgodnie z porozumieniem paryskim </w:t>
      </w:r>
      <w:proofErr w:type="gramStart"/>
      <w:r w:rsidRPr="00E111D7">
        <w:t>i</w:t>
      </w:r>
      <w:proofErr w:type="gramEnd"/>
      <w:r w:rsidRPr="00E111D7">
        <w:t xml:space="preserve"> osiągnięciami pierwszego globalnego przeglądu; z zadowoleniem przyjmuje „Plan działania na rzecz misji 1,5 °C”, mający na celu zwiększenie ambicji w kolejnej rundzie wkładów ustalonych na poziomie krajowym, zainicjowany przez trio prezydencji COP; wzywa do wspierania – w ramach dialogu w sprawie globalnego przeglądu – aktualizacji przez strony wkładów ustalonych na poziomie krajowym poprzez określenie narzędzi, metodyki i wytycznych dla poszczególnych sektorów; podkreśla, jak ważne jest kompleksowe i terminowe przeprowadzenie siódmego cyklu oceny dla następnego globalnego przeglądu;</w:t>
      </w:r>
    </w:p>
    <w:p w:rsidR="00D16727" w:rsidRPr="00E111D7" w:rsidRDefault="00D16727" w:rsidP="00D16727">
      <w:pPr>
        <w:pStyle w:val="NormalHanging12a"/>
      </w:pPr>
      <w:r w:rsidRPr="00E111D7">
        <w:t>8.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wszystkie strony do przedstawienia w kolejnych wkładach ustalonych na poziomie krajowym na 2035 r. ambitnych, określonych ilościowo celów dotyczących bezwzględnej – a nie względnej – redukcji emisji w całej gospodarce, obejmujących wszystkie gazy cieplarniane, sektory i kategorie oraz dostosowanych do celu ograniczenia globalnego ocieplenia do 1,5 °C, zgodnie z najnowszą wiedzą naukową oraz w świetle różnych uwarunkowań krajowych; podkreśla, że zmienione wkłady ustalone na poziomie krajowym powinny obejmować przejrzyste mechanizmy monitorowania i rozliczalności, aby zapewnić skuteczne śledzenie postępów w realizacji krajowych zobowiązań klimatycznych i celów sektorowych; podkreśla, że wszystkie cele klimatyczne muszą być jasne i przejrzyste; wzywa także Komisję, aby zaproponowała odrębne cele </w:t>
      </w:r>
      <w:proofErr w:type="gramStart"/>
      <w:r w:rsidRPr="00E111D7">
        <w:t>pośrednie</w:t>
      </w:r>
      <w:proofErr w:type="gramEnd"/>
      <w:r w:rsidRPr="00E111D7">
        <w:t xml:space="preserve"> dotyczące redukcji emisji brutto, pochłaniania dwutlenku węgla przez grunty oraz pochłaniania technologicznego w ramach celu na 2040 r.; wzywa wszystkie pozostałe strony do zapewnienia podobnej jasności we wkładach ustalonych na poziomie krajowym;</w:t>
      </w:r>
    </w:p>
    <w:p w:rsidR="00D16727" w:rsidRPr="00E111D7" w:rsidRDefault="00D16727" w:rsidP="00D16727">
      <w:pPr>
        <w:pStyle w:val="NormalHanging12a"/>
      </w:pPr>
      <w:r w:rsidRPr="00E111D7">
        <w:t>9.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wszystkie strony do podjęcia konstruktywnych zobowiązań na COP29 w celu osiągnięcia porozumienia w sprawie solidnych i rygorystycznych zasad dotyczących mechanizmów współpracy na mocy art. 6; mają one przyczynić się do osiągnięcia długoterminowych celów porozumienia paryskiego, sprzyjają zaangażowaniu sektora prywatnego i zwiększają mobilizację zasobów finansowych i niefinansowych na działania w dziedzinie klimatu, w tym dobrowolne działania na rynku uprawnień do emisji dwutlenku węgla i podejścia nierynkowe; wzywa UE i jej państwa członkowskie, by w negocjacjach ściśle przestrzegały wysokiego poziomu uczciwości klimatycznej podczas negocjacji w oparciu o najlepszą dostępną wiedzę naukową; podkreśla, że mechanizmy współpracy muszą gwarantować najwyższy poziom rozliczalności, monitorowania i </w:t>
      </w:r>
      <w:proofErr w:type="gramStart"/>
      <w:r w:rsidRPr="00E111D7">
        <w:t>przejrzystości</w:t>
      </w:r>
      <w:proofErr w:type="gramEnd"/>
      <w:r w:rsidRPr="00E111D7">
        <w:t xml:space="preserve">, a także zapobiegać podwójnemu naliczaniu i lukom prawnym, które mogłyby negatywnie wpłynąć na ambicje klimatyczne, przy jednoczesnym osiąganiu rzeczywistych i weryfikowalnych redukcji emisji oraz wspieraniu przejścia na energię ze źródeł odnawialnych, w szczególności w krajach rozwijających się; podkreśla, że zapewnianie finansowania i innego nierynkowego </w:t>
      </w:r>
      <w:r w:rsidRPr="00E111D7">
        <w:lastRenderedPageBreak/>
        <w:t>wsparcia dla wdrażania wkładów ustalonych na poziomie krajowym powinno być redystrybucyjne, trwałe i przewidywalne w długich ramach czasowych;</w:t>
      </w:r>
    </w:p>
    <w:p w:rsidR="00D16727" w:rsidRPr="00E111D7" w:rsidRDefault="00D16727" w:rsidP="00D16727">
      <w:pPr>
        <w:pStyle w:val="NormalHanging12a"/>
      </w:pPr>
      <w:r w:rsidRPr="00E111D7">
        <w:t>10.</w:t>
      </w:r>
      <w:r w:rsidRPr="00E111D7">
        <w:tab/>
      </w:r>
      <w:proofErr w:type="gramStart"/>
      <w:r w:rsidRPr="00E111D7">
        <w:t>zwraca</w:t>
      </w:r>
      <w:proofErr w:type="gramEnd"/>
      <w:r w:rsidRPr="00E111D7">
        <w:t xml:space="preserve"> uwagę, że zasady przewidziane w art. 6 dotyczące usuwania dwutlenku węgla muszą gwarantować integralność środowiskową poprzez wyznaczenie rygorystycznych kryteriów dotyczących kwantyfikacji, dodatkowości i poziomów bazowych, odpowiedzialności, trwałości i zrównoważonego rozwoju, a także poszanowania praw człowieka; muszą one także być wdrażane przy użyciu niezależnej certyfikacji i weryfikacji na wzór niedawno przyjętych ram certyfikacji UE; podkreśla, że trzeba wyraźnie oddzielić tymczasowe i trwałe usunięcia zgodnie z ramami UE; z zadowoleniem przyjmuje porozumienie, zgodnie z którym unikanie emisji nie będzie kwalifikowało się do generowania jednostek zgodnie z art. 6; nalega, aby ściśle przestrzegać tej zasady;</w:t>
      </w:r>
    </w:p>
    <w:p w:rsidR="00D16727" w:rsidRPr="00E111D7" w:rsidRDefault="00D16727" w:rsidP="00D16727">
      <w:pPr>
        <w:pStyle w:val="NormalHanging12a"/>
        <w:rPr>
          <w:b/>
          <w:bCs/>
          <w:i/>
          <w:iCs/>
        </w:rPr>
      </w:pPr>
      <w:r w:rsidRPr="00E111D7">
        <w:rPr>
          <w:b/>
          <w:i/>
        </w:rPr>
        <w:t>Międzynarodowe finansowanie działań w związku ze zmianą klimatu oraz zrównoważone finansowanie</w:t>
      </w:r>
    </w:p>
    <w:p w:rsidR="00D16727" w:rsidRPr="00E111D7" w:rsidRDefault="00D16727" w:rsidP="00D16727">
      <w:pPr>
        <w:pStyle w:val="NormalHanging12a"/>
      </w:pPr>
      <w:r w:rsidRPr="00E111D7">
        <w:t>11.</w:t>
      </w:r>
      <w:r w:rsidRPr="00E111D7">
        <w:tab/>
      </w:r>
      <w:proofErr w:type="gramStart"/>
      <w:r w:rsidRPr="00E111D7">
        <w:t>przyznaje</w:t>
      </w:r>
      <w:proofErr w:type="gramEnd"/>
      <w:r w:rsidRPr="00E111D7">
        <w:t>, że UE, jej państwa członkowskie i EBI są łącznie głównym źródłem publicznego finansowania działań w związku ze zmianą klimatu; zapewniają około jedną trzecią globalnego publicznego finansowania tych działań; europejskie środki finansowe na te działania osiągnęły w 2022 r. najwyższy w historii poziom 28,5 mld EUR ze źródeł publicznych (połowę w drodze dotacji i połowę za pomocą innych instrumentów, w szczególności pożyczek); przyciągnęły także łącznie dodatkową kwotę 11,9 mld EUR ze źródeł prywatnych;</w:t>
      </w:r>
    </w:p>
    <w:p w:rsidR="00D16727" w:rsidRPr="00E111D7" w:rsidRDefault="00D16727" w:rsidP="00D16727">
      <w:pPr>
        <w:pStyle w:val="NormalHanging12a"/>
      </w:pPr>
      <w:r w:rsidRPr="00E111D7">
        <w:t>12.</w:t>
      </w:r>
      <w:r w:rsidRPr="00E111D7">
        <w:tab/>
      </w:r>
      <w:proofErr w:type="gramStart"/>
      <w:r w:rsidRPr="00E111D7">
        <w:t>zauważa</w:t>
      </w:r>
      <w:proofErr w:type="gramEnd"/>
      <w:r w:rsidRPr="00E111D7">
        <w:t>, że w 2022 r. kraje rozwinięte zapewniły i uruchomiły łącznie 115,9 mld USD na finansowanie działań w związku ze zmianą klimatu dla krajów rozwijających się (w tym 69 % zostało udzielonych w formie pożyczek, a 28 % jako dotacje); po raz pierwszy przekroczyło to roczny cel UNFCC dotyczący finansowania tych działań wynoszący 100 mld USD</w:t>
      </w:r>
      <w:r w:rsidRPr="00E111D7">
        <w:rPr>
          <w:vertAlign w:val="superscript"/>
        </w:rPr>
        <w:footnoteReference w:id="22"/>
      </w:r>
      <w:r w:rsidRPr="00E111D7">
        <w:t xml:space="preserve">; wzywa kraje, aby zapewniały dalszą realizację celu 100 mld USD przez cały okres do 2025 r.; przypomina o wyniku COP26, zgodnie z którym państwa rozwinięte powinny co najmniej podwoić do 2025 r. w stosunku do 2019 r. solidarne przekazywanie środków finansowych na przystosowanie się do zmiany klimatu, aby osiągnąć równowagę między przystosowaniem się do zmiany </w:t>
      </w:r>
      <w:proofErr w:type="gramStart"/>
      <w:r w:rsidRPr="00E111D7">
        <w:t>klimatu</w:t>
      </w:r>
      <w:proofErr w:type="gramEnd"/>
      <w:r w:rsidRPr="00E111D7">
        <w:t xml:space="preserve"> a łagodzeniem jej skutków zgodnie z porozumieniem paryskim;</w:t>
      </w:r>
    </w:p>
    <w:p w:rsidR="00D16727" w:rsidRPr="00E111D7" w:rsidRDefault="00D16727" w:rsidP="00D16727">
      <w:pPr>
        <w:pStyle w:val="NormalHanging12a"/>
      </w:pPr>
      <w:r w:rsidRPr="00E111D7">
        <w:t>13.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wszystkie strony do uzgodnienia na COP29 nowego zbiorowego celu ilościowego na okres po 2025 r. dotyczącego finansowania działań w związku ze zmianą klimatu, który powinien opierać się na globalnych wysiłkach i różnorodnych źródłach, instrumentach i kanałach, w tym publicznych, prywatnych i innowacyjnych źródłach finansowania; wzywa wszystkie strony do dopilnowania, aby nowy zbiorowy cel ilościowy dotyczył zrównoważonego łagodzenia skutków zmiany klimatu, przystosowania się do niej oraz strat i szkód, co mogłoby obejmować zbadanie samodzielnych celów;</w:t>
      </w:r>
    </w:p>
    <w:p w:rsidR="00D16727" w:rsidRPr="00E111D7" w:rsidRDefault="00D16727" w:rsidP="00D16727">
      <w:pPr>
        <w:pStyle w:val="NormalHanging12a"/>
      </w:pPr>
      <w:r w:rsidRPr="00E111D7">
        <w:t>14.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, że wiele wkładów ustalonych na poziomie krajowym przez kraje </w:t>
      </w:r>
      <w:r w:rsidRPr="00E111D7">
        <w:lastRenderedPageBreak/>
        <w:t xml:space="preserve">rozwijające się jest uzależnionych od międzynarodowego finansowania działań w związku ze zmianą klimatu; podkreśla w związku z tym, że zapewnienie odpowiedniego finansowania działań w związku ze zmianą klimatu ma kluczowe znaczenie dla osiągnięcia celu porozumienia paryskiego; zauważa, że potrzeby w zakresie finansowania działań w związku ze zmianą klimatu znacznie rosną, a koszty zaspokojenia potrzeb szacowane przez Stały Komitet ds. Finansów UNFCCC stale znacznie przekraczają obecny cel 100 mld USD, i sięgają średnio ponad 1 bln USD rocznie do 2030 r., przy czym szacunki różnią się w zależności od rodzaju potrzeb i grupy krajów </w:t>
      </w:r>
      <w:proofErr w:type="gramStart"/>
      <w:r w:rsidRPr="00E111D7">
        <w:t>rozwijających</w:t>
      </w:r>
      <w:proofErr w:type="gramEnd"/>
      <w:r w:rsidRPr="00E111D7">
        <w:t xml:space="preserve"> się; podkreśla w związku z tym, że nowy zbiorowy cel ilościowy powinien wyraźnie odzwierciedlać zwiększone zapotrzebowanie na finansowanie działań w związku ze zmianą klimatu na całym świecie, w szczególności w przypadku małych rozwijających się państw wyspiarskich i krajów najsłabiej rozwiniętych, powinien być ustalany na podstawie badań naukowych oraz powinien być nowy i uzupełniać oficjalną pomoc rozwojową;</w:t>
      </w:r>
    </w:p>
    <w:p w:rsidR="00D16727" w:rsidRPr="00E111D7" w:rsidRDefault="00D16727" w:rsidP="00D16727">
      <w:pPr>
        <w:pStyle w:val="NormalHanging12a"/>
      </w:pPr>
      <w:r w:rsidRPr="00E111D7">
        <w:t>15.</w:t>
      </w:r>
      <w:r w:rsidRPr="00E111D7">
        <w:tab/>
      </w:r>
      <w:proofErr w:type="gramStart"/>
      <w:r w:rsidRPr="00E111D7">
        <w:t>uważa</w:t>
      </w:r>
      <w:proofErr w:type="gramEnd"/>
      <w:r w:rsidRPr="00E111D7">
        <w:t>, że odpowiedzialność za realizację nowego zbiorowego celu ilościowego na okres po 2025 r. powinna obejmować poszerzoną bazę płatników odzwierciedlającą zmieniające się możliwości finansowe stron i historyczne poziomy emisji; podkreśla, że gospodarki wschodzące o wysokich emisjach i wysokim PKB powinny przyczyniać się do realizacji nowego celu;</w:t>
      </w:r>
    </w:p>
    <w:p w:rsidR="00D16727" w:rsidRPr="00E111D7" w:rsidRDefault="00D16727" w:rsidP="00D16727">
      <w:pPr>
        <w:pStyle w:val="NormalHanging12a"/>
      </w:pPr>
      <w:r w:rsidRPr="00E111D7">
        <w:t>16.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jak ważne jest, aby nowy zbiorowy cel ilościowy różnicował poziomy finansowania w sposób lepiej odzwierciedlający potrzeby i priorytety krajów najbardziej wrażliwych na globalne ocieplenie oraz krajów o ograniczonych możliwościach, zwłaszcza krajów najsłabiej rozwiniętych i małych rozwijających się państw wyspiarskich;</w:t>
      </w:r>
    </w:p>
    <w:p w:rsidR="00D16727" w:rsidRPr="00E111D7" w:rsidRDefault="00D16727" w:rsidP="00D16727">
      <w:pPr>
        <w:pStyle w:val="NormalHanging12a"/>
      </w:pPr>
      <w:r w:rsidRPr="00E111D7">
        <w:t>17.</w:t>
      </w:r>
      <w:r w:rsidRPr="00E111D7">
        <w:tab/>
      </w:r>
      <w:proofErr w:type="gramStart"/>
      <w:r w:rsidRPr="00E111D7">
        <w:t>ponawia</w:t>
      </w:r>
      <w:proofErr w:type="gramEnd"/>
      <w:r w:rsidRPr="00E111D7">
        <w:t xml:space="preserve"> swój apel o stworzenie przewidywalnego mechanizmu finansowania publicznego UE, który zapewni dodatkowe odpowiednie wsparcie oraz zagwarantuje, że UE wniesie sprawiedliwy udział w osiągnięcie międzynarodowych celów w zakresie finansowania działań w związku ze zmianą klimatu; wzywa negocjatorów ds. finansowania działań w związku ze zmianą klimatu w państwach członkowskich UE do uzyskania od swoich ministerstw finansów jasnych mandatów do wniesienia znaczącego wkładu finansowego do nowego zbiorowego celu ilościowego;</w:t>
      </w:r>
    </w:p>
    <w:p w:rsidR="00D16727" w:rsidRPr="00E111D7" w:rsidRDefault="00D16727" w:rsidP="00D16727">
      <w:pPr>
        <w:pStyle w:val="NormalHanging12a"/>
      </w:pPr>
      <w:r w:rsidRPr="00E111D7">
        <w:t>18.</w:t>
      </w:r>
      <w:r w:rsidRPr="00E111D7">
        <w:tab/>
      </w:r>
      <w:proofErr w:type="gramStart"/>
      <w:r w:rsidRPr="00E111D7">
        <w:t>uważa</w:t>
      </w:r>
      <w:proofErr w:type="gramEnd"/>
      <w:r w:rsidRPr="00E111D7">
        <w:t xml:space="preserve">, że głównym celem nowego zbiorowego celu ilościowego powinno być wyraźnie nadanie pierwszeństwa finansowaniu opartemu na dotacjach; podkreśla potrzebę określenia nowych i innowacyjnych źródeł finansowania; podkreśla, że takie źródła powinny być sprawiedliwe społecznie i dostosowane do zasady „zanieczyszczający płaci”, tak aby koszty wynikające ze zmiany klimatu były ponoszone przez tych, którzy mają największe możliwości zapłaty oraz ponoszą największą odpowiedzialność za spowodowanie tej zmiany; wskazuje na potencjalne wkłady finansowe z łańcucha dostaw paliw kopalnych; apeluje, aby nowy zbiorowy cel ilościowy posiadał strukturę, która będzie uwzględniać wnioski wyciągnięte z rocznego celu 100 mld USD, oraz był wyposażony w solidne mechanizmy przejrzystości i rozliczalności </w:t>
      </w:r>
      <w:proofErr w:type="gramStart"/>
      <w:r w:rsidRPr="00E111D7">
        <w:t>w</w:t>
      </w:r>
      <w:proofErr w:type="gramEnd"/>
      <w:r w:rsidRPr="00E111D7">
        <w:t xml:space="preserve"> celu śledzenia realizacji uzgodnionej kwoty w określonych terminach, a także w celu uniknięcia podwójnego naliczania i pseudoekologicznego marketingu;</w:t>
      </w:r>
    </w:p>
    <w:p w:rsidR="00D16727" w:rsidRPr="00E111D7" w:rsidRDefault="00D16727" w:rsidP="00D16727">
      <w:pPr>
        <w:pStyle w:val="NormalHanging12a"/>
      </w:pPr>
      <w:r w:rsidRPr="00E111D7">
        <w:t>19.</w:t>
      </w:r>
      <w:r w:rsidRPr="00E111D7">
        <w:tab/>
      </w:r>
      <w:proofErr w:type="gramStart"/>
      <w:r w:rsidRPr="00E111D7">
        <w:t>zauważa</w:t>
      </w:r>
      <w:proofErr w:type="gramEnd"/>
      <w:r w:rsidRPr="00E111D7">
        <w:t xml:space="preserve"> z zaniepokojeniem, że wiele krajów znajdujących się w trudnej sytuacji klimatycznej jest zadłużonych lub grozi im zadłużenie, a także doświadcza podwójnego kryzysu rosnącego zadłużenia i eskalacji skutków zmiany klimatu; zauważa również z </w:t>
      </w:r>
      <w:r w:rsidRPr="00E111D7">
        <w:lastRenderedPageBreak/>
        <w:t xml:space="preserve">zaniepokojeniem wzrost kosztów i potrzeb związanych z łagodzeniem zmiany klimatu i przystosowaniem się do niej, który prowadzi do pogłębiania się luki finansowej, podczas gdy kraje rozwijające się zmagają się ze szczególnymi ograniczeniami budżetowymi; podkreśla w związku z tym potrzebę wspólnego rozwiązania kryzysu klimatycznego i kryzysu zadłużenia; apeluje, aby międzynarodowe finansowanie działań w związku ze zmianą klimatu opierało się w pierwszej kolejności na instrumentach i środkach bazujących na </w:t>
      </w:r>
      <w:proofErr w:type="gramStart"/>
      <w:r w:rsidRPr="00E111D7">
        <w:t>dotacjach</w:t>
      </w:r>
      <w:proofErr w:type="gramEnd"/>
      <w:r w:rsidRPr="00E111D7">
        <w:t xml:space="preserve"> i niepowodujących zadłużenia, tak aby zapewnić tym krajom możliwość wdrożenia niezbędnych środków łagodzących i przystosowawczych bez zwiększania swojego poziomu zadłużenia, w tym przy opracowywaniu nowego zbiorowego celu ilościowego; wzywa ponadto do wprowadzenia skutecznego mechanizmu spłaty zadłużenia, w tym zasady porównywalnego traktowania wierzycieli, a także do włączenia klauzul dotyczących zadłużenia w zakresie odporności na zmianę klimatu do przyszłych pożyczek udzielanych przez wielostronne banki rozwoju;</w:t>
      </w:r>
    </w:p>
    <w:p w:rsidR="00D16727" w:rsidRPr="00E111D7" w:rsidRDefault="00D16727" w:rsidP="00D16727">
      <w:pPr>
        <w:pStyle w:val="NormalHanging12a"/>
      </w:pPr>
      <w:r w:rsidRPr="00E111D7">
        <w:t>20.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 konkluzje COP27, zgodnie z którymi zapewnianie koniecznego finansowania na rzecz transformacji klimatycznej będzie wymagało przekształcenia systemu finansowego oraz jego struktur i procesów, z zaangażowaniem rządów, banków centralnych, banków komercyjnych, inwestorów instytucjonalnych i innych podmiotów finansowych; uważa, że aby ułatwić takie wysiłki na rzecz transformacji klimatycznej w skali światowej konieczne będzie zaangażowanie krajowych i międzynarodowych systemów finansowych w celu usunięcia barier w dostępie do finansowania czystych technologii oraz przesunięcia publicznych i prywatnych przepływów finansowych z działalności charakteryzującej się wysokim poziomem emisji;</w:t>
      </w:r>
    </w:p>
    <w:p w:rsidR="00D16727" w:rsidRPr="00E111D7" w:rsidRDefault="00D16727" w:rsidP="00D16727">
      <w:pPr>
        <w:pStyle w:val="NormalHanging12a"/>
      </w:pPr>
      <w:r w:rsidRPr="00E111D7">
        <w:t>21.</w:t>
      </w:r>
      <w:r w:rsidRPr="00E111D7">
        <w:tab/>
      </w:r>
      <w:proofErr w:type="gramStart"/>
      <w:r w:rsidRPr="00E111D7">
        <w:t>uważa</w:t>
      </w:r>
      <w:proofErr w:type="gramEnd"/>
      <w:r w:rsidRPr="00E111D7">
        <w:t>, że konieczne są niezwłoczne postępy w realizacji inicjatywy Bridgetown; uważa, że nowy zbiorowy cel ilościowy stanowi zasadniczą okazję do przyspieszenia reformy międzynarodowego systemu finansowego poprzez wprowadzenie w życie zasad inicjatywy Bridgetown; apeluje do wszystkich głównych międzynarodowych instytucji finansowych i wielostronnych banków rozwoju o dostosowanie portfeli i polityki udzielania pożyczek do porozumienia paryskiego;</w:t>
      </w:r>
    </w:p>
    <w:p w:rsidR="00D16727" w:rsidRPr="00E111D7" w:rsidRDefault="00D16727" w:rsidP="00D16727">
      <w:pPr>
        <w:pStyle w:val="NormalHanging12a"/>
      </w:pPr>
      <w:r w:rsidRPr="00E111D7">
        <w:t>22.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 o roli Europejskiego Banku Inwestycyjnego (EBI) jako banku klimatycznego UE oraz o planie działania banku klimatycznego i zaktualizowanej polityce kredytowania energetyki, a także o dodatkowych działaniach Europejskiego Funduszu Inwestycyjnego na rzecz zainicjowania inwestycji klimatycznych; z zadowoleniem przyjmuje fakt, że Europejski Bank Centralny zobowiązał się włączyć problematykę zmiany klimatu do ram swojej polityki pieniężnej;</w:t>
      </w:r>
    </w:p>
    <w:p w:rsidR="00D16727" w:rsidRPr="00E111D7" w:rsidRDefault="00D16727" w:rsidP="00D16727">
      <w:pPr>
        <w:pStyle w:val="NormalHanging12a"/>
      </w:pPr>
      <w:r w:rsidRPr="00E111D7">
        <w:t>23.</w:t>
      </w:r>
      <w:r w:rsidRPr="00E111D7">
        <w:tab/>
      </w:r>
      <w:proofErr w:type="gramStart"/>
      <w:r w:rsidRPr="00E111D7">
        <w:t>zauważa</w:t>
      </w:r>
      <w:proofErr w:type="gramEnd"/>
      <w:r w:rsidRPr="00E111D7">
        <w:t>, że wysoki profil ryzyka wielu krajów ogranicza ich zdolność do przyciągania i mobilizowania prywatnych inwestycji w łagodzenie zmiany klimatu i przystosowanie się do niej; apeluje do międzynarodowych instytucji finansowych, wielostronnych banków rozwoju i rządów o skoordynowanie i zaproponowanie odpowiednich planów ograniczenia ryzyka finansowego dla projektów związanych z łagodzeniem zmiany klimatu i przystosowaniem się do niej w kontekście COP29; wzywa kraje i wielostronne banki rozwoju, w tym EBI, do przyjęcia w przyszłych umowach pożyczki klauzul dotyczących zadłużenia związanych z odpornością na zmianę klimatu;</w:t>
      </w:r>
    </w:p>
    <w:p w:rsidR="00D16727" w:rsidRPr="00E111D7" w:rsidRDefault="00D16727" w:rsidP="00D16727">
      <w:pPr>
        <w:pStyle w:val="NormalHanging12a"/>
      </w:pPr>
      <w:r w:rsidRPr="00E111D7">
        <w:t>24.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, że paliwa kopalne odpowiadają za ponad 75 % wszystkich gazów cieplarnianych, a zatem w największym stopniu przyczyniają się do zmiany klimatu, a </w:t>
      </w:r>
      <w:r w:rsidRPr="00E111D7">
        <w:lastRenderedPageBreak/>
        <w:t>poziom pochodzących z nich emisji wciąż rośnie; zauważa, że paliwa kopalne wciąż są wykorzystywane do zaspokojenia ponad 80 % światowego zapotrzebowania na energię; podkreśla, że stopniowe wycofywanie paliw kopalnych jest zarówno konieczne, jak i wykonalne pod względem technologicznym; zauważa, że ścieżka przyjęta w ramach planu działania MAE na rzecz osiągnięcia neutralności emisyjnej do 2050 r., aby utrzymać wzrost temperatury na świecie poniżej 1,5 °C, nie wymaga żadnych nowych inwestycji w ropę naftową, gaz ani węgiel;</w:t>
      </w:r>
    </w:p>
    <w:p w:rsidR="00D16727" w:rsidRPr="00E111D7" w:rsidRDefault="00D16727" w:rsidP="00D16727">
      <w:pPr>
        <w:pStyle w:val="NormalHanging12a"/>
      </w:pPr>
      <w:r w:rsidRPr="00E111D7">
        <w:t>25.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jednym z celów COP29 powinno być uzgodnienie jednoznacznego sygnału będącego następstwem wyników pierwszego globalnego przeglądu na COP28, aby odejść od paliw kopalnych i zwrócić się ku odnawialnym źródłom energii i efektywności energetycznej w sposób sprawiedliwy, uporządkowany i równy; podkreśla znaczenie wprowadzenia jasnych kwantyfikacji i harmonogramów w celu przyspieszenia działań w tej dekadzie; apeluje do wszystkich stron, w tym UE, o przyjęcie planów stopniowego wycofywania paliw kopalnych zgodnie z celem dotyczącym temperatury określonym w porozumieniu paryskim; wzywa wszystkie strony do zbadania możliwości zwiększenia wkładu przedsiębiorstw z sektora paliw kopalnych w realizację celów paryskich;</w:t>
      </w:r>
    </w:p>
    <w:p w:rsidR="00D16727" w:rsidRPr="00E111D7" w:rsidRDefault="00D16727" w:rsidP="00D16727">
      <w:pPr>
        <w:pStyle w:val="NormalHanging12a"/>
        <w:rPr>
          <w:sz w:val="23"/>
          <w:szCs w:val="23"/>
        </w:rPr>
      </w:pPr>
      <w:r w:rsidRPr="00E111D7">
        <w:rPr>
          <w:sz w:val="23"/>
        </w:rPr>
        <w:t>26.</w:t>
      </w:r>
      <w:r w:rsidRPr="00E111D7">
        <w:rPr>
          <w:sz w:val="23"/>
        </w:rPr>
        <w:tab/>
      </w:r>
      <w:proofErr w:type="gramStart"/>
      <w:r w:rsidRPr="00E111D7">
        <w:rPr>
          <w:sz w:val="23"/>
        </w:rPr>
        <w:t>podkreśla</w:t>
      </w:r>
      <w:proofErr w:type="gramEnd"/>
      <w:r w:rsidRPr="00E111D7">
        <w:rPr>
          <w:sz w:val="23"/>
        </w:rPr>
        <w:t xml:space="preserve">, że należy jak najszybciej zrezygnować ze wszystkich paliw kopalnych; zauważa, że aby osiągnąć ten cel, UE powinna dążyć do jak największego bezpieczeństwa energetycznego, konkurencyjności przemysłowej i dobrobytu obywateli poprzez obniżenie rachunków za energię oraz do stworzenia wydajnej energetycznie gospodarki opartej na odnawialnych źródłach energii; zauważa w szczególności pilną potrzebę zaprzestania importu do UE rosyjskich paliw kopalnych, w tym gazu ziemnego, które służą Rosji do finansowania wojny napastniczej przeciwko Ukrainie; wzywa państwa grupy G-7, by dały przykład wzorcowej transformacji energetycznej; apeluje do wszystkich stron, aby zdekarbonizowały swój system energetyczny i wstrzymały wszelkie nowe inwestycje w wydobycie paliw kopalnych; z zadowoleniem </w:t>
      </w:r>
      <w:proofErr w:type="gramStart"/>
      <w:r w:rsidRPr="00E111D7">
        <w:rPr>
          <w:sz w:val="23"/>
        </w:rPr>
        <w:t>przyjmuje</w:t>
      </w:r>
      <w:proofErr w:type="gramEnd"/>
      <w:r w:rsidRPr="00E111D7">
        <w:rPr>
          <w:sz w:val="23"/>
        </w:rPr>
        <w:t xml:space="preserve"> wszystkie inicjatywy mające zmniejszyć zależność UE od paliw kopalnych oraz zwiększyć różnorodność jej dostaw energii; odnotowuje bieżącą współpracę UE z partnerami międzynarodowymi z myślą o dywersyfikacji dostaw energii; </w:t>
      </w:r>
    </w:p>
    <w:p w:rsidR="00D16727" w:rsidRPr="00E111D7" w:rsidRDefault="00D16727" w:rsidP="00D16727">
      <w:pPr>
        <w:pStyle w:val="NormalHanging12a"/>
      </w:pPr>
      <w:r w:rsidRPr="00E111D7">
        <w:t>27.</w:t>
      </w:r>
      <w:r w:rsidRPr="00E111D7">
        <w:tab/>
      </w:r>
      <w:proofErr w:type="gramStart"/>
      <w:r w:rsidRPr="00E111D7">
        <w:t>zauważa</w:t>
      </w:r>
      <w:proofErr w:type="gramEnd"/>
      <w:r w:rsidRPr="00E111D7">
        <w:t xml:space="preserve"> z niepokojem, że w latach 2010–2020 dotacje na energię pochodzącą z paliw kopalnych w UE utrzymywały się na stabilnym poziomie i wyniosły około 50 mld EUR rocznie, a w 2022 r. nawet wzrosły do 123 mld EUR; podkreśla potrzebę wdrożenia przez Komisję i państwa członkowskie wymogu zawartego w 8. </w:t>
      </w:r>
      <w:proofErr w:type="gramStart"/>
      <w:r w:rsidRPr="00E111D7">
        <w:t>programie</w:t>
      </w:r>
      <w:proofErr w:type="gramEnd"/>
      <w:r w:rsidRPr="00E111D7">
        <w:t xml:space="preserve"> działań w zakresie środowiska, tj. „wyznaczenia terminu wycofania dopłat do paliw kopalnych, zgodnie z celem ograniczenia globalnego ocieplenia do 1,5 °C”; apeluje do Komisji i wszystkich państw członkowskich o poprawę krajowych sprawozdań dotyczących wszystkich bezpośrednich i pośrednich dopłat do paliw kopalnych oraz o zaplanowanie ich niezwłocznego stopniowego wycofywania na podstawie konkretnych strategii politycznych, harmonogramów i środków w sposób, który zwiększy bezpieczeństwo energetyczne i żywnościowe Unii, konkurencyjność przemysłu i dobrobyt obywateli oraz obniży rachunki za energię; wzywa Komisję do opracowania ram w tym zakresie zgodnie z tym wymogiem 8. EAP;</w:t>
      </w:r>
    </w:p>
    <w:p w:rsidR="00D16727" w:rsidRPr="00E111D7" w:rsidRDefault="00D16727" w:rsidP="00D16727">
      <w:pPr>
        <w:pStyle w:val="NormalHanging12a"/>
      </w:pPr>
      <w:r w:rsidRPr="00E111D7">
        <w:t>28.</w:t>
      </w:r>
      <w:r w:rsidRPr="00E111D7">
        <w:tab/>
      </w:r>
      <w:proofErr w:type="gramStart"/>
      <w:r w:rsidRPr="00E111D7">
        <w:t>wyraża</w:t>
      </w:r>
      <w:proofErr w:type="gramEnd"/>
      <w:r w:rsidRPr="00E111D7">
        <w:t xml:space="preserve"> zaniepokojenie, że w 2023 r. rządy na całym świecie wydały ponad 620 mld USD na dotacje do paliw kopalnych, czyli znacznie ponad 70 mld USD wydanych na wsparcie czystej energii; zachęca wszystkie strony do jak najszybszego wycofania wszelkich bezpośrednich i pośrednich dopłat do paliw kopalnych oraz do przeznaczenia </w:t>
      </w:r>
      <w:r w:rsidRPr="00E111D7">
        <w:lastRenderedPageBreak/>
        <w:t>tych szkodliwych dopłat na działania w dziedzinie klimatu, w tym na międzynarodowe finansowanie działań w związku ze zmianą klimatu dla najbardziej wrażliwych krajów rozwijających się; apeluje do wszystkich stron, aby zapewniły przejrzystość sprawozdań dotyczących dopłat do paliw kopalnych oraz aby jak najszybciej przyjęły plany ich stopniowego wycofywania;</w:t>
      </w:r>
    </w:p>
    <w:p w:rsidR="00D16727" w:rsidRPr="00E111D7" w:rsidRDefault="00D16727" w:rsidP="00D16727">
      <w:pPr>
        <w:pStyle w:val="NormalHanging12a"/>
      </w:pPr>
      <w:r w:rsidRPr="00E111D7">
        <w:t>29.</w:t>
      </w:r>
      <w:r w:rsidRPr="00E111D7">
        <w:tab/>
      </w:r>
      <w:proofErr w:type="gramStart"/>
      <w:r w:rsidRPr="00E111D7">
        <w:t>ponawia</w:t>
      </w:r>
      <w:proofErr w:type="gramEnd"/>
      <w:r w:rsidRPr="00E111D7">
        <w:t xml:space="preserve"> poparcie dla prac koalicji ministrów finansów na rzecz działań w dziedzinie klimatu oraz zachęca wszystkie rządy do przyjęcia zobowiązań koalicji dotyczących dostosowania wszystkich obszarów polityki i praktyk będących w gestii ministrów finansów do celów porozumienia paryskiego, a także do przyjęcia skutecznego systemu ustalania opłat za emisję dwutlenku węgla;</w:t>
      </w:r>
    </w:p>
    <w:p w:rsidR="00D16727" w:rsidRPr="00E111D7" w:rsidRDefault="00D16727" w:rsidP="00D16727">
      <w:pPr>
        <w:pStyle w:val="NormalHanging12a"/>
        <w:rPr>
          <w:b/>
          <w:i/>
        </w:rPr>
      </w:pPr>
      <w:r w:rsidRPr="00E111D7">
        <w:rPr>
          <w:b/>
          <w:i/>
        </w:rPr>
        <w:t>Dostosowanie</w:t>
      </w:r>
    </w:p>
    <w:p w:rsidR="00D16727" w:rsidRPr="00E111D7" w:rsidRDefault="00D16727" w:rsidP="00D16727">
      <w:pPr>
        <w:pStyle w:val="NormalHanging12a"/>
      </w:pPr>
      <w:r w:rsidRPr="00E111D7">
        <w:t>30.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potrzebę zintensyfikowania działań w zakresie przystosowania się do zmiany klimatu w UE i na świecie w celu zminimalizowania negatywnych skutków zmiany klimatu i utraty różnorodności biologicznej; zwraca uwagę, że chociaż nastąpił postęp w finansowaniu i wdrażaniu działań łagodzących zmianę klimatu, wysiłki na rzecz przystosowania się do zmiany klimatu nadal pozostają w tyle, a luka zarówno w finansowaniu, jak i konkretnych działaniach stale się powiększa; podkreśla, że przepływy finansowe związane z przystosowaniem się do zmiany klimatu zmniejszyły się od 2020 r. oraz że luka ta dalej się pogłębia; uznaje, że bez natychmiastowych działań koszty przystosowania się do zmiany klimatu będą nadal </w:t>
      </w:r>
      <w:proofErr w:type="gramStart"/>
      <w:r w:rsidRPr="00E111D7">
        <w:t>rosły</w:t>
      </w:r>
      <w:proofErr w:type="gramEnd"/>
      <w:r w:rsidRPr="00E111D7">
        <w:t xml:space="preserve"> ze względu na ekstremalne zdarzenia pogodowe i wydarzenia związane z klimatem;</w:t>
      </w:r>
    </w:p>
    <w:p w:rsidR="00D16727" w:rsidRPr="00E111D7" w:rsidRDefault="00D16727" w:rsidP="00D16727">
      <w:pPr>
        <w:pStyle w:val="NormalHanging12a"/>
      </w:pPr>
      <w:r w:rsidRPr="00E111D7">
        <w:t>31.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przyjmuje pierwszy komunikat EUCRA</w:t>
      </w:r>
      <w:r w:rsidRPr="00E111D7">
        <w:rPr>
          <w:vertAlign w:val="superscript"/>
        </w:rPr>
        <w:footnoteReference w:id="23"/>
      </w:r>
      <w:r w:rsidRPr="00E111D7">
        <w:t xml:space="preserve"> i komunikat Komisji z 12 marca 2024 r. w sprawie zarządzania ryzykiem klimatycznym; podkreślono w nim potrzebę odporności w obliczu rosnącego ryzyka klimatycznego; wzywa zatem Komisję do przedstawienia europejskiego planu przystosowania się do zmiany klimatu; obejmowałby on konkretne wnioski ustawodawcze i działania, w szczególności dotyczące odporności infrastruktury, gospodarki wodnej i rozwiązań opartych na zasobach przyrody, przy jednoczesnym priorytetowym traktowaniu ochrony społeczności znajdujących się w trudnej sytuacji, tak aby zwiększyć odporność UE i dawać przykład; podkreśla znaczenie opracowania, wdrożenia i regularnego aktualizowania krajowych planów adaptacji, w tym planów skoncentrowanych na pomocy finansowej i technicznej; wzywa strony, które </w:t>
      </w:r>
      <w:proofErr w:type="gramStart"/>
      <w:r w:rsidRPr="00E111D7">
        <w:t>jeszcze</w:t>
      </w:r>
      <w:proofErr w:type="gramEnd"/>
      <w:r w:rsidRPr="00E111D7">
        <w:t xml:space="preserve"> tego nie uczyniły, do wprowadzenia krajowych planów przystosowania się do zmiany klimatu do 2025 r. oraz do osiągnięcia postępów w ich wdrażaniu do 2030 r.;</w:t>
      </w:r>
    </w:p>
    <w:p w:rsidR="00D16727" w:rsidRPr="00E111D7" w:rsidRDefault="00D16727" w:rsidP="00D16727">
      <w:pPr>
        <w:pStyle w:val="NormalHanging12a"/>
      </w:pPr>
      <w:r w:rsidRPr="00E111D7">
        <w:t>32.</w:t>
      </w:r>
      <w:r w:rsidRPr="00E111D7">
        <w:tab/>
      </w:r>
      <w:proofErr w:type="gramStart"/>
      <w:r w:rsidRPr="00E111D7">
        <w:t>opowiada</w:t>
      </w:r>
      <w:proofErr w:type="gramEnd"/>
      <w:r w:rsidRPr="00E111D7">
        <w:t xml:space="preserve"> się za wprowadzaniem rozwiązań opartych na zasobach przyrody na obszarach miejskich, aby poprawić jakość powietrza, powstrzymać rosnące temperatury oraz przeciwdziałać efektowi miejskiej wyspy ciepła w celu ochrony ludności i zmniejszenia kosztów energii;</w:t>
      </w:r>
    </w:p>
    <w:p w:rsidR="00D16727" w:rsidRPr="00E111D7" w:rsidRDefault="00D16727" w:rsidP="00D16727">
      <w:pPr>
        <w:pStyle w:val="NormalHanging12a"/>
      </w:pPr>
      <w:r w:rsidRPr="00E111D7">
        <w:t>33.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odnotowuje, że na COP28 przyjęto porozumienie w sprawie ram globalnego celu w zakresie przystosowania się do zmiany klimatu, a mianowicie ram z ZEA na rzecz globalnej odporności na zmianę klimatu; podkreśla, że ramy te trzeba przełożyć na wymierne wyniki, którym towarzyszy solidny system monitorowania </w:t>
      </w:r>
      <w:r w:rsidRPr="00E111D7">
        <w:lastRenderedPageBreak/>
        <w:t>postępów w osiąganiu celów; zachęca wszystkie strony do szybkiego uzgodnienia wskaźników pomiaru postępów w realizacji zadań w ramach dwuletniego programu prac ZEA–</w:t>
      </w:r>
      <w:proofErr w:type="spellStart"/>
      <w:r w:rsidRPr="00E111D7">
        <w:t>Belém</w:t>
      </w:r>
      <w:proofErr w:type="spellEnd"/>
      <w:r w:rsidRPr="00E111D7">
        <w:t xml:space="preserve"> ustanowionego podczas COP28; podkreśla znaczenie </w:t>
      </w:r>
      <w:proofErr w:type="spellStart"/>
      <w:r w:rsidRPr="00E111D7">
        <w:t>inkluzywnych</w:t>
      </w:r>
      <w:proofErr w:type="spellEnd"/>
      <w:r w:rsidRPr="00E111D7">
        <w:t xml:space="preserve"> wskaźników dla zapewnienia, aby przystosowanie się do zmiany klimatu odbywało się w sposób sprawiedliwy społecznie;</w:t>
      </w:r>
    </w:p>
    <w:p w:rsidR="00D16727" w:rsidRPr="00E111D7" w:rsidRDefault="00D16727" w:rsidP="00D16727">
      <w:pPr>
        <w:pStyle w:val="NormalHanging12a"/>
      </w:pPr>
      <w:r w:rsidRPr="00E111D7">
        <w:t>34.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systemy wczesnego ostrzegania mają zasadnicze znaczenie dla skutecznego dostosowania się oraz apeluje o szybkie wdrożenie zarówno inicjatywy rozwoju systemów wczesnego ostrzegania w dziedzinie klimatu (CREWS), która koncentruje się na krajach podatnych na zagrożenia, takich jak kraje najsłabiej rozwinięte i małe rozwijające się państwa wyspiarskie, jak i inicjatywy „Wczesne ostrzeganie dla wszystkich”, która ma na celu zapewnienie globalnego dostępu do systemów wczesnego ostrzegania do 2027 r.;</w:t>
      </w:r>
    </w:p>
    <w:p w:rsidR="00D16727" w:rsidRPr="00E111D7" w:rsidRDefault="00D16727" w:rsidP="00D16727">
      <w:pPr>
        <w:pStyle w:val="NormalHanging12a"/>
      </w:pPr>
      <w:r w:rsidRPr="00E111D7">
        <w:t>35.</w:t>
      </w:r>
      <w:r w:rsidRPr="00E111D7">
        <w:tab/>
      </w:r>
      <w:proofErr w:type="gramStart"/>
      <w:r w:rsidRPr="00E111D7">
        <w:t>wyraża</w:t>
      </w:r>
      <w:proofErr w:type="gramEnd"/>
      <w:r w:rsidRPr="00E111D7">
        <w:t xml:space="preserve"> głębokie zaniepokojenie rosnącą intensywnością i częstotliwością ekstremalnych zdarzeń pogodowych w UE i na świecie, w tym pożarów lasów, susz, fal upałów i powodzi, a także ich wpływem na zdrowie człowieka i rosnącą liczbą ofiar śmiertelnych; pokrywa się to z wnioskami przedstawionymi w sprawozdaniu EUCRA; podkreśla pilną potrzebę wzmocnienia zbiorowej, globalnej reakcji na zmianę klimatu w tym decydującym dziesięcioleciu poprzez podjęcie przez wszystkie strony ambitnych działań na rzecz łagodzenia zmiany klimatu i przystosowania się do niej w celu ochrony ludzi, ich źródeł utrzymania, gospodarki i naszych ekosystemów; przypomina o potrzebie uwzględnienia przy inwestowaniu w infrastrukturę i aktywa przyszłych warunków klimatycznych;</w:t>
      </w:r>
    </w:p>
    <w:p w:rsidR="00D16727" w:rsidRPr="00E111D7" w:rsidRDefault="00D16727" w:rsidP="00D16727">
      <w:pPr>
        <w:pStyle w:val="NormalHanging12a"/>
        <w:rPr>
          <w:b/>
          <w:i/>
        </w:rPr>
      </w:pPr>
      <w:r w:rsidRPr="00E111D7">
        <w:rPr>
          <w:b/>
          <w:i/>
        </w:rPr>
        <w:t>Straty i szkody</w:t>
      </w:r>
    </w:p>
    <w:p w:rsidR="00D16727" w:rsidRPr="00E111D7" w:rsidRDefault="00D16727" w:rsidP="00D16727">
      <w:pPr>
        <w:pStyle w:val="NormalHanging12a"/>
      </w:pPr>
      <w:r w:rsidRPr="00E111D7">
        <w:t>36.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przyjmuje podjętą na COP28 decyzję o ustanowieniu funduszu strat i szkód w celu zaradzenia gospodarczym i pozagospodarczym skutkom zmiany klimatu dla szczególnie podatnych na zagrożenia krajów rozwijających się oraz do reagowania na te straty i szkody; docenia postępy osiągnięte w odniesieniu do operacjonalizacji funduszu od czasu COP28, w tym przez przyjęcie oferty rządu Filipin dotyczącej pełnienia roli gospodarza funduszu; podkreśla potrzebę, aby fundusz otrzymywał finansowanie z różnych źródeł w sposób skoordynowany, w tym z nowych i innowacyjnych źródeł; jest głęboko przekonany, że fundusz strat i szkód powinien priorytetowo traktować dotacje oraz stanowić dodatek do oficjalnej pomocy humanitarnej i </w:t>
      </w:r>
      <w:proofErr w:type="gramStart"/>
      <w:r w:rsidRPr="00E111D7">
        <w:t>różnić</w:t>
      </w:r>
      <w:proofErr w:type="gramEnd"/>
      <w:r w:rsidRPr="00E111D7">
        <w:t xml:space="preserve"> się od tej pomocy;</w:t>
      </w:r>
    </w:p>
    <w:p w:rsidR="00D16727" w:rsidRPr="00E111D7" w:rsidRDefault="00D16727" w:rsidP="00D16727">
      <w:pPr>
        <w:pStyle w:val="NormalHanging12a"/>
      </w:pPr>
      <w:r w:rsidRPr="00E111D7">
        <w:t>37.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radę funduszu strat i szkód do uzgodnienia wszystkich niezbędnych warunków, tak aby fundusz mógł zapewnić finansowanie poszkodowanym społecznościom, jeśli nie w 2024 r., to przynajmniej na początku 2025 r.; wzywa do przygotowania kapitału początkowego, a także długoterminowej strategii pozyskiwania i uzupełniania funduszy przez COP29; apeluje, aby przedstawiciele dotkniętych społeczności lokalnych mogli wnieść wkład w opracowanie funduszu, oraz apeluje, aby fundusz zapewniał wsparcie społecznościom lokalnym w szybki i ukierunkowany sposób;</w:t>
      </w:r>
    </w:p>
    <w:p w:rsidR="00D16727" w:rsidRPr="00E111D7" w:rsidRDefault="00D16727" w:rsidP="00D16727">
      <w:pPr>
        <w:pStyle w:val="NormalHanging12a"/>
      </w:pPr>
      <w:r w:rsidRPr="00E111D7">
        <w:t>38.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wszystkich głównych emitentów do wniesienia sprawiedliwego wkładu do funduszu, aby zapewnić sprawiedliwość klimatyczną na świecie; z zadowoleniem przyjmuje zobowiązania UE i jej państw członkowskich do początkowej kapitalizacji funduszu w wysokości ponad 400 mln EUR, co pokrywa ponad połowę wstępnych łącznych zobowiązań finansowych;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lastRenderedPageBreak/>
        <w:t>39.</w:t>
      </w:r>
      <w:r w:rsidRPr="00E111D7">
        <w:tab/>
      </w:r>
      <w:proofErr w:type="gramStart"/>
      <w:r w:rsidRPr="00E111D7">
        <w:t>ponawia</w:t>
      </w:r>
      <w:proofErr w:type="gramEnd"/>
      <w:r w:rsidRPr="00E111D7">
        <w:t xml:space="preserve"> apel o to, by problematyka strat i szkód stanowiła stały punkt porządku obrad COP, z myślą o monitorowaniu tej kwestii i osiąganiu w niej postępów, oraz o pełne wykorzystanie sieci z Santiago w celu skutecznego uruchomienia pomocy technicznej i odpowiedniego zajęcia się kwestią strat i szkód;</w:t>
      </w:r>
    </w:p>
    <w:p w:rsidR="00D16727" w:rsidRPr="00E111D7" w:rsidRDefault="00D16727" w:rsidP="00D16727">
      <w:pPr>
        <w:pStyle w:val="NormalHanging12a"/>
      </w:pPr>
      <w:r w:rsidRPr="00E111D7">
        <w:t>40.</w:t>
      </w:r>
      <w:r w:rsidRPr="00E111D7">
        <w:tab/>
      </w:r>
      <w:proofErr w:type="gramStart"/>
      <w:r w:rsidRPr="00E111D7">
        <w:t>apeluje</w:t>
      </w:r>
      <w:proofErr w:type="gramEnd"/>
      <w:r w:rsidRPr="00E111D7">
        <w:t xml:space="preserve"> do wszystkich stron o ocenę i ilościowe określenie swojej podatności na straty i szkody oraz określenie swoich potrzeb, aby zareagować na najpoważniejsze skutki zmiany klimatu w następnej rundzie wkładów ustalonych na poziomie krajowym; wzywa wszystkie strony do ustanowienia i wdrożenia zasad dotyczących przejrzystości wydatków w ramach likwidacji strat i szkód, aby zapewnić wpływ i skuteczność pomocy finansowej;</w:t>
      </w:r>
    </w:p>
    <w:p w:rsidR="00D16727" w:rsidRPr="00E111D7" w:rsidRDefault="00D16727" w:rsidP="00D16727">
      <w:pPr>
        <w:pStyle w:val="NormalHanging12a"/>
        <w:rPr>
          <w:b/>
          <w:i/>
          <w:szCs w:val="24"/>
        </w:rPr>
      </w:pPr>
      <w:r w:rsidRPr="00E111D7">
        <w:rPr>
          <w:b/>
          <w:i/>
        </w:rPr>
        <w:t>Udział zainteresowanych stron w COP29</w:t>
      </w:r>
    </w:p>
    <w:p w:rsidR="00D16727" w:rsidRPr="00E111D7" w:rsidRDefault="00D16727" w:rsidP="00D16727">
      <w:pPr>
        <w:pStyle w:val="NormalHanging12a"/>
      </w:pPr>
      <w:r w:rsidRPr="00E111D7">
        <w:t>41.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, że ważne jest pełne zaangażowanie wszystkich stron w procesy decyzyjne w ramach UNFCCC; wzywa prezydencję COP29 i przyszłe prezydencje, aby w większym stopniu umożliwiły udział krajów rozwijających się i delegatów z krajów najsłabiej rozwiniętych oraz aby przeznaczyły na to dodatkowe środki; zachęca strony do włączenia młodych ludzi do swoich delegacji, aby przyszłe pokolenia mogły aktywnie uczestniczyć w kształtowaniu decyzji dotyczących ich przyszłości; wzywa do częstszego korzystania z wirtualnych platform na COP w celu zwiększenia globalnej </w:t>
      </w:r>
      <w:proofErr w:type="spellStart"/>
      <w:r w:rsidRPr="00E111D7">
        <w:t>inkluzywności</w:t>
      </w:r>
      <w:proofErr w:type="spellEnd"/>
      <w:r w:rsidRPr="00E111D7">
        <w:t xml:space="preserve"> i udziału delegatów i delegatek oraz przedstawicieli i przedstawicielek społeczeństwa obywatelskiego;</w:t>
      </w:r>
    </w:p>
    <w:p w:rsidR="00D16727" w:rsidRPr="00E111D7" w:rsidRDefault="00D16727" w:rsidP="00D16727">
      <w:pPr>
        <w:pStyle w:val="NormalHanging12a"/>
      </w:pPr>
      <w:r w:rsidRPr="00E111D7">
        <w:t>42.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celów klimatycznych nie można osiągnąć bez wsparcia i zaangażowania społeczeństwa; wzywa wszystkie strony do podnoszenia świadomości i zrozumienia przez społeczeństwo kwestii zmiany klimatu i spraw z nią związanych, do zwalczania zarówno informacji wprowadzających w błąd, jak i dezinformacji, oraz do współpracy z przedstawicielami społeczeństwa w celu uzyskania poparcia społecznego dla środków łagodzących i przystosowawczych;</w:t>
      </w:r>
    </w:p>
    <w:p w:rsidR="00D16727" w:rsidRPr="00E111D7" w:rsidRDefault="00D16727" w:rsidP="00D16727">
      <w:pPr>
        <w:pStyle w:val="NormalHanging12a"/>
      </w:pPr>
      <w:r w:rsidRPr="00E111D7">
        <w:t>43.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 swoją rezolucję z 25 kwietnia 2024 r. w sprawie Azerbejdżanu; wyraża głębokie zaniepokojenie sytuacją w zakresie praw człowieka w tym kraju; wzywa Azerbejdżan do poszanowania praw oraz do natychmiastowego i bezwarunkowego uwolnienia wszystkich więźniów politycznych, obrońców praw człowieka i dziennikarzy; nalega także, aby było to warunkiem zawierania umów o partnerstwie obok poprawy ogólnej sytuacji w zakresie praw człowieka w tym kraju; uważa, że naruszeń praw człowieka, do jakich dochodzi w Azerbejdżanie, nie da się pogodzić z rolą tego kraju jako gospodarza konferencji COP29; wzywa UE, by wykorzystały COP29 jako okazję dla społeczności międzynarodowej do przypomnienia Azerbejdżanowi o jego międzynarodowych zobowiązaniach oraz </w:t>
      </w:r>
      <w:proofErr w:type="gramStart"/>
      <w:r w:rsidRPr="00E111D7">
        <w:t>do</w:t>
      </w:r>
      <w:proofErr w:type="gramEnd"/>
      <w:r w:rsidRPr="00E111D7">
        <w:t xml:space="preserve"> potępienia i konkretnego omówienia naruszeń praw człowieka w tym kraju we wszystkich kontaktach z władzami Azerbejdżanu w Baku podczas COP29;</w:t>
      </w:r>
    </w:p>
    <w:p w:rsidR="00D16727" w:rsidRPr="00E111D7" w:rsidRDefault="00D16727" w:rsidP="00D16727">
      <w:pPr>
        <w:pStyle w:val="NormalHanging12a"/>
      </w:pPr>
      <w:r w:rsidRPr="00E111D7">
        <w:t>44.</w:t>
      </w:r>
      <w:r w:rsidRPr="00E111D7">
        <w:tab/>
      </w:r>
      <w:proofErr w:type="gramStart"/>
      <w:r w:rsidRPr="00E111D7">
        <w:t>domaga</w:t>
      </w:r>
      <w:proofErr w:type="gramEnd"/>
      <w:r w:rsidRPr="00E111D7">
        <w:t xml:space="preserve"> się, aby organizatorzy dopilnowali, aby prawa człowieka, podstawowe wolności, pełne i nieograniczone uczestnictwo obywateli i organizacji społeczeństwa obywatelskiego oraz równy dostęp do tych i przyszłych konferencji COP były w pełni zapisane i zagwarantowane w porozumieniu z państwem przyjmującym, a także podane do wiadomości publicznej jak najszybciej po podpisaniu; wzywa sekretariat UNFCCC do monitorowania, czy kryteria dotyczące praw człowieka są przestrzegane, i podejmowania działań w przypadku ich naruszenia, w tym poprzez przeniesienie </w:t>
      </w:r>
      <w:r w:rsidRPr="00E111D7">
        <w:lastRenderedPageBreak/>
        <w:t>konferencji w inne miejsce;</w:t>
      </w:r>
    </w:p>
    <w:p w:rsidR="00D16727" w:rsidRPr="00E111D7" w:rsidRDefault="00D16727" w:rsidP="00D16727">
      <w:pPr>
        <w:pStyle w:val="NormalHanging12a"/>
        <w:rPr>
          <w:b/>
          <w:i/>
        </w:rPr>
      </w:pPr>
      <w:r w:rsidRPr="00E111D7">
        <w:rPr>
          <w:b/>
          <w:i/>
        </w:rPr>
        <w:t>Konflikt interesów, przejrzystość i uczciwość</w:t>
      </w:r>
    </w:p>
    <w:p w:rsidR="00D16727" w:rsidRPr="00E111D7" w:rsidRDefault="00D16727" w:rsidP="00D16727">
      <w:pPr>
        <w:pStyle w:val="NormalHanging12a"/>
      </w:pPr>
      <w:r w:rsidRPr="00E111D7">
        <w:t>45.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przyjmuje przygotowanie pierwszych dwuletnich sprawozdań na temat przejrzystości w ramach porozumienia paryskiego; podkreśla znaczenie szczegółowej i przejrzystej sprawozdawczości dla oceny postępów we wdrażaniu wkładów ustalonych na poziomie krajowym; odnotowuje uruchomienie globalnej platformy na rzecz przejrzystości klimatycznej w Baku;</w:t>
      </w:r>
    </w:p>
    <w:p w:rsidR="00D16727" w:rsidRPr="00E111D7" w:rsidRDefault="00D16727" w:rsidP="00D16727">
      <w:pPr>
        <w:pStyle w:val="NormalHanging12a"/>
      </w:pPr>
      <w:r w:rsidRPr="00E111D7">
        <w:t>46.</w:t>
      </w:r>
      <w:r w:rsidRPr="00E111D7">
        <w:tab/>
      </w:r>
      <w:proofErr w:type="gramStart"/>
      <w:r w:rsidRPr="00E111D7">
        <w:t>wyraża</w:t>
      </w:r>
      <w:proofErr w:type="gramEnd"/>
      <w:r w:rsidRPr="00E111D7">
        <w:t xml:space="preserve"> zaniepokojenie faktem, że akredytowanymi uczestnikami konferencji COP28 było ponad 2400 lobbystów z branży paliw kopalnych; wzywa UNFCCC i strony do ochrony procesu decyzyjnego ramowej konwencji ONZ w sprawie zmian klimatu przed interesami sprzecznymi z celem porozumienia paryskiego; wzywa UNFCCC do przyjęcia roli lidera i zaproponowania ambitnych ram rozliczalności, które chroniłyby prace UNFCCC przed nadmiernym wpływem podmiotów korporacyjnych o udowodnionych interesach, w oparciu o model zawarty w ramowej konwencji WHO o ograniczeniu użycia tytoniu w odniesieniu do przemysłu tytoniowego;</w:t>
      </w:r>
    </w:p>
    <w:p w:rsidR="00D16727" w:rsidRPr="00E111D7" w:rsidRDefault="00D16727" w:rsidP="00D16727">
      <w:pPr>
        <w:pStyle w:val="NormalHanging12a"/>
      </w:pPr>
      <w:r w:rsidRPr="00E111D7">
        <w:t>47.</w:t>
      </w:r>
      <w:r w:rsidRPr="00E111D7">
        <w:tab/>
      </w:r>
      <w:proofErr w:type="gramStart"/>
      <w:r w:rsidRPr="00E111D7">
        <w:t>wyraża</w:t>
      </w:r>
      <w:proofErr w:type="gramEnd"/>
      <w:r w:rsidRPr="00E111D7">
        <w:t xml:space="preserve"> głębokie zaniepokojenie faktem, ze przewodniczącym COP29 został Muchtar </w:t>
      </w:r>
      <w:proofErr w:type="spellStart"/>
      <w:r w:rsidRPr="00E111D7">
        <w:t>Babajew</w:t>
      </w:r>
      <w:proofErr w:type="spellEnd"/>
      <w:r w:rsidRPr="00E111D7">
        <w:t>, minister ekologii i zasobów naturalnych Azerbejdżanu, który przed objęciem stanowiska ministra przez 26 lat pracował dla państwowej spółki naftowej Republiki Azerbejdżanu (</w:t>
      </w:r>
      <w:proofErr w:type="spellStart"/>
      <w:r w:rsidRPr="00E111D7">
        <w:t>Socar</w:t>
      </w:r>
      <w:proofErr w:type="spellEnd"/>
      <w:r w:rsidRPr="00E111D7">
        <w:t xml:space="preserve">); wyraża głębokie zaniepokojenie niedawną deklaracją prezydenta Azerbejdżanu </w:t>
      </w:r>
      <w:proofErr w:type="spellStart"/>
      <w:r w:rsidRPr="00E111D7">
        <w:t>Ilhama</w:t>
      </w:r>
      <w:proofErr w:type="spellEnd"/>
      <w:r w:rsidRPr="00E111D7">
        <w:t xml:space="preserve"> </w:t>
      </w:r>
      <w:proofErr w:type="spellStart"/>
      <w:r w:rsidRPr="00E111D7">
        <w:t>Alijewa</w:t>
      </w:r>
      <w:proofErr w:type="spellEnd"/>
      <w:r w:rsidRPr="00E111D7">
        <w:t>, że będzie bronił interesów krajów bogatych w paliwa kopalne, aby umożliwić im dalsze inwestycje i produkcję; uważa, że stanowi to poważne ryzyko konfliktu interesów; wzywa Komisję i państwa członkowskie do podjęcia wszelkich niezbędnych działań w celu zapewnienia, aby nadchodzące prezydencje COP były wolne od konfliktów interesów;</w:t>
      </w:r>
    </w:p>
    <w:p w:rsidR="00D16727" w:rsidRPr="00E111D7" w:rsidRDefault="00D16727" w:rsidP="00D16727">
      <w:pPr>
        <w:pStyle w:val="NormalHanging12a"/>
        <w:rPr>
          <w:b/>
          <w:bCs/>
          <w:i/>
          <w:iCs/>
        </w:rPr>
      </w:pPr>
      <w:r w:rsidRPr="00E111D7">
        <w:rPr>
          <w:b/>
          <w:i/>
        </w:rPr>
        <w:t>Unijna polityka klimatyczna zgodna z porozumieniem paryskim</w:t>
      </w:r>
    </w:p>
    <w:p w:rsidR="00D16727" w:rsidRPr="00E111D7" w:rsidRDefault="00D16727" w:rsidP="00D16727">
      <w:pPr>
        <w:pStyle w:val="NormalHanging12a"/>
      </w:pPr>
      <w:r w:rsidRPr="00E111D7">
        <w:t>48.</w:t>
      </w:r>
      <w:r w:rsidRPr="00E111D7">
        <w:tab/>
      </w:r>
      <w:proofErr w:type="gramStart"/>
      <w:r w:rsidRPr="00E111D7">
        <w:t>przyjmuje</w:t>
      </w:r>
      <w:proofErr w:type="gramEnd"/>
      <w:r w:rsidRPr="00E111D7">
        <w:t xml:space="preserve"> do wiadomości zaktualizowany ustalony na poziomie krajowym wkład UE, który jest odpowiedzią Unii na zawarty w pakcie klimatycznym z Glasgow wniosek o przegląd i wzmocnienie ustalonych na poziomie krajowym wkładów stron na 2030 r.; podkreśla, że po pełnym wdrożeniu obecne prawodawstwo UE w dziedzinie klimatu powinno zmniejszyć do 2030 r. emisje netto gazów cieplarnianych w UE o około 57 % w porównaniu z 1990 r.; podkreśla w związku z tym, że w nadchodzących latach trzeba wdrożyć istniejące ramy prawne na 2030 r. w prosty, sprawiedliwy i racjonalny pod względem kosztów sposób, a jednocześnie dalej wspierać obywateli i sektory gospodarki w tej transformacji; podkreśla znaczenie stabilnych </w:t>
      </w:r>
      <w:proofErr w:type="gramStart"/>
      <w:r w:rsidRPr="00E111D7">
        <w:t>i</w:t>
      </w:r>
      <w:proofErr w:type="gramEnd"/>
      <w:r w:rsidRPr="00E111D7">
        <w:t xml:space="preserve"> przewidywalnych ram politycznych dla zapewnienia jasności inwestorom, przedsiębiorstwom i obywatelom; zauważa, że wszelkie dodatkowe wysiłki powyżej 55 % znacznie zmniejszyłyby łączne emisje w Unii do 2050 r.; dlatego zdecydowanie wzywa państwa członkowskie oraz sektor prywatny do podjęcia wszelkich niezbędnych działań, aby zapewnić osiągnięcie tego celu; w związku z tym wyraża zaniepokojenie luką w poziomie ambicji w obecnych krajowych planach w dziedzinie energii i klimatu przedłożonych przez państwa członkowskie i wzywa wszystkie państwa członkowskie do zintensyfikowania działań w dziedzinie klimatu; wzywa w tym względzie państwa członkowskie i Komisję do dopilnowania, by krajowe plany w dziedzinie energii i klimatu oraz długoterminowe strategie państw członkowskich </w:t>
      </w:r>
      <w:proofErr w:type="gramStart"/>
      <w:r w:rsidRPr="00E111D7">
        <w:t>obejmowały</w:t>
      </w:r>
      <w:proofErr w:type="gramEnd"/>
      <w:r w:rsidRPr="00E111D7">
        <w:t xml:space="preserve"> wystarczające działania i środki finansowe, aby osiągnąć cele UE na 2030 r. oraz cele długoterminowe;</w:t>
      </w:r>
    </w:p>
    <w:p w:rsidR="00D16727" w:rsidRPr="00E111D7" w:rsidRDefault="00D16727" w:rsidP="00D16727">
      <w:pPr>
        <w:pStyle w:val="NormalHanging12a"/>
      </w:pPr>
      <w:r w:rsidRPr="00E111D7">
        <w:lastRenderedPageBreak/>
        <w:t>49.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na etapie przygotowawczym do COP30 warto zaproponować ustalone na poziomie krajowym wkłady na 2035 r., zgodnie ze wspólnymi pięcioletnimi ramami czasowymi UNFCCC i z terminem przedkładania tych wkładów określonym w porozumieniu paryskim; wzywa Komisję, aby w odpowiednim czasie i w oparciu o odpowiednią ocenę zaproponowała ustalony na poziomie krajowym wkład na 2035 r., aby zdecydowanie utrzymać scenariusz emisji UE do 2040 r. i osiągnąć neutralność emisyjną w 2050 r.;</w:t>
      </w:r>
    </w:p>
    <w:p w:rsidR="00D16727" w:rsidRPr="00E111D7" w:rsidRDefault="00D16727" w:rsidP="00D16727">
      <w:pPr>
        <w:pStyle w:val="NormalHanging12a"/>
      </w:pPr>
      <w:r w:rsidRPr="00E111D7">
        <w:t>50.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trzeba przyjąć oparty na podstawach naukowych cel klimatyczny UE na 2040 r. zgodnie z Europejskim prawem o klimacie i z wnioskami z pierwszego globalnego przeglądu, oraz przypomina o zaleceniach Europejskiego Naukowego Komitetu Doradczego ds. Zmiany Klimatu; z zadowoleniem przyjmuje zobowiązanie się Komisji do zaproponowania celu klimatycznego na 2040 r. wraz ze wspomagającymi strategiami politycznymi;</w:t>
      </w:r>
    </w:p>
    <w:p w:rsidR="00D16727" w:rsidRPr="00E111D7" w:rsidRDefault="00D16727" w:rsidP="00D16727">
      <w:pPr>
        <w:pStyle w:val="NormalHanging12a"/>
      </w:pPr>
      <w:r w:rsidRPr="00E111D7">
        <w:t>51.</w:t>
      </w:r>
      <w:r w:rsidRPr="00E111D7">
        <w:tab/>
      </w:r>
      <w:proofErr w:type="gramStart"/>
      <w:r w:rsidRPr="00E111D7">
        <w:t>uważa</w:t>
      </w:r>
      <w:proofErr w:type="gramEnd"/>
      <w:r w:rsidRPr="00E111D7">
        <w:t>, że UE powinna pozostać liderem w międzynarodowych negocjacjach w sprawie klimatu, i wzywa UE do zintensyfikowania zielonej dyplomacji, aby zachęcić inne strony do nasilenia działań w dziedzinie klimatu na rzecz osiągnięcia celów porozumienia paryskiego; pomoże to również stworzyć równe warunki działania na szczeblu międzynarodowym, uniknąć ucieczki emisji i zwiększyć poparcie publiczne dla działań w dziedzinie klimatu;</w:t>
      </w:r>
    </w:p>
    <w:p w:rsidR="00D16727" w:rsidRPr="00E111D7" w:rsidRDefault="00D16727" w:rsidP="00D16727">
      <w:pPr>
        <w:pStyle w:val="NormalHanging12a"/>
      </w:pPr>
      <w:r w:rsidRPr="00E111D7">
        <w:t>52.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>, że cele klimatyczne muszą być uwzględniane we wszystkich strategiach politycznych i środkach transpozycji polityki UE, oraz podkreśla, że art. 6 ust. 4 Europejskiego prawa o klimacie zobowiązuje Komisję do oceny spójności każdego proponowanego środka lub wniosku ustawodawczego, w tym wniosków budżetowych, z celami klimatycznymi UE; wzywa Komisję do pełnego wdrożenia tego przepisu w taki sposób, w jaki przeprowadza oceny skutków we wszystkich obszarach polityki UE;</w:t>
      </w:r>
    </w:p>
    <w:p w:rsidR="00D16727" w:rsidRPr="00E111D7" w:rsidRDefault="00D16727" w:rsidP="00D16727">
      <w:pPr>
        <w:pStyle w:val="NormalHanging12a"/>
      </w:pPr>
      <w:r w:rsidRPr="00E111D7">
        <w:t>53.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 o zasadzie spójności polityki na rzecz rozwoju, której UE i jej państwa członkowskie zobowiązały się przestrzegać i która ma na celu zminimalizowanie sprzeczności i stworzenie synergii między różnymi strategiami politycznymi UE; domaga się spójnego podejścia do wdrażania porozumienia paryskiego i Agendy ONZ na rzecz zrównoważonego rozwoju 2030, zarówno w polityce wewnętrznej, jak i zewnętrznej;</w:t>
      </w:r>
    </w:p>
    <w:p w:rsidR="00D16727" w:rsidRPr="00E111D7" w:rsidRDefault="00D16727" w:rsidP="00D16727">
      <w:pPr>
        <w:pStyle w:val="NormalHanging12a"/>
      </w:pPr>
      <w:r w:rsidRPr="00E111D7">
        <w:t>54.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obecna sytuacja geopolityczna jeszcze bardziej uwydatnia pilną potrzebę uniezależnienia się UE od paliw kopalnych i odejścia od gospodarki opartej na paliwach kopalnych oraz zwiększenia wykorzystania odnawialnych i niskoemisyjnych źródeł energii; podkreśla, że UE musi unikać uzależnienia od energii z państw trzecich; z zadowoleniem przyjmuje postępy poczynione w obu tych aspektach od czasu uruchomienia </w:t>
      </w:r>
      <w:proofErr w:type="spellStart"/>
      <w:r w:rsidRPr="00E111D7">
        <w:t>RePower</w:t>
      </w:r>
      <w:proofErr w:type="spellEnd"/>
      <w:r w:rsidRPr="00E111D7">
        <w:t xml:space="preserve"> EU; apeluje do UE i jej państw członkowskich o przyspieszenie tej transformacji; podkreśla, że będzie to wymagało wyznaczenia ambitniejszych celów w zakresie energii ze źródeł odnawialnych i efektywności energetycznej na okres po 2030 r.; wzywa Komisję, by zgodnie z zaleceniem unijnego Naukowego Komitetu Doradczego ds. Zmiany Klimatu zapewniła spójność polityki UE z potrzebą odejścia od gospodarki opartej na paliwach kopalnych, unikając aktywów osieroconych i uzależnienia od węgla;</w:t>
      </w:r>
    </w:p>
    <w:p w:rsidR="00D16727" w:rsidRPr="00E111D7" w:rsidRDefault="00D16727" w:rsidP="00D16727">
      <w:pPr>
        <w:pStyle w:val="NormalHanging12a"/>
      </w:pPr>
      <w:r w:rsidRPr="00E111D7">
        <w:t>55.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, że 24 kwietnia 2024 r. wyraził zgodę na decyzję Rady w sprawie zatwierdzenia wystąpienia Europejskiej Wspólnoty Energii Atomowej z Traktatu karty </w:t>
      </w:r>
      <w:r w:rsidRPr="00E111D7">
        <w:lastRenderedPageBreak/>
        <w:t>energetycznej</w:t>
      </w:r>
      <w:r w:rsidRPr="00E111D7">
        <w:rPr>
          <w:rStyle w:val="FootnoteReference"/>
        </w:rPr>
        <w:footnoteReference w:id="24"/>
      </w:r>
      <w:r w:rsidRPr="00E111D7">
        <w:t>;</w:t>
      </w:r>
    </w:p>
    <w:p w:rsidR="00D16727" w:rsidRPr="00E111D7" w:rsidRDefault="00D16727" w:rsidP="00D16727">
      <w:pPr>
        <w:pStyle w:val="NormalHanging12a"/>
        <w:rPr>
          <w:b/>
          <w:i/>
        </w:rPr>
      </w:pPr>
      <w:r w:rsidRPr="00E111D7">
        <w:rPr>
          <w:b/>
          <w:i/>
        </w:rPr>
        <w:t>Potrójny kryzys planetarny – zmiana klimatu, zanieczyszczenie i utrata różnorodności biologicznej</w:t>
      </w:r>
    </w:p>
    <w:p w:rsidR="00D16727" w:rsidRPr="00E111D7" w:rsidRDefault="00D16727" w:rsidP="00D16727">
      <w:pPr>
        <w:pStyle w:val="NormalHanging12a"/>
      </w:pPr>
      <w:r w:rsidRPr="00E111D7">
        <w:t>56.</w:t>
      </w:r>
      <w:r w:rsidRPr="00E111D7">
        <w:tab/>
      </w:r>
      <w:proofErr w:type="gramStart"/>
      <w:r w:rsidRPr="00E111D7">
        <w:t>zaznacza</w:t>
      </w:r>
      <w:proofErr w:type="gramEnd"/>
      <w:r w:rsidRPr="00E111D7">
        <w:t>, że kryzysy związane ze zmianą klimatu, zanieczyszczeniem i utratą różnorodności biologicznej są ze sobą powiązane oraz że reakcje na nie muszą być spójne; zwraca uwagę na ich poważne konsekwencje, takie jak pustynnienie, niedobór wody, degradacja oceanów i susze; podkreśla znaczenie ochrony, zachowania i przywrócenia różnorodności biologicznej i ekosystemów oraz zrównoważonego zarządzania zasobami naturalnymi, aby usprawnić łagodzenie zmiany klimatu i przystosowanie się do niej w oparciu o zasoby przyrody oraz aby zapobiec ekstremalnym zjawiskom pogodowym i wzmacniać odporność;</w:t>
      </w:r>
    </w:p>
    <w:p w:rsidR="00D16727" w:rsidRPr="00E111D7" w:rsidRDefault="00D16727" w:rsidP="00D16727">
      <w:pPr>
        <w:pStyle w:val="NormalHanging12a"/>
      </w:pPr>
      <w:r w:rsidRPr="00E111D7">
        <w:t>57.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potrzebę zwiększenia inwestycji i efektywniejszego inwestowania w innowacyjne rozwiązania oparte na zasobach przyrody, takie jak zalesianie, ponowne zalesianie i naturalne tereny absorbujące wodę, odtwarzanie terenów podmokłych i regeneracyjne praktyki rolnicze, aby wzmocnić przystosowanie się do zmiany klimatu, a w szczególności ograniczyć powodzie i susze; zaznacza, że takie podejścia powinny w miarę możliwości mieć pozytywny wpływ na różnorodność biologiczną oraz powinny ograniczać emisje dwutlenku węgla z gleb i skutki poza miejscem powstania dla zbiorników wodnych, a także zmniejszać zagęszczenie gleby i ułatwiać dostosowanie lasów do zmiany klimatu; odnotowuje w tym względzie rolę wniosków Komisji w sprawie gospodarki leśnej i monitorowania </w:t>
      </w:r>
      <w:proofErr w:type="gramStart"/>
      <w:r w:rsidRPr="00E111D7">
        <w:t>lasów</w:t>
      </w:r>
      <w:proofErr w:type="gramEnd"/>
      <w:r w:rsidRPr="00E111D7">
        <w:t>; wyraża zaniepokojenie znaczną rozbieżnością między celem zwiększenia pochłaniania dwutlenku węgla do 2030 r. określonym w rozporządzeniu w sprawie użytkowania gruntów, zmiany użytkowania gruntów i leśnictwa</w:t>
      </w:r>
      <w:r w:rsidRPr="00E111D7">
        <w:rPr>
          <w:rStyle w:val="FootnoteReference"/>
        </w:rPr>
        <w:footnoteReference w:id="25"/>
      </w:r>
      <w:r w:rsidRPr="00E111D7">
        <w:t xml:space="preserve"> a środkami służącymi osiągnięciu celów zawartych w krajowych planach w dziedzinie energii i klimatu; wzywa państwa członkowskie do zwiększenia swoich ambicji;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58.</w:t>
      </w:r>
      <w:r w:rsidRPr="00E111D7">
        <w:tab/>
      </w:r>
      <w:proofErr w:type="gramStart"/>
      <w:r w:rsidRPr="00E111D7">
        <w:t>uznaje</w:t>
      </w:r>
      <w:proofErr w:type="gramEnd"/>
      <w:r w:rsidRPr="00E111D7">
        <w:t>, że zdrowe ekosystemy i bogata różnorodność biologiczna mają podstawowe znaczenie dla życia, i podkreśla, że zmiana klimatu jest jednym z bezpośrednich czynników powodujących utratę różnorodności biologicznej; wskazuje, jak zmiana klimatu przekształciła już ekosystemy lądowe, słodkowodne i morskie na całym świecie, powodując utratę gatunków i ograniczenie kluczowych usług ekosystemowych;</w:t>
      </w:r>
    </w:p>
    <w:p w:rsidR="00D16727" w:rsidRPr="00E111D7" w:rsidRDefault="00D16727" w:rsidP="00D16727">
      <w:pPr>
        <w:pStyle w:val="NormalHanging12a"/>
      </w:pPr>
      <w:r w:rsidRPr="00E111D7">
        <w:t>59.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ochrona i odbudowa ekosystemów o wysokiej zawartości węgla, takich jak torfowiska, tereny podmokłe, lasy (w tym lasy pierwotne), tradycyjne systemy rolno-leśne, tereny wypasu i ekosystemy niebieskiego węgla (jak bagna słone, trawy morskie i namorzyny), a także gatunki, które umożliwiają funkcjonowanie tych ekosystemów, oferują szereg korzyści pod względem łagodzenia zmiany klimatu i </w:t>
      </w:r>
      <w:r w:rsidRPr="00E111D7">
        <w:lastRenderedPageBreak/>
        <w:t xml:space="preserve">przystosowania się do niej; wzywa Komisję do sporządzenia map tych ekosystemów i opracowania metod dokładnego, solidnego i przejrzystego rozliczania pochłaniania dwutlenku węgla i emisji z tych ekosystemów w sposób, który nie podważa celów w zakresie różnorodności biologicznej, a także podkreśla, że należy zachować jakość obszarów chronionych; ostrzega, </w:t>
      </w:r>
      <w:proofErr w:type="gramStart"/>
      <w:r w:rsidRPr="00E111D7">
        <w:t>że</w:t>
      </w:r>
      <w:proofErr w:type="gramEnd"/>
      <w:r w:rsidRPr="00E111D7">
        <w:t xml:space="preserve"> sprzeczne inwestycje i zachęty, takie jak finansowanie osuszania terenów podmokłych, a następnie finansowanie rekultywacji tych samych obszarów, zmniejszają efektywność środków finansowych UE i powodują niepewność dla rolników i sektora rolnego;</w:t>
      </w:r>
    </w:p>
    <w:p w:rsidR="00D16727" w:rsidRPr="00E111D7" w:rsidRDefault="00D16727" w:rsidP="00D16727">
      <w:pPr>
        <w:pStyle w:val="NormalHanging12a"/>
      </w:pPr>
      <w:r w:rsidRPr="00E111D7">
        <w:t>60.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wszystkie strony, aby podejmując działania w celu przeciwdziałania zmianie klimatu, zobowiązały się do ochrony, poszanowania, promowania i wypełniania swoich zobowiązań w zakresie praw człowieka, w tym prawa do czystego, zdrowego i zrównoważonego środowiska, a także praw społeczności tubylczych określonych w Deklaracji Organizacji Narodów Zjednoczonych o prawach ludności rdzennej oraz praw społeczności lokalnych; podkreśla potrzebę wspierania i ochrony obrońców środowiska oraz pociągania do odpowiedzialności osób, które im zagrażają; podkreśla znaczenie równości płci i sprawiedliwości międzypokoleniowej w rozwiązywaniu kryzysu klimatycznego; wzywa wszystkie strony, by chroniły te wartości i zapewniły znaczący udział społeczeństwa, dostęp do informacji oraz swobodną, uprzednią i świadomą zgodę;</w:t>
      </w:r>
    </w:p>
    <w:p w:rsidR="00D16727" w:rsidRPr="00E111D7" w:rsidRDefault="00D16727" w:rsidP="00D16727">
      <w:pPr>
        <w:pStyle w:val="NormalHanging12a"/>
      </w:pPr>
      <w:r w:rsidRPr="00E111D7">
        <w:t>61.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wszystkie strony, by na COP29 poczyniły postępy na rzecz podejmowania decyzji zapewniających równowagę między filarem społecznym, środowiskowym i gospodarczym;</w:t>
      </w:r>
    </w:p>
    <w:p w:rsidR="00D16727" w:rsidRPr="00E111D7" w:rsidRDefault="00D16727" w:rsidP="00D16727">
      <w:pPr>
        <w:pStyle w:val="NormalHanging12a"/>
      </w:pPr>
      <w:r w:rsidRPr="00E111D7">
        <w:t>62.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znaczenie wdrożenia globalnych ram różnorodności biologicznej z Kunmingu/Montrealu, przyjętych w ramach Konwencji o różnorodności biologicznej; zwraca również uwagę, że trzeba zmaksymalizować zdolność przyrody do wspierania łagodzenia zmiany klimatu i przystosowywania się do niej, a także ograniczyć do minimum negatywny wpływ działań w dziedzinie klimatu na różnorodność biologiczną; przypomina, że ochrona wysoce różnorodnych biologicznie, nienaruszonych ekosystemów na lądach i w oceanach jest najbardziej opłacalnym działaniem opartym na przyrodzie, mającym na celu przeciwdziałanie zmianie klimatu; wzywa wszystkie strony do zwiększenia wysiłków na rzecz wypełnienia międzynarodowych zobowiązań dotyczących różnorodności biologicznej, przypominając o niepowodzeniu w realizacji celów z </w:t>
      </w:r>
      <w:proofErr w:type="spellStart"/>
      <w:r w:rsidRPr="00E111D7">
        <w:t>Aichi</w:t>
      </w:r>
      <w:proofErr w:type="spellEnd"/>
      <w:r w:rsidRPr="00E111D7">
        <w:t xml:space="preserve">; z zadowoleniem przyjmuje </w:t>
      </w:r>
      <w:proofErr w:type="gramStart"/>
      <w:r w:rsidRPr="00E111D7">
        <w:t>przedstawienie</w:t>
      </w:r>
      <w:proofErr w:type="gramEnd"/>
      <w:r w:rsidRPr="00E111D7">
        <w:t xml:space="preserve"> celów UE w kontekście tych ram różnorodności biologicznej;</w:t>
      </w:r>
    </w:p>
    <w:p w:rsidR="00D16727" w:rsidRPr="00E111D7" w:rsidRDefault="00D16727" w:rsidP="00D16727">
      <w:pPr>
        <w:pStyle w:val="NormalHanging12a"/>
      </w:pPr>
      <w:r w:rsidRPr="00E111D7">
        <w:t>63.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gleba jest największym lądowym pochłaniaczem dwutlenku węgla odgrywającym niezbędną rolę w globalnym cyklu klimatycznym; podkreśla transgraniczne skutki degradacji gleby; pochwala wszelkie wysiłki rządów i podmiotów pozarządowych na rzecz maksymalizacji potencjału gleb w łagodzeniu zmiany klimatu i poprawie dostępności wody; odnotowuje rolę wniosku UE dotyczącego dyrektywy w sprawie monitorowania i odporności gleb;</w:t>
      </w:r>
    </w:p>
    <w:p w:rsidR="00D16727" w:rsidRPr="00E111D7" w:rsidRDefault="00D16727" w:rsidP="00D16727">
      <w:pPr>
        <w:pStyle w:val="NormalHanging12a"/>
      </w:pPr>
      <w:r w:rsidRPr="00E111D7">
        <w:t>64.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zmiana klimatu potęguje niszczycielskie środowiskowe, społeczne, gospodarcze i rolnicze skutki pustynnienia, zanieczyszczenia wody, suszy, powodzi i pożarów lasów; podkreśla znaczenie ochrony, zachowania i przywracania zasobów wody i ekosystemów związanych z wodą jako istotnych elementów odporności na zmianę klimatu i ochrony różnorodności biologicznej; potwierdza, że potrzebujemy gospodarki wodnej, która pozwoli uniknąć niedoboru i zanieczyszczenia wody i w </w:t>
      </w:r>
      <w:r w:rsidRPr="00E111D7">
        <w:lastRenderedPageBreak/>
        <w:t xml:space="preserve">której obiegi wody i zasobów są w dużej mierze zamknięte, co pomoże wspierać gospodarkę o obiegu zamkniętym oraz optymalną </w:t>
      </w:r>
      <w:proofErr w:type="spellStart"/>
      <w:r w:rsidRPr="00E111D7">
        <w:t>zasobooszczędność</w:t>
      </w:r>
      <w:proofErr w:type="spellEnd"/>
      <w:r w:rsidRPr="00E111D7">
        <w:t xml:space="preserve"> i optymalne odzyskiwanie zasobów;</w:t>
      </w:r>
    </w:p>
    <w:p w:rsidR="00D16727" w:rsidRPr="00E111D7" w:rsidRDefault="00D16727" w:rsidP="00D16727">
      <w:pPr>
        <w:pStyle w:val="NormalHanging12a"/>
      </w:pPr>
      <w:r w:rsidRPr="00E111D7">
        <w:t>65.</w:t>
      </w:r>
      <w:r w:rsidRPr="00E111D7">
        <w:tab/>
      </w:r>
      <w:proofErr w:type="gramStart"/>
      <w:r w:rsidRPr="00E111D7">
        <w:t>cieszy</w:t>
      </w:r>
      <w:proofErr w:type="gramEnd"/>
      <w:r w:rsidRPr="00E111D7">
        <w:t xml:space="preserve"> się, że prezydencja COP29 zwróciła uwagę na wyzwania związane z wodą i zapewniła stronom w ramach tego wydarzenia globalną platformę współpracy i dostarczania rozwiązań dotyczących wody; z zadowoleniem przyjmuje uruchomienie pierwszej ogólnosystemowej strategii ONZ w zakresie wody i urządzeń sanitarnych jako kluczowego narzędzia zwiększania odporności społeczności na zmianę klimatu;</w:t>
      </w:r>
    </w:p>
    <w:p w:rsidR="00D16727" w:rsidRPr="00E111D7" w:rsidRDefault="00D16727" w:rsidP="00D16727">
      <w:pPr>
        <w:pStyle w:val="NormalHanging12a"/>
      </w:pPr>
      <w:r w:rsidRPr="00E111D7">
        <w:t>66.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do zacieśnienia współpracy międzynarodowej, w tym na poziomie dorzeczy, aby znaleźć rozwiązanie dla coraz poważniejszego kryzysu wodnego, zapewnić czystą wodę wysokiej jakości, promować zrównoważoną gospodarkę wodną i wdrażać rozwiązania oparte na zasobach przyrody; wzywa wszystkie strony do przyjęcia strategii gospodarki wodnej zgodnych z ich polityką klimatyczną, aby osiągnąć bezpieczeństwo wodne, zrównoważony rozwój gospodarki wodnej i odporność wodną, a jednocześnie zapewnić powszechny dostęp do wody i urządzeń sanitarnych, a także dopilnować, aby nikt nie został pominięty, i priorytetowo potraktować ochronę społeczności znajdujących się w trudnej sytuacji;</w:t>
      </w:r>
    </w:p>
    <w:p w:rsidR="00D16727" w:rsidRPr="00E111D7" w:rsidRDefault="00D16727" w:rsidP="00D16727">
      <w:pPr>
        <w:pStyle w:val="NormalHanging12a"/>
      </w:pPr>
      <w:r w:rsidRPr="00E111D7">
        <w:t>67.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przyjmuje ogłoszenie europejskiej strategii odporności wodnej i wzywa Komisję, aby szybko wdrożyła tę strategię w celu zapewnienia właściwego zarządzania źródłami wody i rozwiązania problemu niedoboru wody, a także zwiększenia przewagi naszego przemysłu wodnego i naszych technologii wodnych pod względem konkurencyjności i innowacyjności; wzywa UE, aby przewodziła wysiłkom na rzecz ochrony i odbudowy ekosystemów wodnych, zgodnie z ramową dyrektywą wodną, unijną strategią na rzecz bioróżnorodności i Europejskim Zielonym Ładem;</w:t>
      </w:r>
    </w:p>
    <w:p w:rsidR="00D16727" w:rsidRPr="00E111D7" w:rsidRDefault="00D16727" w:rsidP="00D16727">
      <w:pPr>
        <w:pStyle w:val="NormalHanging12a"/>
      </w:pPr>
      <w:r w:rsidRPr="00E111D7">
        <w:t>68.</w:t>
      </w:r>
      <w:r w:rsidRPr="00E111D7">
        <w:tab/>
      </w:r>
      <w:proofErr w:type="gramStart"/>
      <w:r w:rsidRPr="00E111D7">
        <w:t>uznaje</w:t>
      </w:r>
      <w:proofErr w:type="gramEnd"/>
      <w:r w:rsidRPr="00E111D7">
        <w:t xml:space="preserve"> uniwersalność wody jako zasobu dla wszystkich sektorów, w tym sektorów odpowiedzialnych za energię, bezpieczeństwo żywności i krytyczne usługi cyfrowe; uznaje rolę narzędzi cyfrowych we wszystkich działaniach łagodzących zmianę klimatu w ramach społeczeństwa odpornego na deficyt wody;</w:t>
      </w:r>
    </w:p>
    <w:p w:rsidR="00D16727" w:rsidRPr="00E111D7" w:rsidRDefault="00D16727" w:rsidP="00D16727">
      <w:pPr>
        <w:pStyle w:val="NormalHanging12a"/>
      </w:pPr>
      <w:r w:rsidRPr="00E111D7">
        <w:t>69.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państwa członkowskie i Komisję do zapewnienia skutecznej infrastruktury wodnej jako narzędzia przeciwdziałania zmianie klimatu i zwiększania odporności;</w:t>
      </w:r>
    </w:p>
    <w:p w:rsidR="00D16727" w:rsidRPr="00E111D7" w:rsidRDefault="00D16727" w:rsidP="00D16727">
      <w:pPr>
        <w:pStyle w:val="NormalHanging12a"/>
      </w:pPr>
      <w:r w:rsidRPr="00E111D7">
        <w:t>70.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przyjmuje przyjęcie traktatu ONZ o morzu pełnym (porozumienia dotyczącego różnorodności biologicznej na obszarach znajdujących się poza jurysdykcją krajową); wzywa strony do dalszego prowadzenia na forum ONZ dialogu na temat oceanów i zmiany klimatu; podkreśla, że mechanizmy klimatyczne zależą od zdrowia ekosystemów oceanicznych i morskich, na które obecnie wpływają globalne ocieplenie, zanieczyszczenia, nadmierne eksploatowanie różnorodności biologicznej mórz, zakwaszanie, odtlenianie i erozja obszarów przybrzeżnych; wzywa wszystkie strony do wzmocnienia odporności i ochrony oceanicznych pochłaniaczy dwutlenku węgla, w tym ochrony ekosystemów morskich, takich jak namorzyny, skupiska trawy morskiej i rafy koralowe; z zadowoleniem przyjmuje zobowiązanie się przewodniczącej Komisji Europejskiej Ursuli von </w:t>
      </w:r>
      <w:proofErr w:type="gramStart"/>
      <w:r w:rsidRPr="00E111D7">
        <w:t>der</w:t>
      </w:r>
      <w:proofErr w:type="gramEnd"/>
      <w:r w:rsidRPr="00E111D7">
        <w:t xml:space="preserve"> </w:t>
      </w:r>
      <w:proofErr w:type="spellStart"/>
      <w:r w:rsidRPr="00E111D7">
        <w:t>Leyen</w:t>
      </w:r>
      <w:proofErr w:type="spellEnd"/>
      <w:r w:rsidRPr="00E111D7">
        <w:t xml:space="preserve"> do przedstawienia europejskiego paktu na rzecz oceanów;</w:t>
      </w:r>
    </w:p>
    <w:p w:rsidR="00D16727" w:rsidRPr="00E111D7" w:rsidRDefault="00D16727" w:rsidP="00D16727">
      <w:pPr>
        <w:pStyle w:val="NormalHanging12a"/>
      </w:pPr>
      <w:r w:rsidRPr="00E111D7">
        <w:t>71.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wszystkie sektory muszą przyczyniać się do redukcji emisji;</w:t>
      </w:r>
    </w:p>
    <w:p w:rsidR="00D16727" w:rsidRPr="00E111D7" w:rsidRDefault="00D16727" w:rsidP="00D16727">
      <w:pPr>
        <w:pStyle w:val="NormalHanging12a"/>
      </w:pPr>
      <w:r w:rsidRPr="00E111D7">
        <w:lastRenderedPageBreak/>
        <w:t>72.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pilną potrzebę walki z zanieczyszczeniem plastikiem na świecie, ponieważ stanowi ono poważne zagrożenie dla ekosystemów morskich, różnorodności biologicznej i zdrowia ludzkiego i szacuje się, że każdego roku do oceanów trafia 8 mln ton plastiku; zaznacza, jak ważne jest zwalczanie zanieczyszczenia </w:t>
      </w:r>
      <w:proofErr w:type="spellStart"/>
      <w:r w:rsidRPr="00E111D7">
        <w:t>mikrodrobinami</w:t>
      </w:r>
      <w:proofErr w:type="spellEnd"/>
      <w:r w:rsidRPr="00E111D7">
        <w:t xml:space="preserve"> plastiku, zwłaszcza w ekosystemach oceanicznych i słodkowodnych; z zadowoleniem przyjmuje trwające prace nad globalnym traktatem o zanieczyszczeniu plastikiem; wzywa UE do odgrywania wiodącej roli w opracowywaniu traktatu, który zapewni zrównoważony poziom produkcji plastiku, stopniowe wycofanie szkodliwego plastiku jednorazowego użytku, wspieranie innowacji w zakresie zrównoważonych alternatyw i promowanie zasad gospodarki o obiegu zamkniętym, a także promowanie rozszerzonej odpowiedzialności producenta, aby </w:t>
      </w:r>
      <w:proofErr w:type="gramStart"/>
      <w:r w:rsidRPr="00E111D7">
        <w:t>zapewnić</w:t>
      </w:r>
      <w:proofErr w:type="gramEnd"/>
      <w:r w:rsidRPr="00E111D7">
        <w:t xml:space="preserve"> uwzględnienie pełnego cyklu życia plastiku i priorytetowo traktować społeczności najbardziej dotknięte zanieczyszczeniem plastikiem; wzywa do wyznaczenia globalnego celu, jakim jest wyeliminowanie zanieczyszczenia środowiska plastikiem do 2040 r.;</w:t>
      </w:r>
    </w:p>
    <w:p w:rsidR="00D16727" w:rsidRPr="00E111D7" w:rsidRDefault="00D16727" w:rsidP="00D16727">
      <w:pPr>
        <w:pStyle w:val="NormalHanging12a"/>
      </w:pPr>
      <w:r w:rsidRPr="00E111D7">
        <w:t>73.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trzeba zwalczać skażenie chemiczne; wzywa do przyspieszenia działań w celu zrealizowania kompleksowego planu określonego w globalnych ramach dotyczących chemikaliów na rzecz planety wolnej od szkodliwych skutków chemikaliów i odpadów;</w:t>
      </w:r>
    </w:p>
    <w:p w:rsidR="00D16727" w:rsidRPr="00E111D7" w:rsidRDefault="00D16727" w:rsidP="00D16727">
      <w:pPr>
        <w:pStyle w:val="NormalHanging12a"/>
      </w:pPr>
      <w:r w:rsidRPr="00E111D7">
        <w:t>74.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trzeba chronić zdrowie i dobrostan osób i społeczności dotkniętych negatywnymi skutkami zmiany klimatu; podkreśla potrzebę zapewnienia przyszłym pokoleniom sprawiedliwego dostępu do zrównoważonego, odpornego i zdrowego środowiska;</w:t>
      </w:r>
    </w:p>
    <w:p w:rsidR="00D16727" w:rsidRPr="00E111D7" w:rsidRDefault="00D16727" w:rsidP="00D16727">
      <w:pPr>
        <w:pStyle w:val="NormalHanging12a"/>
      </w:pPr>
      <w:r w:rsidRPr="00E111D7">
        <w:t>75.</w:t>
      </w:r>
      <w:r w:rsidRPr="00E111D7">
        <w:tab/>
      </w:r>
      <w:proofErr w:type="gramStart"/>
      <w:r w:rsidRPr="00E111D7">
        <w:t>uważa</w:t>
      </w:r>
      <w:proofErr w:type="gramEnd"/>
      <w:r w:rsidRPr="00E111D7">
        <w:t>, że polityki środowiskowe powinny być opracowywane w pełnej zgodności z podejściem „Jedno zdrowie”; przypomina o znaczeniu obchodów Dnia Zdrowia podczas COP29 w celu wypracowania rozwiązań dla wspólnych wyzwań zdrowotnych;</w:t>
      </w:r>
    </w:p>
    <w:p w:rsidR="00D16727" w:rsidRPr="00E111D7" w:rsidRDefault="00D16727" w:rsidP="00D16727">
      <w:pPr>
        <w:pStyle w:val="NormalHanging12a"/>
      </w:pPr>
      <w:r w:rsidRPr="00E111D7">
        <w:t>76.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ścisły związek między zanieczyszczeniem powietrza a zmianą klimatu; z zadowoleniem przyjmuje międzynarodowe wysiłki na rzecz rozwiązania problemu zarówno zmiany klimatu, jak i jakości powietrza za pośrednictwem takich inicjatyw jak Konwencja w sprawie transgranicznego zanieczyszczania powietrza na dalekie odległości EKG ONZ oraz Koalicja na rzecz klimatu i czystego powietrza; wzywa wszystkie strony do zacieśnienia współpracy w tej kwestii i dostosowania polityki w zakresie jakości powietrza do działań w dziedzinie klimatu w celu ochrony zdrowia publicznego i środowiska na całym świecie;</w:t>
      </w:r>
    </w:p>
    <w:p w:rsidR="00D16727" w:rsidRPr="00E111D7" w:rsidRDefault="00D16727" w:rsidP="00D16727">
      <w:pPr>
        <w:pStyle w:val="NormalHanging12a"/>
      </w:pPr>
      <w:r w:rsidRPr="00E111D7">
        <w:t>77.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zmiana klimatu przyczyni się do zwiększenia oporności na środki przeciwdrobnoustrojowe; podkreśla w związku z tym potrzebę podjęcia pilnych działań zapobiegających oporności na środki przeciwdrobnoustrojowe i wzywa strony do przyjęcia globalnego porozumienia na rzecz ograniczenia stosowania środków przeciwdrobnoustrojowych i przeciwdziałania ryzyku oporności;</w:t>
      </w:r>
    </w:p>
    <w:p w:rsidR="00D16727" w:rsidRPr="00E111D7" w:rsidRDefault="00D16727" w:rsidP="00D16727">
      <w:pPr>
        <w:pStyle w:val="NormalHanging12a"/>
      </w:pPr>
      <w:r w:rsidRPr="00E111D7">
        <w:lastRenderedPageBreak/>
        <w:t>78.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>, że na świecie miasta są odpowiedzialne za 70 % światowych emisji CO</w:t>
      </w:r>
      <w:r w:rsidRPr="00E111D7">
        <w:rPr>
          <w:vertAlign w:val="subscript"/>
        </w:rPr>
        <w:t>2</w:t>
      </w:r>
      <w:r w:rsidRPr="00E111D7">
        <w:rPr>
          <w:vertAlign w:val="superscript"/>
        </w:rPr>
        <w:footnoteReference w:id="26"/>
      </w:r>
      <w:r w:rsidRPr="00E111D7">
        <w:t>; podkreśla, że władze lokalne i regionalne są kluczowymi podmiotami w działaniach w dziedzinie klimatu; podkreśla zatem, że trzeba im ułatwić dostęp do mechanizmów finansowania oraz zacieśnić współpracę z nimi w procesie przygotowywania, finansowania i wdrażania ustalonych na poziomie krajowym wkładów przed COP30, a także krajowych planów adaptacji, krajowych strategii i planów działania na rzecz różnorodności biologicznej oraz strategii długoterminowych;</w:t>
      </w:r>
    </w:p>
    <w:p w:rsidR="00D16727" w:rsidRPr="00E111D7" w:rsidRDefault="00D16727" w:rsidP="00D16727">
      <w:pPr>
        <w:pStyle w:val="NormalHanging12a"/>
        <w:rPr>
          <w:b/>
          <w:i/>
        </w:rPr>
      </w:pPr>
      <w:r w:rsidRPr="00E111D7">
        <w:rPr>
          <w:b/>
          <w:i/>
        </w:rPr>
        <w:t>Działania we wszystkich sektorach</w:t>
      </w:r>
    </w:p>
    <w:p w:rsidR="00D16727" w:rsidRPr="00E111D7" w:rsidRDefault="00D16727" w:rsidP="00D16727">
      <w:pPr>
        <w:pStyle w:val="NormalHanging12a"/>
      </w:pPr>
      <w:r w:rsidRPr="00E111D7">
        <w:t>79.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przyjmuje fakt, że jak dotąd 158 państw zostało sygnatariuszami globalnego zobowiązania dotyczącego metanu; wzywa sygnatariuszy globalnego zobowiązania dotyczącego metanu, by przyspieszyli działania na rzecz ograniczenia i powstrzymania emisji metanu do 2030 r. oraz by poprawili zarządzanie w zakresie metanu poprzez opracowanie nadrzędnych ram umożliwiających poczynienie postępów w realizacji wspólnego zobowiązania; wzywa w szczególności strony będące dużymi emitentami metanu, które nie przyjęły jeszcze tego zobowiązania, by zrobiły to jak najszybciej; apeluje o ilościową, opartą na podstawach naukowych ocenę postępów poczynionych od czasu przyjęcia tego zobowiązania na COP26;</w:t>
      </w:r>
    </w:p>
    <w:p w:rsidR="00D16727" w:rsidRPr="00E111D7" w:rsidRDefault="00D16727" w:rsidP="00D16727">
      <w:pPr>
        <w:pStyle w:val="NormalHanging12a"/>
      </w:pPr>
      <w:r w:rsidRPr="00E111D7">
        <w:t>80.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wszystkie strony do włączenia także szczególnych celów redukcji emisji metanu do swoich ustalonych na poziomie krajowym wkładów;</w:t>
      </w:r>
    </w:p>
    <w:p w:rsidR="00D16727" w:rsidRPr="00E111D7" w:rsidRDefault="00D16727" w:rsidP="00D16727">
      <w:pPr>
        <w:pStyle w:val="NormalHanging12a"/>
      </w:pPr>
      <w:r w:rsidRPr="00E111D7">
        <w:t>81.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 o rozporządzeniu UE w sprawie redukcji emisji metanu w sektorze energetycznym</w:t>
      </w:r>
      <w:r w:rsidRPr="00E111D7">
        <w:rPr>
          <w:rStyle w:val="FootnoteReference"/>
        </w:rPr>
        <w:footnoteReference w:id="27"/>
      </w:r>
      <w:r w:rsidRPr="00E111D7">
        <w:t>, które od 1 stycznia 2027 r. będzie miało zastosowanie również do unijnych importerów surowej ropy naftowej, gazu ziemnego i węgla; podkreśla potrzebę ograniczenia emisji metanu we wszystkich sektorach w UE;</w:t>
      </w:r>
    </w:p>
    <w:p w:rsidR="00D16727" w:rsidRPr="00E111D7" w:rsidRDefault="00D16727" w:rsidP="00D16727">
      <w:pPr>
        <w:pStyle w:val="NormalHanging12a"/>
      </w:pPr>
      <w:r w:rsidRPr="00E111D7">
        <w:t>82.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sektor transportu jest jedynym sektorem, w którym od 1990 r. emisje wzrosły na poziomie UE, i że nie jest to zgodne z celami klimatycznymi UE; podkreśla, że osiągnięcie celów klimatycznych UE będzie wymagało większej i szybszej redukcji emisji we wszystkich podsektorach transportu, w tym w podsektorze lotniczym i morskim; z zadowoleniem przyjmuje włączenie emisji z transportu morskiego do unijnego systemu handlu uprawnieniami do emisji (EU ETS); podkreśla, jak ważne jest wspieranie przesunięcia międzygałęziowego i transportu intermodalnego oraz zwiększenie atrakcyjności ekologicznych możliwości transportowych poprzez lepszą internalizację efektów zewnętrznych, przy czym należy również zapewnić dostępność odpowiednich alternatyw, przyjąć środki zarządzania popytem </w:t>
      </w:r>
      <w:proofErr w:type="gramStart"/>
      <w:r w:rsidRPr="00E111D7">
        <w:t>i</w:t>
      </w:r>
      <w:proofErr w:type="gramEnd"/>
      <w:r w:rsidRPr="00E111D7">
        <w:t xml:space="preserve"> określić wymogi dotyczące efektywności i obiegu zamkniętego;</w:t>
      </w:r>
    </w:p>
    <w:p w:rsidR="00D16727" w:rsidRPr="00E111D7" w:rsidRDefault="00D16727" w:rsidP="00D16727">
      <w:pPr>
        <w:pStyle w:val="NormalHanging12a"/>
      </w:pPr>
      <w:r w:rsidRPr="00E111D7">
        <w:t>83.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Komisję, by zapewniła sprawiedliwość społeczną środków dekarbonizacji </w:t>
      </w:r>
      <w:r w:rsidRPr="00E111D7">
        <w:lastRenderedPageBreak/>
        <w:t xml:space="preserve">transportu, w tym poprzez włączenie emisji z </w:t>
      </w:r>
      <w:proofErr w:type="spellStart"/>
      <w:r w:rsidRPr="00E111D7">
        <w:t>superjachtów</w:t>
      </w:r>
      <w:proofErr w:type="spellEnd"/>
      <w:r w:rsidRPr="00E111D7">
        <w:t>, prywatnych samolotów odrzutowych i odrzutowców biznesowych do polityki klimatycznej UE;</w:t>
      </w:r>
    </w:p>
    <w:p w:rsidR="00D16727" w:rsidRPr="00E111D7" w:rsidRDefault="00D16727" w:rsidP="00D16727">
      <w:pPr>
        <w:pStyle w:val="NormalHanging12a"/>
      </w:pPr>
      <w:r w:rsidRPr="00E111D7">
        <w:t>84.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Międzynarodową Organizację Morską (IMO) do przyjęcia środków służących ograniczeniu emisji pochodzących z transportu morskiego zgodnie z celami opartymi na podstawach naukowych i z celem ograniczenia globalnego ocieplenia do 1,5 °C określonym w porozumieniu paryskim; wyraża zaniepokojenie wolnym tempem postępów IMO w przeciwdziałaniu emisjom z międzynarodowej żeglugi; wzywa UE do opowiedzenia się za przyjęciem bardziej rygorystycznych globalnych celów i harmonogramów; przypomina, że zgodnie z przepisami dyrektywy o handlu emisjami</w:t>
      </w:r>
      <w:r w:rsidRPr="00E111D7">
        <w:rPr>
          <w:rStyle w:val="FootnoteReference"/>
        </w:rPr>
        <w:footnoteReference w:id="28"/>
      </w:r>
      <w:r w:rsidRPr="00E111D7">
        <w:t xml:space="preserve"> UE powinna przeprowadzić przegląd zakresu prawodawstwa dotyczącego EU ETS w odniesieniu do transportu morskiego, jeżeli podczas negocjacji IMO nie uda się doprowadzić do przyjęcia działań zgodnych z porozumieniem paryskim; wzywa Komisję i </w:t>
      </w:r>
      <w:proofErr w:type="gramStart"/>
      <w:r w:rsidRPr="00E111D7">
        <w:t>państwa</w:t>
      </w:r>
      <w:proofErr w:type="gramEnd"/>
      <w:r w:rsidRPr="00E111D7">
        <w:t xml:space="preserve"> członkowskie do wznowienia negocjacji w ramach UNFCCC na temat przypisywania emisji z żeglugi międzynarodowej do krajowych wykazów, aby odzwierciedlić zakres systemu handlu uprawnieniami do emisji i rozporządzenie </w:t>
      </w:r>
      <w:proofErr w:type="spellStart"/>
      <w:r w:rsidRPr="00E111D7">
        <w:t>FuelEU</w:t>
      </w:r>
      <w:proofErr w:type="spellEnd"/>
      <w:r w:rsidRPr="00E111D7">
        <w:t xml:space="preserve"> </w:t>
      </w:r>
      <w:proofErr w:type="spellStart"/>
      <w:r w:rsidRPr="00E111D7">
        <w:t>Maritime</w:t>
      </w:r>
      <w:proofErr w:type="spellEnd"/>
      <w:r w:rsidRPr="00E111D7">
        <w:rPr>
          <w:rStyle w:val="FootnoteReference"/>
        </w:rPr>
        <w:footnoteReference w:id="29"/>
      </w:r>
      <w:r w:rsidRPr="00E111D7">
        <w:t>;</w:t>
      </w:r>
    </w:p>
    <w:p w:rsidR="00D16727" w:rsidRPr="00E111D7" w:rsidRDefault="00D16727" w:rsidP="00D16727">
      <w:pPr>
        <w:pStyle w:val="NormalHanging12a"/>
      </w:pPr>
      <w:r w:rsidRPr="00E111D7">
        <w:t>85.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pilną potrzebę dostosowania sektora lotnictwa do globalnych celów klimatycznych, w szczególności celu 1,5 °C określonego w porozumieniu paryskim; jest zaniepokojony wolnym tempem postępów Organizacji Międzynarodowego Lotnictwa Cywilnego (ICAO) w przeciwdziałaniu emisjom z międzynarodowego lotnictwa; wzywa ICAO do przyjęcia bardziej ambitnych środków w ramach mechanizmu kompensacji i redukcji CO</w:t>
      </w:r>
      <w:r w:rsidRPr="00E111D7">
        <w:rPr>
          <w:vertAlign w:val="subscript"/>
        </w:rPr>
        <w:t>2</w:t>
      </w:r>
      <w:r w:rsidRPr="00E111D7">
        <w:t xml:space="preserve"> dla lotnictwa międzynarodowego, aby ograniczyć te emisje; przypomina, że jeżeli ICAO nie zapewni redukcji emisji zgodnie z porozumieniem paryskim, Komisja ma obowiązek zbadania rozszerzenia zakresu EU ETS na loty do lotnisk znajdujących się poza Europejskim Obszarem Gospodarczym, zgodnie z przepisami dyrektywy w sprawie ETS;</w:t>
      </w:r>
    </w:p>
    <w:p w:rsidR="00D16727" w:rsidRPr="00E111D7" w:rsidRDefault="00D16727" w:rsidP="00D16727">
      <w:pPr>
        <w:pStyle w:val="NormalHanging12a"/>
      </w:pPr>
      <w:r w:rsidRPr="00E111D7">
        <w:t>86.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>, że szacuje się, iż wpływ działalności lotniczej na klimat, inny niż wpływ wynikający z emisji CO</w:t>
      </w:r>
      <w:r w:rsidRPr="00E111D7">
        <w:rPr>
          <w:vertAlign w:val="superscript"/>
        </w:rPr>
        <w:t>2</w:t>
      </w:r>
      <w:r w:rsidRPr="00E111D7">
        <w:t>, jest dwukrotnie większy</w:t>
      </w:r>
      <w:r w:rsidRPr="00E111D7">
        <w:rPr>
          <w:vertAlign w:val="superscript"/>
        </w:rPr>
        <w:footnoteReference w:id="30"/>
      </w:r>
      <w:r w:rsidRPr="00E111D7">
        <w:t xml:space="preserve"> niż wpływ wynikający z samej emisji CO</w:t>
      </w:r>
      <w:r w:rsidRPr="00E111D7">
        <w:rPr>
          <w:vertAlign w:val="subscript"/>
        </w:rPr>
        <w:t>2</w:t>
      </w:r>
      <w:r w:rsidRPr="00E111D7">
        <w:t>; podkreśla, że trzeba gromadzić wiedzę na temat niewynikających z emisji CO</w:t>
      </w:r>
      <w:r w:rsidRPr="00E111D7">
        <w:rPr>
          <w:vertAlign w:val="subscript"/>
        </w:rPr>
        <w:t>2</w:t>
      </w:r>
      <w:r w:rsidRPr="00E111D7">
        <w:t xml:space="preserve"> skutków lotów wewnątrzunijnych oraz lotów z i do miejsc poza UE, a także ocenić, czy potrzebne są środki mające na celu ograniczenie tego wpływu zgodnie z zasadami i terminami określonymi w EU ETS;</w:t>
      </w:r>
    </w:p>
    <w:p w:rsidR="00D16727" w:rsidRPr="00E111D7" w:rsidRDefault="00D16727" w:rsidP="00D16727">
      <w:pPr>
        <w:pStyle w:val="NormalHanging12a"/>
      </w:pPr>
      <w:r w:rsidRPr="00E111D7">
        <w:t>87.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do przyspieszonego rozwoju i wprowadzania zrównoważonych paliw w sektorach lotniczym i morskim;</w:t>
      </w:r>
    </w:p>
    <w:p w:rsidR="00D16727" w:rsidRPr="00E111D7" w:rsidRDefault="00D16727" w:rsidP="00D16727">
      <w:pPr>
        <w:pStyle w:val="NormalHanging12a"/>
      </w:pPr>
      <w:r w:rsidRPr="00E111D7">
        <w:lastRenderedPageBreak/>
        <w:t>88.</w:t>
      </w:r>
      <w:r w:rsidRPr="00E111D7">
        <w:tab/>
      </w:r>
      <w:proofErr w:type="gramStart"/>
      <w:r w:rsidRPr="00E111D7">
        <w:t>ponownie</w:t>
      </w:r>
      <w:proofErr w:type="gramEnd"/>
      <w:r w:rsidRPr="00E111D7">
        <w:t xml:space="preserve"> wzywa wszystkie strony, w tym państwa członkowskie UE, do podjęcia środków, które będą zniechęcać do korzystania z prywatnych samolotów odrzutowych; podkreśla nieproporcjonalny wpływ na klimat prywatnych samolotów odrzutowych, które zanieczyszczają nawet 14 razy bardziej niż loty komercyjne (w przeliczeniu na pasażera); podkreśla, jak ważne jest dawanie dobrego przykładu, i wzywa wszystkich uczestników COP29, w tym przedstawicieli instytucji UE, by na miejsce konferencji dotarli najmniej zanieczyszczającym środkiem transportu, a nie prywatnym samolotem odrzutowym;</w:t>
      </w:r>
    </w:p>
    <w:p w:rsidR="00D16727" w:rsidRPr="00E111D7" w:rsidRDefault="00D16727" w:rsidP="00D16727">
      <w:pPr>
        <w:pStyle w:val="NormalHanging12a"/>
      </w:pPr>
      <w:r w:rsidRPr="00E111D7">
        <w:t>89.</w:t>
      </w:r>
      <w:r w:rsidRPr="00E111D7">
        <w:tab/>
      </w:r>
      <w:proofErr w:type="gramStart"/>
      <w:r w:rsidRPr="00E111D7">
        <w:t>zauważa</w:t>
      </w:r>
      <w:proofErr w:type="gramEnd"/>
      <w:r w:rsidRPr="00E111D7">
        <w:t>, że w 2020 r. sektor rolny odpowiadał za 10–12 % światowych emisji antropogenicznych i 11 % całkowitych emisji w UE</w:t>
      </w:r>
      <w:r w:rsidRPr="00E111D7">
        <w:rPr>
          <w:vertAlign w:val="superscript"/>
        </w:rPr>
        <w:footnoteReference w:id="31"/>
      </w:r>
      <w:r w:rsidRPr="00E111D7">
        <w:t>; zauważa, że emisje z rolnictwa na szczeblu UE zmniejszyły się o 25 % od 1990 r.</w:t>
      </w:r>
      <w:r w:rsidRPr="00E111D7">
        <w:rPr>
          <w:vertAlign w:val="superscript"/>
        </w:rPr>
        <w:footnoteReference w:id="32"/>
      </w:r>
      <w:r w:rsidRPr="00E111D7">
        <w:t>, ale w ciągu ostatnich dwudziestu lat utrzymywały się na stosunkowo stabilnym poziomie;</w:t>
      </w:r>
    </w:p>
    <w:p w:rsidR="00D16727" w:rsidRPr="00E111D7" w:rsidRDefault="00D16727" w:rsidP="00D16727">
      <w:pPr>
        <w:pStyle w:val="NormalHanging12a"/>
      </w:pPr>
      <w:r w:rsidRPr="00E111D7">
        <w:t>90.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jednak, że jednocześnie rolnicy i sektor rolny znajdują się pod coraz większą presją ze względu na skutki zmiany klimatu, w tym rosnące temperatury, susze, nieregularne opady deszczu i powodzie, oraz uznaje, że są oni niezbędnymi partnerami w zapewnianiu bezpieczeństwa żywnościowego, utrzymaniu dynamicznych obszarów wiejskich i osiąganiu celów neutralności klimatycznej; podkreśla w związku z tym, że trzeba kontynuować prace na rzecz zrównoważonych i odpornych systemów żywnościowych, oraz uznaje zarówno potencjał redukcji emisji gazów cieplarnianych w sektorze rolnym, jak i potencjalny wkład rolników i leśników na rzecz naturalnego usuwania i składowania dwutlenku węgla w glebach i lasach; podkreśla, że trzeba umożliwić </w:t>
      </w:r>
      <w:proofErr w:type="gramStart"/>
      <w:r w:rsidRPr="00E111D7">
        <w:t>rolnikom</w:t>
      </w:r>
      <w:proofErr w:type="gramEnd"/>
      <w:r w:rsidRPr="00E111D7">
        <w:t xml:space="preserve"> aktywne wnoszenie wkładu w opracowywanie strategii politycznych w zakresie łagodzenia zmiany klimatu i przystosowywania się do niej oraz ochrony ekosystemów, a także uczestniczenie w opracowywaniu tych strategii; w związku z tym z zadowoleniem przyjmuje strategiczny dialog na temat przyszłości rolnictwa UE oraz zobowiązanie się przewodniczącej Komisji Ursuli von der </w:t>
      </w:r>
      <w:proofErr w:type="spellStart"/>
      <w:r w:rsidRPr="00E111D7">
        <w:t>Leyen</w:t>
      </w:r>
      <w:proofErr w:type="spellEnd"/>
      <w:r w:rsidRPr="00E111D7">
        <w:t xml:space="preserve"> do przedstawienia wizji rolnictwa i żywności w pierwszych 100 dniach nowej kadencji Komisji z myślą o zapewnieniu długoterminowej konkurencyjności i zrównoważonego charakteru unijnego sektora rolnego z uwzględnieniem ograniczeń planety;</w:t>
      </w:r>
    </w:p>
    <w:p w:rsidR="00D16727" w:rsidRPr="00E111D7" w:rsidRDefault="00D16727" w:rsidP="00D16727">
      <w:pPr>
        <w:pStyle w:val="NormalHanging12a"/>
      </w:pPr>
      <w:r w:rsidRPr="00E111D7">
        <w:t>91.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przejście na bardziej zrównoważone praktyki rolnicze, krótsze łańcuchy dostaw, zdrowszą żywność i dietę, zdrowszy styl życia i ograniczanie marnotrawienia żywności znacznie zmniejszyłoby emisje z łańcucha żywności, wzmocniło łagodzenie zmiany klimatu i dostosowanie się do niej, zmniejszyło presję na różnorodność biologiczną i grunty, ograniczyło zanieczyszczenie powietrza i wody oraz pomogło przywrócić jakość gleby i ekosystemów; przypomina, że należy zająć się problemem nadmiernego spożycia produktów wysoko przetworzonych;</w:t>
      </w:r>
    </w:p>
    <w:p w:rsidR="00D16727" w:rsidRPr="00E111D7" w:rsidRDefault="00D16727" w:rsidP="00D16727">
      <w:pPr>
        <w:pStyle w:val="NormalHanging12a"/>
      </w:pPr>
      <w:r w:rsidRPr="00E111D7">
        <w:t>92.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potrzebne są ramy polityczne wspierające rolników, ze szczególnym uwzględnieniem drobnych producentów rolnych, w przechodzeniu na zrównoważone praktyki rolnicze poprzez zapewnienie narzędzi, mechanizmów, technik, możliwości, szkoleń i zachęt finansowych na rzecz przyjęcia przyjaznych dla klimatu praktyk rolniczych, które poprawiają wydajność, a jednocześnie przyczyniają się do </w:t>
      </w:r>
      <w:r w:rsidRPr="00E111D7">
        <w:lastRenderedPageBreak/>
        <w:t xml:space="preserve">przystosowania się do zmiany klimatu i łagodzenia jej skutków, a także wynagradzają rolników i leśników, którzy pomagają w dekarbonizacji gospodarki i współdziałają z przyrodą, zachowując różnorodność biologiczną i ekosystemy naturalne; podkreśla, jak ważne jest, by zapewnić sektorowi rolnemu kompleksowe metody ustanawiania systemu rozliczania emisji gazów cieplarnianych, który obejmowałby różne rodzaje rolnictwa; wzywa UE do </w:t>
      </w:r>
      <w:proofErr w:type="gramStart"/>
      <w:r w:rsidRPr="00E111D7">
        <w:t>zwiększenia</w:t>
      </w:r>
      <w:proofErr w:type="gramEnd"/>
      <w:r w:rsidRPr="00E111D7">
        <w:t xml:space="preserve"> inwestycji w ekologiczne technologie i innowacje w sektorze rolnym, takie jak rolnictwo precyzyjne, zrównoważone systemy nawadniania, praktyki rolnicze przyjazne klimatowi i praktyki agroekologiczne, które umożliwiają bardziej efektywne wykorzystanie zasobów takich jak woda i energia; podkreśla ponadto znaczenie strategii politycznych ułatwiających dostęp do takich innowacyjnych rozwiązań i narzędzi cyfrowych; podkreśla, jak ważny jest rozwój bardziej zrównoważonego rolnictwa poprzez zapewnienie rolnikom alternatyw, aby ograniczyć stosowanie i produkcję nawozów nieorganicznych i pestycydów; podkreśla, że to oraz zwiększenie naturalnej sekwestracji dwutlenku węgla w glebie i materii organicznej gleby może przynieść wiele korzyści, ponieważ zwiększyłoby żyzność gleby i pomogłoby w odbudowie różnorodności biologicznej oraz </w:t>
      </w:r>
      <w:proofErr w:type="gramStart"/>
      <w:r w:rsidRPr="00E111D7">
        <w:t>zapewniłoby</w:t>
      </w:r>
      <w:proofErr w:type="gramEnd"/>
      <w:r w:rsidRPr="00E111D7">
        <w:t xml:space="preserve"> znaczny potencjał pod względem łagodzenia zmiany klimatu; podkreśla potrzebę lepszego ukierunkowania działań na odporność poprzez wspieranie zarządzania ryzykiem przedłużających się susz, promowanie upraw mniej wodochłonnych oraz wspieranie zrównoważonych praktyk zwiększających odporność ekosystemów;</w:t>
      </w:r>
    </w:p>
    <w:p w:rsidR="00D16727" w:rsidRPr="00E111D7" w:rsidRDefault="00D16727" w:rsidP="00D16727">
      <w:pPr>
        <w:pStyle w:val="NormalHanging12a"/>
      </w:pPr>
      <w:r w:rsidRPr="00E111D7">
        <w:t>93.</w:t>
      </w:r>
      <w:r w:rsidRPr="00E111D7">
        <w:tab/>
      </w:r>
      <w:proofErr w:type="gramStart"/>
      <w:r w:rsidRPr="00E111D7">
        <w:t>wzywa</w:t>
      </w:r>
      <w:proofErr w:type="gramEnd"/>
      <w:r w:rsidRPr="00E111D7">
        <w:t xml:space="preserve"> wszystkie strony do kontynuowania prac nad wdrożeniem przyjętej podczas COP28 w Zjednoczonych Emiratach Arabskich deklaracji w sprawie zrównoważonego rolnictwa, odpornych systemów żywnościowych i działań w dziedzinie klimatu;</w:t>
      </w:r>
    </w:p>
    <w:p w:rsidR="00D16727" w:rsidRPr="00E111D7" w:rsidRDefault="00D16727" w:rsidP="00D16727">
      <w:pPr>
        <w:pStyle w:val="NormalHanging12a"/>
      </w:pPr>
      <w:r w:rsidRPr="00E111D7">
        <w:t>94.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jak ważne jest zapewnienie na całym świecie równych warunków działania dla produkcji rolnej, która opiera się na wysokich standardach ochrony środowiska, dobrostanu zwierząt i monitorowania zgodności;</w:t>
      </w:r>
    </w:p>
    <w:p w:rsidR="00D16727" w:rsidRPr="00E111D7" w:rsidRDefault="00D16727" w:rsidP="00D16727">
      <w:pPr>
        <w:pStyle w:val="NormalHanging12a"/>
      </w:pPr>
      <w:r w:rsidRPr="00E111D7">
        <w:t>95.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sektor obronny musi przyczyniać się do redukcji emisji, przy jednoczesnym zachowaniu skuteczności operacyjnej, oraz że należy przyspieszyć rozwój technologii i strategii obniżania emisyjności w sektorze obrony; odnotowuje, że uwzględnianie </w:t>
      </w:r>
      <w:proofErr w:type="spellStart"/>
      <w:r w:rsidRPr="00E111D7">
        <w:t>zdezagregowanych</w:t>
      </w:r>
      <w:proofErr w:type="spellEnd"/>
      <w:r w:rsidRPr="00E111D7">
        <w:t xml:space="preserve"> danych o emisjach pochodzenia wojskowego w informacjach przekazywanych do UNFCCC jest dobrowolne i że obecnie nie można określić zgłaszanych emisji gazów cieplarnianych pochodzenia wojskowego na podstawie danych przedkładanych UNFCCC; wzywa wiceprzewodniczącego Komisji / wysokiego przedstawiciela Unii do spraw zagranicznych i polityki bezpieczeństwa, Komisję i Radę do opracowania wniosku dotyczącego przejrzystego rozliczania emisji pochodzenia wojskowego względem UNFCCC; należy przy tym uwzględnić przyjęcie Strategicznego kompasu na rzecz bezpieczeństwa i obrony oraz </w:t>
      </w:r>
      <w:proofErr w:type="gramStart"/>
      <w:r w:rsidRPr="00E111D7">
        <w:t>mieć</w:t>
      </w:r>
      <w:proofErr w:type="gramEnd"/>
      <w:r w:rsidRPr="00E111D7">
        <w:t xml:space="preserve"> na celu pełne wdrożenie Planu działania w dziedzinie zmiany klimatu i obronności;</w:t>
      </w:r>
    </w:p>
    <w:p w:rsidR="00D16727" w:rsidRPr="00E111D7" w:rsidRDefault="00D16727" w:rsidP="00D16727">
      <w:pPr>
        <w:pStyle w:val="NormalHanging12a"/>
      </w:pPr>
      <w:r w:rsidRPr="00E111D7">
        <w:t>96.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unijny mechanizm dostosowywania cen na granicach z uwzględnieniem emisji CO</w:t>
      </w:r>
      <w:r w:rsidRPr="00E111D7">
        <w:rPr>
          <w:vertAlign w:val="subscript"/>
        </w:rPr>
        <w:t>2</w:t>
      </w:r>
      <w:r w:rsidRPr="00E111D7">
        <w:t xml:space="preserve"> (CBAM) jest podstawowym narzędziem skutecznego ustalania opłat za emisje z produktów importowanych do UE, ograniczania emisji z tych produktów i przeciwdziałania ucieczce emisji, przy jednoczesnym wspieraniu przyjmowania opłat za emisję gazów cieplarnianych na całym świecie wraz ze środkami towarzyszącymi dekarbonizacji przemysłu w krajach najsłabiej rozwiniętych; wzywa Komisję do podjęcia prac nad rozszerzeniem zakresu CBAM zgodnie z przepisami rozporządzenia </w:t>
      </w:r>
      <w:r w:rsidRPr="00E111D7">
        <w:lastRenderedPageBreak/>
        <w:t>w sprawie CBAM</w:t>
      </w:r>
      <w:r w:rsidRPr="00E111D7">
        <w:rPr>
          <w:rStyle w:val="FootnoteReference"/>
        </w:rPr>
        <w:footnoteReference w:id="33"/>
      </w:r>
      <w:r w:rsidRPr="00E111D7">
        <w:t>, przy jednoczesnym zaangażowaniu państw spoza UE w celu ułatwienia prawidłowego wdrożenia mechanizmu i zachęcenia do wprowadzenia opłat emisyjnych;</w:t>
      </w:r>
    </w:p>
    <w:p w:rsidR="00D16727" w:rsidRPr="00E111D7" w:rsidRDefault="00D16727" w:rsidP="00D16727">
      <w:pPr>
        <w:pStyle w:val="NormalHanging12a"/>
      </w:pPr>
      <w:r w:rsidRPr="00E111D7">
        <w:t>97.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przyjmuje fakt, że według Banku Światowego 24 % światowych emisji jest obecnie objętych systemem ustalania opłat za emisję gazów cieplarnianych</w:t>
      </w:r>
      <w:r w:rsidRPr="00E111D7">
        <w:rPr>
          <w:vertAlign w:val="superscript"/>
        </w:rPr>
        <w:footnoteReference w:id="34"/>
      </w:r>
      <w:r w:rsidRPr="00E111D7">
        <w:t xml:space="preserve">; ubolewa jednak, że zarówno zasięg tego systemu, jak i poziomy opłat są nadal zdecydowanie zbyt niskie, aby osiągnąć cele określone w porozumieniu paryskim; z zadowoleniem przyjmuje fakt, że szereg partnerów handlowych UE wprowadziło handel uprawnieniami do emisji dwutlenku węgla lub inne mechanizmy ustalania opłat za emisję gazów cieplarnianych; wzywa Komisję, by dalej zachęcała inne strony do wprowadzania lub ulepszania podobnych mechanizmów ustalania opłat za emisję gazów cieplarnianych i wspierała je w tym oraz by zbadała powiązania i inne formy współpracy </w:t>
      </w:r>
      <w:proofErr w:type="gramStart"/>
      <w:r w:rsidRPr="00E111D7">
        <w:t>z</w:t>
      </w:r>
      <w:proofErr w:type="gramEnd"/>
      <w:r w:rsidRPr="00E111D7">
        <w:t xml:space="preserve"> istniejącymi mechanizmami ustalania opłat za emisję gazów cieplarnianych poza UE; w związku z tym wzywa Komisję, aby wprowadziła gwarancje, że wszelkie powiązania z EU ETS będą nadal wnosić dodatkowy i trwały wkład w łagodzenie skutków i nie podważą wewnętrznych zobowiązań Unii dotyczących emisji gazów cieplarnianych; z zadowoleniem przyjmuje utworzenie przez Komisję grupy zadaniowej ds. dyplomacji w zakresie międzynarodowego ustalania opłat za emisję gazów cieplarnianych i rynków emisji oraz wzywa Komisję do zapewnienia pełnej operacyjności tej grupy zadaniowej w przewidzianym terminie;</w:t>
      </w:r>
    </w:p>
    <w:p w:rsidR="00D16727" w:rsidRPr="00E111D7" w:rsidRDefault="00D16727" w:rsidP="00D16727">
      <w:pPr>
        <w:pStyle w:val="NormalHanging12a"/>
      </w:pPr>
      <w:r w:rsidRPr="00E111D7">
        <w:t>98.</w:t>
      </w:r>
      <w:r w:rsidRPr="00E111D7">
        <w:tab/>
      </w:r>
      <w:proofErr w:type="gramStart"/>
      <w:r w:rsidRPr="00E111D7">
        <w:t>zauważa</w:t>
      </w:r>
      <w:proofErr w:type="gramEnd"/>
      <w:r w:rsidRPr="00E111D7">
        <w:t>, że w globalnym przeglądzie podkreślono znaczenie przejścia na zrównoważony styl życia oraz zrównoważone wzorce konsumpcji i produkcji w celu przeciwdziałania zmianie klimatu, w tym za pośrednictwem podejścia opartego na gospodarce o obiegu zamkniętym, oraz że uwypukla to potrzebę dalszego rozwoju gospodarki o obiegu zamkniętym w UE, w tym przez wspieranie innowacji i inwestycji w rozwiązania i modele biznesowe o obiegu zamkniętym oraz rynki surowców wtórnych, a także podkreślono wagę redukcji odpadów i zwiększonego recyklingu; przypomina zobowiązanie zawarte w 8. EAP do znacznego zmniejszenia śladu materiałowego i konsumpcyjnego UE, aby jak najszybciej sprowadzić je do poziomów zgodnych z ograniczeniami planety; wzywa Komisję do opracowania środków przyspieszających przejście na gospodarkę o obiegu zamkniętym i zrównoważone wykorzystanie zasobów, przy jednoczesnym zagwarantowaniu sprawiedliwej transformacji sprzyjającej włączeniu społecznemu;</w:t>
      </w:r>
    </w:p>
    <w:p w:rsidR="00D16727" w:rsidRPr="00E111D7" w:rsidRDefault="00D16727" w:rsidP="00D16727">
      <w:pPr>
        <w:pStyle w:val="NormalHanging12a"/>
      </w:pPr>
      <w:r w:rsidRPr="00E111D7">
        <w:t>99.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należy zająć się wpływem na klimat i środowisko sektora włókienniczego, który odpowiada za około 8–10 % światowych emisji gazów cieplarnianych i znaczne zużycie zasobów, zwłaszcza wody i energii</w:t>
      </w:r>
      <w:r w:rsidRPr="00E111D7">
        <w:rPr>
          <w:rStyle w:val="FootnoteReference"/>
        </w:rPr>
        <w:footnoteReference w:id="35"/>
      </w:r>
      <w:r w:rsidRPr="00E111D7">
        <w:t xml:space="preserve">; przyznaje, że przemysł włókienniczy powinien odegrać istotną rolę, jeśli chodzi o zwrot w kierunku gospodarki o obiegu </w:t>
      </w:r>
      <w:r w:rsidRPr="00E111D7">
        <w:lastRenderedPageBreak/>
        <w:t xml:space="preserve">zamkniętym i sprostanie wyzwaniom związanym m.in. z kwestiami zapobiegania powstawaniu odpadów, gospodarowania odpadami, usuwania </w:t>
      </w:r>
      <w:proofErr w:type="spellStart"/>
      <w:r w:rsidRPr="00E111D7">
        <w:t>mikrodrobin</w:t>
      </w:r>
      <w:proofErr w:type="spellEnd"/>
      <w:r w:rsidRPr="00E111D7">
        <w:t xml:space="preserve"> plastiku, zużycia wody, nadprodukcji, ogólnej trwałości i nietoksyczności procesu produkcyjnego oraz możliwości recyklingu wyrobów włókienniczych, w tym przez dopilnowanie, aby wyroby włókiennicze projektowano tak, by były trwałe i nadawały się do recyklingu; podkreśla, że trzeba koniecznie ustanowić globalne normy, </w:t>
      </w:r>
      <w:proofErr w:type="gramStart"/>
      <w:r w:rsidRPr="00E111D7">
        <w:t>które</w:t>
      </w:r>
      <w:proofErr w:type="gramEnd"/>
      <w:r w:rsidRPr="00E111D7">
        <w:t xml:space="preserve"> określą, kiedy marki mogą przedstawiać twierdzenia dotyczące ekologiczności produktu;</w:t>
      </w:r>
    </w:p>
    <w:p w:rsidR="00D16727" w:rsidRPr="00E111D7" w:rsidRDefault="00D16727" w:rsidP="00D16727">
      <w:pPr>
        <w:pStyle w:val="NormalHanging12a"/>
      </w:pPr>
      <w:r w:rsidRPr="00E111D7">
        <w:t>100.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potrzebę zwalczania pseudoekologicznego marketingu przez dążenie do spójnych i przejrzystych globalnych norm twierdzeń dotyczących ekologiczności, aby pomóc konsumentom w dokonywaniu świadomych wyborów oraz zapobiegać pseudoekologicznemu marketingowi przez zagwarantowanie, że twierdzenia dotyczące </w:t>
      </w:r>
      <w:proofErr w:type="spellStart"/>
      <w:r w:rsidRPr="00E111D7">
        <w:t>zrównoważoności</w:t>
      </w:r>
      <w:proofErr w:type="spellEnd"/>
      <w:r w:rsidRPr="00E111D7">
        <w:t xml:space="preserve"> znajdą poparcie w możliwych do zweryfikowania dowodach;</w:t>
      </w:r>
    </w:p>
    <w:p w:rsidR="00D16727" w:rsidRPr="00E111D7" w:rsidRDefault="00D16727" w:rsidP="00D16727">
      <w:pPr>
        <w:pStyle w:val="NormalHanging12a"/>
      </w:pPr>
      <w:r w:rsidRPr="00E111D7">
        <w:t>101.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zmiana klimatu, niedobór wody i degradacja środowiska prowadzą do niedoboru zasobów naturalnych, mogą potęgować konflikty i napięcia oraz powodować większe niedobory żywności i katastrofy naturalne, a także są głównymi czynnikami przymusowych przesiedleń ludzi i czynnikami zwielokrotniającymi zagrożenia;</w:t>
      </w:r>
    </w:p>
    <w:p w:rsidR="00D16727" w:rsidRPr="00E111D7" w:rsidRDefault="00D16727" w:rsidP="00D16727">
      <w:pPr>
        <w:pStyle w:val="NormalHanging12a"/>
      </w:pPr>
      <w:r w:rsidRPr="00E111D7">
        <w:t>102.</w:t>
      </w:r>
      <w:r w:rsidRPr="00E111D7">
        <w:tab/>
      </w:r>
      <w:proofErr w:type="gramStart"/>
      <w:r w:rsidRPr="00E111D7">
        <w:t>zauważa</w:t>
      </w:r>
      <w:proofErr w:type="gramEnd"/>
      <w:r w:rsidRPr="00E111D7">
        <w:t>, że region Morza Śródziemnego jest jednym z regionów najbardziej dotkniętych zmianą klimatu, ocieplającym się o 20 % szybciej niż średnia światowa, gdzie według prognoz w ciągu 20 lat 250 mln ludzi stanie w obliczu niedoboru wody</w:t>
      </w:r>
      <w:r w:rsidRPr="00E111D7">
        <w:rPr>
          <w:rStyle w:val="FootnoteReference"/>
        </w:rPr>
        <w:footnoteReference w:id="36"/>
      </w:r>
      <w:r w:rsidRPr="00E111D7">
        <w:t>; ponadto w regionie tym dochodzi do coraz częstszych pożarów lasów, co ma poważne konsekwencje dla źródeł utrzymania społeczności nadbrzeżnych, sektorów gospodarki i różnorodności biologicznej; wzywa Komisję i państwa członkowskie do podjęcia pilnych działań we współpracy z partnerami śródziemnomorskimi w celu wdrożenia ambitnych środków dostosowawczych i prowadzenia działań łagodzących, koncentrujących się na gospodarce wodnej, odbudowie ekosystemów i zrównoważonych przemianach gospodarczych;</w:t>
      </w:r>
    </w:p>
    <w:p w:rsidR="00D16727" w:rsidRPr="00E111D7" w:rsidRDefault="00D16727" w:rsidP="00D16727">
      <w:pPr>
        <w:pStyle w:val="NormalHanging12a"/>
      </w:pPr>
      <w:r w:rsidRPr="00E111D7">
        <w:t>103.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zmiana klimatu wpływa na dziedzictwo kulturowe w bezprecedensowym tempie i na bezprecedensową skalę; podkreśla, że należy zintensyfikować wysiłki na rzecz ochrony i zabezpieczenia światowego dziedzictwa kulturowego i przyrodniczego, z naciskiem na poprawę gotowości na zagrożenia i wzmacnianie odporności na zmianę klimatu;</w:t>
      </w:r>
    </w:p>
    <w:p w:rsidR="00D16727" w:rsidRPr="00E111D7" w:rsidRDefault="00D16727" w:rsidP="00D16727">
      <w:pPr>
        <w:pStyle w:val="NormalHanging12a"/>
      </w:pPr>
      <w:r w:rsidRPr="00E111D7">
        <w:t>104.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potrzebę zintensyfikowania działań UE w zakresie przystosowania się do zmiany klimatu, odporności i gotowości na nią przez wzmocnienie Unijnego Mechanizmu Ochrony Ludności, aby zwiększyć zdolność UE do zapobiegania coraz częstszym transgranicznym klęskom żywiołowym na dużą skalę oraz do zarządzania nimi;</w:t>
      </w:r>
    </w:p>
    <w:p w:rsidR="00D16727" w:rsidRPr="00E111D7" w:rsidRDefault="00D16727" w:rsidP="00D16727">
      <w:pPr>
        <w:pStyle w:val="NormalHanging12a"/>
      </w:pPr>
      <w:r w:rsidRPr="00E111D7">
        <w:t>105.</w:t>
      </w:r>
      <w:r w:rsidRPr="00E111D7">
        <w:tab/>
      </w:r>
      <w:proofErr w:type="gramStart"/>
      <w:r w:rsidRPr="00E111D7">
        <w:t>odnotowuje</w:t>
      </w:r>
      <w:proofErr w:type="gramEnd"/>
      <w:r w:rsidRPr="00E111D7">
        <w:t xml:space="preserve"> coraz większe naukowe i polityczne zainteresowanie zarządzaniem </w:t>
      </w:r>
      <w:r w:rsidRPr="00E111D7">
        <w:lastRenderedPageBreak/>
        <w:t xml:space="preserve">promieniowaniem słonecznym (SRM) – sugerowanym zbiorem technik z zakresu inżynierii klimatycznej, takich jak rozpylanie aerozolu w stratosferze, mającym umożliwić sztuczne odbijanie światła słonecznego i chłodzenie planety; podkreśla, że SRM w żaden sposób nie eliminuje podstawowych przyczyn zmiany klimatu, że nie ma pewności naukowej co do jego skutków i że zagraża ono stabilności klimatycznej i geopolitycznej, potencjalnie w sposób katastrofalny; przypomina, że rezolucja ONZ w sprawie globalnego zarządzania została zablokowana; apeluje do Komisji o podjęcie działań w związku z SRM przez zainicjowanie porozumienia o niestosowaniu, aby zapobiec wdrożeniu tej technologii, ograniczyć jej rozwój i </w:t>
      </w:r>
      <w:proofErr w:type="gramStart"/>
      <w:r w:rsidRPr="00E111D7">
        <w:t>sprzeciwić</w:t>
      </w:r>
      <w:proofErr w:type="gramEnd"/>
      <w:r w:rsidRPr="00E111D7">
        <w:t xml:space="preserve"> się jej przyszłej instytucjonalizacji w instytucjach międzynarodowych, zgodnie z zasadą ostrożności oraz ze względu na brak dowodów na jej bezpieczeństwo i pełnego światowego konsensusu co do jej dopuszczalności;</w:t>
      </w:r>
    </w:p>
    <w:p w:rsidR="00D16727" w:rsidRPr="00E111D7" w:rsidRDefault="00D16727" w:rsidP="00D16727">
      <w:pPr>
        <w:pStyle w:val="NormalHanging12a"/>
        <w:rPr>
          <w:b/>
          <w:bCs/>
          <w:i/>
          <w:iCs/>
        </w:rPr>
      </w:pPr>
      <w:r w:rsidRPr="00E111D7">
        <w:rPr>
          <w:b/>
          <w:i/>
        </w:rPr>
        <w:t>Zmiana klimatu i aspekt płci</w:t>
      </w:r>
    </w:p>
    <w:p w:rsidR="00D16727" w:rsidRPr="00E111D7" w:rsidRDefault="00D16727" w:rsidP="00D16727">
      <w:pPr>
        <w:pStyle w:val="NormalHanging12a"/>
      </w:pPr>
      <w:r w:rsidRPr="00E111D7">
        <w:t>106.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znaczenie podejścia </w:t>
      </w:r>
      <w:proofErr w:type="spellStart"/>
      <w:r w:rsidRPr="00E111D7">
        <w:t>inkluzywnego</w:t>
      </w:r>
      <w:proofErr w:type="spellEnd"/>
      <w:r w:rsidRPr="00E111D7">
        <w:t xml:space="preserve"> w procesie UNFCCC, w tym w programie prac na rzecz sprawiedliwej transformacji; wzywa wszystkie strony, w tym UE i jej państwa członkowskie, do wzmożenia wysiłków na rzecz uwzględnienia równouprawnienia płci w swoich zmienionych ustalonych na poziomie krajowym wkładach, w krajowych planach adaptacji oraz w polityce klimatycznej i środowiskowej, w szczególności w strategiach politycznych związanych z łagodzeniem zmiany klimatu, przystosowaniem się do niej oraz stratami i szkodami; podkreśla potrzebę podjęcia przez wszystkie strony bardziej konkretnych działań w celu realizacji zobowiązań wynikających z planu działania w sprawie równości płci uzgodnionego na COP25 oraz uzgodnienia nowego programu prac w </w:t>
      </w:r>
      <w:proofErr w:type="gramStart"/>
      <w:r w:rsidRPr="00E111D7">
        <w:t>sprawie</w:t>
      </w:r>
      <w:proofErr w:type="gramEnd"/>
      <w:r w:rsidRPr="00E111D7">
        <w:t xml:space="preserve"> równości płci i związanego z nim planu działania na okres po 2024 r.; wzywa państwa członkowskie i Komisję do zwiększenia wysiłków na rzecz osiągnięcia celów ustanowionych w trzecim unijnym planie działania w sprawie równości płci;</w:t>
      </w:r>
    </w:p>
    <w:p w:rsidR="00D16727" w:rsidRPr="00E111D7" w:rsidRDefault="00D16727" w:rsidP="00D16727">
      <w:pPr>
        <w:pStyle w:val="NormalHanging12a"/>
      </w:pPr>
      <w:r w:rsidRPr="00E111D7">
        <w:t>107.</w:t>
      </w:r>
      <w:r w:rsidRPr="00E111D7">
        <w:tab/>
      </w:r>
      <w:proofErr w:type="gramStart"/>
      <w:r w:rsidRPr="00E111D7">
        <w:t>jest</w:t>
      </w:r>
      <w:proofErr w:type="gramEnd"/>
      <w:r w:rsidRPr="00E111D7">
        <w:t xml:space="preserve"> zdania, że należy poprawić i ułatwić dostęp kobiet do włączającego finansowania działań związanych ze zmianą klimatu, przy czym podkreśla, że kobiety mają nieproporcjonalnie mniejszy dostęp do środków finansowych na projekty w zakresie przystosowywania się do zmiany klimatu i łagodzenia jej skutków; wzywa UE i jej państwa członkowskie, by przedstawiały sprawozdania na temat ukierunkowania na aspekt płci ich wkładów na rzecz finansowania działań związanych ze zmianą klimatu oraz by zwiększały spójność między wsparciem w zakresie płci i w zakresie klimatu za pomocą instrumentów działań zewnętrznych i EBI;</w:t>
      </w:r>
    </w:p>
    <w:p w:rsidR="00D16727" w:rsidRPr="00E111D7" w:rsidRDefault="00D16727" w:rsidP="00D16727">
      <w:pPr>
        <w:pStyle w:val="NormalHanging12a"/>
      </w:pPr>
      <w:r w:rsidRPr="00E111D7">
        <w:t>108.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jak ważne jest, by więcej kobiet brało udział w podejmowaniu decyzji w kontekście dyplomacji klimatycznej, w tym by zwiększono ich liczbę w delegacjach na COP i wśród kierownictwa na wszystkich szczeblach działań w dziedzinie klimatu; wzywa wszystkie strony, aby dążyły do osiągnięcia parytetu płci w swoich delegacjach i na wszystkich poziomach podejmowania decyzji i negocjacji w sprawie zmiany klimatu; wzywa wszystkie strony, aby wyznaczyły krajowe punkty kontaktowe ds. równouprawnienia płci i zmiany klimatu oraz zwiększyły ich zasoby i zapewniły im więcej szkoleń i wsparcia, w tym w UE;</w:t>
      </w:r>
    </w:p>
    <w:p w:rsidR="00D16727" w:rsidRPr="00E111D7" w:rsidRDefault="00D16727" w:rsidP="00D16727">
      <w:pPr>
        <w:pStyle w:val="NormalHanging12a"/>
      </w:pPr>
      <w:r w:rsidRPr="00E111D7">
        <w:t>109.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zdolności przystosowawcze i podatność na zagrożenia różnią się w zależności od płci, wieku, umiejętności, rasy i zawodu; apeluje zatem do wszystkich stron, aby oceniły, uwzględniły i priorytetowo potraktowały potrzeby słabszych grup społecznych w krajowych planach adaptacji, komunikatach w sprawie adaptacji i </w:t>
      </w:r>
      <w:r w:rsidRPr="00E111D7">
        <w:lastRenderedPageBreak/>
        <w:t>ustalonych na poziomie krajowym wkładach;</w:t>
      </w:r>
    </w:p>
    <w:p w:rsidR="00D16727" w:rsidRPr="00E111D7" w:rsidRDefault="00D16727" w:rsidP="00D16727">
      <w:pPr>
        <w:pStyle w:val="NormalHanging12a"/>
      </w:pPr>
      <w:r w:rsidRPr="00E111D7">
        <w:t>110.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potrzebę przyspieszenia działań na rzecz ukierunkowanego na aspekt płci ograniczania ryzyka związanego z klęskami żywiołowymi, a zatem na rzecz ukierunkowanego na aspekt płci wdrażania ram z Sendai; apeluje o dalsze działania na rzecz nadawania priorytetu i uwzględniania płci w ramach gotowości na wypadek klęsk żywiołowych, w szczególności przez wykorzystanie zbiorów </w:t>
      </w:r>
      <w:proofErr w:type="spellStart"/>
      <w:r w:rsidRPr="00E111D7">
        <w:t>zdezagregowanych</w:t>
      </w:r>
      <w:proofErr w:type="spellEnd"/>
      <w:r w:rsidRPr="00E111D7">
        <w:t xml:space="preserve"> danych na temat zmniejszania ryzyka związanego z klęskami żywiołowymi;</w:t>
      </w:r>
    </w:p>
    <w:p w:rsidR="00D16727" w:rsidRPr="00E111D7" w:rsidRDefault="00D16727" w:rsidP="00D16727">
      <w:pPr>
        <w:pStyle w:val="NormalHanging12a"/>
        <w:rPr>
          <w:b/>
          <w:i/>
        </w:rPr>
      </w:pPr>
      <w:r w:rsidRPr="00E111D7">
        <w:rPr>
          <w:b/>
          <w:i/>
        </w:rPr>
        <w:t>Przemysł, małe i średnie przedsiębiorstwa oraz konkurencyjność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111.</w:t>
      </w:r>
      <w:r w:rsidRPr="00E111D7">
        <w:tab/>
      </w:r>
      <w:proofErr w:type="gramStart"/>
      <w:r w:rsidRPr="00E111D7">
        <w:t>uważa</w:t>
      </w:r>
      <w:proofErr w:type="gramEnd"/>
      <w:r w:rsidRPr="00E111D7">
        <w:t xml:space="preserve"> COP29 za ważny krok od czasu podpisania porozumienia paryskiego w 2015 r.; podkreśla, że wysiłki na rzecz przeciwdziałania zmianie klimatu powinny mieć na celu ograniczenie ubóstwa energetycznego, zwiększenie odporności i konkurencyjności unijnego przemysłu oraz małych i średnich przedsiębiorstw (MŚP), a także stworzenie możliwości dla unijnego przemysłu i MŚP, które będzie można zrealizować, jeżeli prawodawcy zobowiążą się do terminowej, dostosowanej do potrzeb, solidarnej i odpowiedniej reakcji politycznej oraz do ustanowienia stabilnych i przewidywalnych ram politycznych; wzywa wszystkie strony UNFCCC do podjęcia zobowiązania na rzecz tych odpowiednich strategii politycznych i środków oraz do ich wdrożenia;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112.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dzięki dobrze opracowanym wspomagającym strategiom politycznym działania w dziedzinie klimatu, innowacje, dekarbonizacja, tworzenie miejsc pracy i konkurencyjność będą ze sobą współgrać; przypomina, że inwestycje w innowacyjne, zrównoważone gałęzie przemysłu i technologie, zgodnie z czystą i sprawiedliwą transformacją, będą korzystne dla naszego klimatu, gospodarki, wysokiej jakości zatrudnienia i dobrostanu społecznego;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113.</w:t>
      </w:r>
      <w:r w:rsidRPr="00E111D7">
        <w:tab/>
      </w:r>
      <w:proofErr w:type="gramStart"/>
      <w:r w:rsidRPr="00E111D7">
        <w:t>uważa</w:t>
      </w:r>
      <w:proofErr w:type="gramEnd"/>
      <w:r w:rsidRPr="00E111D7">
        <w:t xml:space="preserve">, że aby utrzymać poparcie publiczne dla działań w dziedzinie klimatu i dawać przykład, UE musi zagwarantować uczciwą, szybką i sprawiedliwą transformacje, jak również uzyskać przewagę pioniera, a jednocześnie chronić rynek wewnętrzny przed nieuczciwą konkurencją ze strony państw trzecich i zapewnić równe warunki działania dla europejskiego przemysłu na scenie międzynarodowej, zwłaszcza przez zajęcie się problemem wysokich cen energii, które obecnie ograniczają jego konkurencyjność;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114.</w:t>
      </w:r>
      <w:r w:rsidRPr="00E111D7">
        <w:tab/>
      </w:r>
      <w:proofErr w:type="gramStart"/>
      <w:r w:rsidRPr="00E111D7">
        <w:t>uważa</w:t>
      </w:r>
      <w:proofErr w:type="gramEnd"/>
      <w:r w:rsidRPr="00E111D7">
        <w:t xml:space="preserve">, że aby Europa stała się pierwszym kontynentem neutralnym dla klimatu najpóźniej do 2050 r., przy jednoczesnym zwiększeniu konkurencyjności, w większości sektorów trzeba będzie zapewnić głęboką transformację przemysłową i dostosowania; uważa, że ze względu na różne sytuacje wyjściowe państw członkowskich w celu wsparcia transformacji systemu energetycznego potrzebne będą ogromne inwestycje; wzywa UE, aby rozważyła lepsze dostosowanie ram finansowych do porozumienia paryskiego;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115.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UE powinna dołożyć wszelkich starań, aby utrzymać wiodącą pozycję oraz globalną konkurencyjność swojego przemysłu i MŚP podczas przechodzenia na gospodarkę o zerowej emisji gazów cieplarnianych netto; zaznacza, że potrzeba innowacyjnych strategii politycznych, aby odzyskać, utrzymać i rozszerzyć obszary, w których UE jest liderem;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116.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przemysł i MŚP przechodzą znaczną transformację w kierunku gospodarki neutralnej emisyjnie; zwraca uwagę na potrzebę zapewnienia odpowiednich </w:t>
      </w:r>
      <w:r w:rsidRPr="00E111D7">
        <w:lastRenderedPageBreak/>
        <w:t xml:space="preserve">narzędzi i wsparcia w fazie przejściowej, przy jednoczesnym promowaniu innowacji i zagwarantowaniu konkurencyjności; przypomina, że prawodawcy muszą wspierać MŚP w procesie transformacji i tworzyć dla nich zachęty, w szczególności zapewnić im dostęp do finansowania zrównoważonych technologii, usług i procesów, uprościć procedury administracyjne i zagwarantować równe szanse w zamówieniach publicznych;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117.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potrzebę szybkiej dalszej dekarbonizacji europejskiego przemysłu, przy jednoczesnej poprawie jego konkurencyjności, oraz utrzymania wsparcia UE dla tego przedsięwzięcia; przypomina w związku z tym o przyjęciu aktu w sprawie przemysłu neutralnego emisyjnie i zwraca uwagę na zapowiedź przyszłego aktu w sprawie przyspieszenia dekarbonizacji przemysłu oraz nowego Czystego Ładu Przemysłowego, których celem jest ukierunkowanie inwestycji w infrastrukturę i przemysł, w szczególności w sektorach energochłonnych, oraz wspieranie wiodących rynków w zakresie rozwoju, produkcji i rozpowszechniania czystych technologii w przemyśle; uważa, że Fundusz Innowacyjny UE powinien w dalszym ciągu wspierać zwiększanie skali czystych i innowacyjnych technologii oraz ich łańcuchów dostaw;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118.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>, że zarządzanie emisjami dwutlenku węgla może odegrać rolę w łagodzeniu emisji procesowych w sektorach przemysłu, w których trudno jest obniżyć poziom emisji, oraz w ograniczaniu nieuniknionych emisji; odnotowuje w tym kontekście niedawną strategię na rzecz przemysłowego zarządzania emisjami dwutlenku węgla, której celem jest opracowanie planu działania UE na rzecz zwiększenia wychwytywania, składowania, transportu i wykorzystania emisji CO</w:t>
      </w:r>
      <w:r w:rsidRPr="00E111D7">
        <w:rPr>
          <w:vertAlign w:val="subscript"/>
        </w:rPr>
        <w:t>2</w:t>
      </w:r>
      <w:r w:rsidRPr="00E111D7">
        <w:t xml:space="preserve"> z zakładów przemysłowych i zakładów produkcji energii oraz usuwania CO</w:t>
      </w:r>
      <w:r w:rsidRPr="00E111D7">
        <w:rPr>
          <w:vertAlign w:val="subscript"/>
        </w:rPr>
        <w:t>2</w:t>
      </w:r>
      <w:r w:rsidRPr="00E111D7">
        <w:t xml:space="preserve"> z atmosfery;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119.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potrzebę zapewnienia odpowiednich zasobów finansowych na wsparcie transformacji w kolejnych wieloletnich ramach finansowych, w tym za pośrednictwem specjalnych instrumentów finansowania, które skutecznie zaspokoją potrzeby finansowe europejskiego przemysłu;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120.</w:t>
      </w:r>
      <w:r w:rsidRPr="00E111D7">
        <w:tab/>
      </w:r>
      <w:proofErr w:type="gramStart"/>
      <w:r w:rsidRPr="00E111D7">
        <w:t>uznaje</w:t>
      </w:r>
      <w:proofErr w:type="gramEnd"/>
      <w:r w:rsidRPr="00E111D7">
        <w:t xml:space="preserve"> zasadniczą rolę MŚP, w szczególności mikroprzedsiębiorstw i przedsiębiorstw typu start-</w:t>
      </w:r>
      <w:proofErr w:type="spellStart"/>
      <w:r w:rsidRPr="00E111D7">
        <w:t>up</w:t>
      </w:r>
      <w:proofErr w:type="spellEnd"/>
      <w:r w:rsidRPr="00E111D7">
        <w:t xml:space="preserve">, które stymulują zatrudnienie, innowacje i wzrost gospodarczy oraz je tworzą, a także stoją na czele transformacji cyfrowej i ekologicznej dzięki innowacjom i nowatorskim rozwiązaniom technologicznym; podkreśla, że aby móc się rozwijać i tworzyć miejsca pracy, MŚP potrzebują jasnych, spójnych i przewidywalnych przepisów; zwraca uwagę na szczególne bariery, z którymi takie przedsiębiorstwa muszą się zmierzyć, aby uzyskać dostęp do instrumentów finansowych oraz kapitału publicznego i prywatnego;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121.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trzeba promować konkurencyjne rynki towarów i metali rzadkich, które mają zasadnicze znaczenie dla transformacji ekologicznej; podkreśla, że stała zależność od kilku dostawców negatywnie wpływa na przemysł UE, i wzywa do dywersyfikacji dostawców; w związku z tym wyraża zadowolenie z przyjęcia aktu w sprawie surowców krytycznych oraz z zamiaru zaproponowania przez Komisję nowego aktu o gospodarce o obiegu zamkniętym; podkreśla kluczowe znaczenie gospodarki o obiegu zamkniętym dla osiągnięcia najwyższego poziomu </w:t>
      </w:r>
      <w:proofErr w:type="spellStart"/>
      <w:r w:rsidRPr="00E111D7">
        <w:t>zasobooszczędności</w:t>
      </w:r>
      <w:proofErr w:type="spellEnd"/>
      <w:r w:rsidRPr="00E111D7">
        <w:t xml:space="preserve"> i niezależności w odniesieniu do surowców krytycznych; zwraca uwagę na potrzebę poprawy międzynarodowych dostaw, w tym za pośrednictwem przyszłych czystych partnerstw handlowo-inwestycyjnych, przy jednoczesnym zagwarantowaniu stosowania takich samych </w:t>
      </w:r>
      <w:proofErr w:type="gramStart"/>
      <w:r w:rsidRPr="00E111D7">
        <w:t>norm</w:t>
      </w:r>
      <w:proofErr w:type="gramEnd"/>
      <w:r w:rsidRPr="00E111D7">
        <w:t xml:space="preserve"> społecznych, środowiskowych i w zakresie praw człowieka jak w UE;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lastRenderedPageBreak/>
        <w:t>122.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potrzebę specjalnych programów kwalifikacji, w tym programów zmiany i podnoszenia kwalifikacji; programy te mają zasadnicze znaczenie dla wzmocnienia siły roboczej i zaspokojenia rosnącego zapotrzebowania na siłę roboczą w dziedzinach czystych i innowacyjnych technologii, efektywności energetycznej, odnawialnych źródeł energii, renowacji budynków i magazynowania energii; zauważa w związku z tym znaczenie akademii przemysłu neutralnego emisyjnie; podkreśla potrzebę inwestowania w kształcenie w dziedzinie nauk przyrodniczych, technologii, inżynierii i matematyki (STEM) w celu spełnienia wymogów rynku pracy oraz wspierania potencjału innowacyjnego UE; zwraca uwagę na znaczenie konsultacji ze wszystkimi partnerami społecznymi podczas sporządzania map niedoborów wykwalifikowanej siły roboczej i opracowywania zestawu narzędzi politycznych </w:t>
      </w:r>
      <w:proofErr w:type="gramStart"/>
      <w:r w:rsidRPr="00E111D7">
        <w:t>w</w:t>
      </w:r>
      <w:proofErr w:type="gramEnd"/>
      <w:r w:rsidRPr="00E111D7">
        <w:t xml:space="preserve"> celu zaradzenia tym niedoborom;</w:t>
      </w:r>
    </w:p>
    <w:p w:rsidR="00D16727" w:rsidRPr="00E111D7" w:rsidRDefault="00D16727" w:rsidP="00D16727">
      <w:pPr>
        <w:pStyle w:val="NormalHanging12a"/>
        <w:rPr>
          <w:b/>
          <w:bCs/>
          <w:i/>
          <w:iCs/>
          <w:szCs w:val="24"/>
        </w:rPr>
      </w:pPr>
      <w:r w:rsidRPr="00E111D7">
        <w:rPr>
          <w:b/>
          <w:i/>
        </w:rPr>
        <w:t>Polityka energetyczna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123.</w:t>
      </w:r>
      <w:r w:rsidRPr="00E111D7">
        <w:tab/>
      </w:r>
      <w:proofErr w:type="gramStart"/>
      <w:r w:rsidRPr="00E111D7">
        <w:t>zauważa</w:t>
      </w:r>
      <w:proofErr w:type="gramEnd"/>
      <w:r w:rsidRPr="00E111D7">
        <w:t xml:space="preserve"> z zaniepokojeniem, że w ostatnich latach na całym świecie gwałtownie wzrosły dopłaty do paliw kopalnych</w:t>
      </w:r>
      <w:r w:rsidRPr="00E111D7">
        <w:rPr>
          <w:rStyle w:val="FootnoteReference"/>
          <w:szCs w:val="24"/>
        </w:rPr>
        <w:footnoteReference w:id="37"/>
      </w:r>
      <w:r w:rsidRPr="00E111D7">
        <w:t>; ubolewa, że dopłaty do paliw kopalnych w UE utrzymywały się od 2008 r. na stabilnym poziomie około 55–58 mld EUR rocznie, a w 2022 r. wręcz wzrosły do 123 mld EUR; zauważa w związku z tym, że obecne tendencje inwestycyjne nie są dostosowane do poziomów niezbędnych, aby świat mógł osiągnąć cele uzgodnione podczas COP28 zakładające potrojenie mocy energii ze źródeł odnawialnych i podwojenie tempa poprawy efektywności energetycznej, oraz że konieczne jest podwojenie obecnych rocznych wydatków na produkcję energii elektrycznej ze źródeł odnawialnych, sieci i magazynowanie w 2030 r.</w:t>
      </w:r>
      <w:r w:rsidRPr="00E111D7">
        <w:rPr>
          <w:rStyle w:val="FootnoteReference"/>
          <w:szCs w:val="24"/>
        </w:rPr>
        <w:footnoteReference w:id="38"/>
      </w:r>
      <w:r w:rsidRPr="00E111D7">
        <w:t xml:space="preserve">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124.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niewykorzystany potencjał energii geotermalnej, która może znacząco przyczynić się do osiągnięcia celów porozumienia paryskiego i polityki energetycznej UE; zachęca strony do wymiany najlepszych praktyk, technologicznej wiedzy fachowej oraz wyników badań naukowych i innowacji w zakresie technologii geotermalnych;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125.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 o energetycznych aspektach wyników pierwszego globalnego przeglądu w ramach konsensusu z ZEA, w szczególności o odejściu od paliw kopalnych w celu osiągnięcia zerowej emisji gazów cieplarnianych netto do 2050 r., zgodnie z nauką, o potrojeniu mocy wytwórczej energii ze źródeł odnawialnych na świecie i podwojeniu globalnego średniego rocznego wskaźnika poprawy efektywności energetycznej do 2030 r., a także o apelu o przyspieszenie wdrażania i inwestycji w czyste, zrównoważone, bezpieczne i energooszczędne technologie i systemy; wzywa do ciągłej oceny postępów w osiąganiu tych celów;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126.</w:t>
      </w:r>
      <w:r w:rsidRPr="00E111D7">
        <w:tab/>
      </w:r>
      <w:proofErr w:type="gramStart"/>
      <w:r w:rsidRPr="00E111D7">
        <w:t>zauważa</w:t>
      </w:r>
      <w:proofErr w:type="gramEnd"/>
      <w:r w:rsidRPr="00E111D7">
        <w:t xml:space="preserve">, że ważne byłoby ustanowienie uzupełniającego celu globalnego, zakładającego sześciokrotny wzrost magazynowania energii w sektorze elektroenergetycznym do 1 500 GW oraz, w szerszym ujęciu, zwiększenie elastyczności systemu do 2030 r., zgodnie z celami uzgodnionymi przez ministrów energii państw grupy G-7 w kwietniu 2024 r.; podkreśla, że należy zwrócić większą uwagę na rozwiązania technologiczne mające na celu ograniczenie emisji gazów cieplarnianych w </w:t>
      </w:r>
      <w:r w:rsidRPr="00E111D7">
        <w:lastRenderedPageBreak/>
        <w:t xml:space="preserve">atmosferze;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127.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znaczenie globalnej redukcji emisji metanu w łańcuchach dostaw paliw kopalnych podczas przechodzenia na systemy czystej energii w celu osiągnięcia globalnego poziomu redukcji emisji metanu o 75 % do 2030 r., zgodnie ze scenariuszem neutralności emisyjnej MAE do 2050 r.; wzywa sygnatariuszy globalnego zobowiązania dotyczącego metanu do przyspieszenia działań na rzecz redukcji emisji metanu do 2030 r.; zauważa, że rozporządzenie w sprawie metanu</w:t>
      </w:r>
      <w:r w:rsidRPr="00E111D7">
        <w:rPr>
          <w:rStyle w:val="FootnoteReference"/>
          <w:szCs w:val="24"/>
        </w:rPr>
        <w:footnoteReference w:id="39"/>
      </w:r>
      <w:r w:rsidRPr="00E111D7">
        <w:t xml:space="preserve"> wprowadza globalne narzędzia monitorowania w celu zwiększenia przejrzystości emisji metanu z importu ropy naftowej, gazu i węgla do UE oraz zapewnienia równych warunków działania dla operatorów z UE i spoza UE, przy jednoczesnym uwzględnieniu bezpieczeństwa dostaw;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128.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zmiana klimatu i ekstremalne zdarzenia pogodowe mają coraz poważniejszy wpływ na nasze systemy energetyczne, w tym na produkcję energii wodnej, wydajność wytwarzania bioenergii, efektywność elektrowni cieplnych oraz zapotrzebowanie na ogrzewanie i chłodzenie; zauważa, że odnawialne źródła energii mogą często charakteryzować się zmiennymi poziomami produkcji, co uwypukla potrzebę rozwoju zdolności magazynowania;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129.</w:t>
      </w:r>
      <w:r w:rsidRPr="00E111D7">
        <w:tab/>
      </w:r>
      <w:proofErr w:type="gramStart"/>
      <w:r w:rsidRPr="00E111D7">
        <w:t>zwraca</w:t>
      </w:r>
      <w:proofErr w:type="gramEnd"/>
      <w:r w:rsidRPr="00E111D7">
        <w:t xml:space="preserve"> uwagę na gruntowny przegląd unijnych przepisów energetycznych objętych pakietem „Gotowi na 55”, który dostosował je do podwyższonego celu UE zakładającego ograniczenie emisji o co najmniej 55 % do 2030 r., żeby najpóźniej do 2050 r. osiągnąć neutralność klimatyczną; podkreśla, że osiągnięcie naszych celów klimatycznych i energetycznych zależy od skutecznego wdrożenia pakietu „Gotowi na 55”; uważa, że inne strony powinny podjąć podobne i istotne działania, przy zachęcie i współpracy ze strony UE;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130.</w:t>
      </w:r>
      <w:r w:rsidRPr="00E111D7">
        <w:tab/>
      </w:r>
      <w:proofErr w:type="gramStart"/>
      <w:r w:rsidRPr="00E111D7">
        <w:t>apeluje</w:t>
      </w:r>
      <w:proofErr w:type="gramEnd"/>
      <w:r w:rsidRPr="00E111D7">
        <w:t xml:space="preserve">, aby zapowiedziany Czysty Ład Przemysłowy zagwarantował konkurencyjność przemysłu i poprawę jakości miejsc pracy za pomocą środków sektorowych i międzysektorowych, przez uproszczenie przystępnych cenowo, zrównoważonych i bezpiecznych dostaw energii i surowców, inwestowanie w nie oraz zapewnienie dostępu do nich, we współpracy z przemysłem, partnerami społecznymi, instytucjami finansowymi i wszystkimi zainteresowanymi stronami, z myślą o wspieraniu przemysłu w dążeniu do przyszłości neutralnej dla klimatu z uzasadnieniem biznesowym;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131.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kluczową rolę efektywności energetycznej, odnawialnych źródeł energii, zdywersyfikowanego systemu energetycznego i niskoemisyjnych źródeł energii w przechodzeniu na gospodarkę neutralną dla klimatu; podobnie jak uczyniła to UE w ramach pakietu „Gotowi na 55, dostrzega jednak znaczenie dostosowania polityki i środków w zakresie energii ze źródeł odnawialnych i efektywności energetycznej w celu osiągnięcia neutralności klimatycznej najpóźniej do 2050 r. oraz zgodności z porozumieniem paryskim, z wykorzystaniem możliwości, jakie oferuje obecny spadek kosztów energii ze źródeł odnawialnych i technologii magazynowania energii; w związku z tym wyraża zadowolenie z przyjęcie pilnej i ukierunkowanej reformy </w:t>
      </w:r>
      <w:r w:rsidRPr="00E111D7">
        <w:lastRenderedPageBreak/>
        <w:t xml:space="preserve">struktury rynku energii elektrycznej, której celem jest m.in. przyczynienie się </w:t>
      </w:r>
      <w:proofErr w:type="gramStart"/>
      <w:r w:rsidRPr="00E111D7">
        <w:t>do</w:t>
      </w:r>
      <w:proofErr w:type="gramEnd"/>
      <w:r w:rsidRPr="00E111D7">
        <w:t xml:space="preserve"> zwiększenia produkcji energii ze źródeł odnawialnych, wzmocnienie pozycji konsumentów i ich ochrona oraz zmniejszenie zależności rachunków za energię, których koszt ponoszą konsumenci i przedsiębiorstwa, od krótkoterminowych wahań cen;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132.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, że Unia zobowiązała się przestrzegać zasady „efektywność energetyczna przede wszystkim”, która uwzględnia oszczędność kosztową, efektywność systemu, zdolność magazynowania, elastyczność popytu i bezpieczeństwo dostaw;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133.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potrzebę znacznych inwestycji publicznych i prywatnych w sieć energetyczną UE i powiązaną infrastrukturę, aby umożliwić ich modernizację i rozbudowę oraz dalszą elastyczną integrację odnawialnych źródeł energii, środków w zakresie efektywności energetycznej i rozwiązań w zakresie magazynowania z myślą o zapewnieniu obywatelom i przemysłowi czystej, wystarczającej, bezpiecznej i przystępnej cenowo energii; zwraca w szczególności uwagę na potrzebę modernizacji sieci elektroenergetycznej UE, aby uwzględnić znaczny wzrost mocy energii ze źródeł odnawialnych, zmienność wytwarzanej ilości energii, zmieniające się wzorce przepływu energii elektrycznej w Europie i nowe zapotrzebowanie; przypomina, że należy usunąć bariery, w tym złożoność procesów wydawania pozwoleń na infrastrukturę elektroenergetyczną, w </w:t>
      </w:r>
      <w:proofErr w:type="gramStart"/>
      <w:r w:rsidRPr="00E111D7">
        <w:t>celu</w:t>
      </w:r>
      <w:proofErr w:type="gramEnd"/>
      <w:r w:rsidRPr="00E111D7">
        <w:t xml:space="preserve"> dalszej integracji systemów energetycznych państw członkowskich, co zwiększy potencjał Unii w zakresie produkcji czystej energii; zaznacza również, że trzeba wspierać wprowadzanie połączeń międzysystemowych; podkreśla, że państwa członkowskie muszą osiągnąć cel zakładający 15 % elektroenergetycznych połączeń międzysystemowych do 2030 r.;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134.</w:t>
      </w:r>
      <w:r w:rsidRPr="00E111D7">
        <w:tab/>
      </w:r>
      <w:proofErr w:type="gramStart"/>
      <w:r w:rsidRPr="00E111D7">
        <w:t>zaznacza</w:t>
      </w:r>
      <w:proofErr w:type="gramEnd"/>
      <w:r w:rsidRPr="00E111D7">
        <w:t xml:space="preserve">, że osiągnięcie zerowej emisji gazów cieplarnianych netto na całym świecie najpóźniej do 2050 r. będzie wymagało skoordynowanych działań na skalę światową oraz że kraje rozwijające się będą potrzebowały międzynarodowego wsparcia w celu przeprowadzenia transformacji ekologicznej; podkreśla, że należy usprawniać bliską współpracę transgraniczną i wymianę najlepszych praktyk z partnerami międzynarodowymi w dziedzinie kształtowania polityki, nauki i transferu technologii;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135.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należy promować partnerstwa z państwami trzecimi w zakresie zewnętrznego wymiaru polityki energetycznej; dostrzega wysiłki UE na rzecz budowania sojuszy energetycznych z perspektywą zrównoważonego rozwoju;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136.</w:t>
      </w:r>
      <w:r w:rsidRPr="00E111D7">
        <w:tab/>
      </w:r>
      <w:proofErr w:type="gramStart"/>
      <w:r w:rsidRPr="00E111D7">
        <w:t>zwraca</w:t>
      </w:r>
      <w:proofErr w:type="gramEnd"/>
      <w:r w:rsidRPr="00E111D7">
        <w:t xml:space="preserve"> uwagę na deklarację uchwaloną podczas COP28</w:t>
      </w:r>
      <w:r w:rsidRPr="00E111D7">
        <w:rPr>
          <w:rStyle w:val="FootnoteReference"/>
          <w:szCs w:val="24"/>
        </w:rPr>
        <w:footnoteReference w:id="40"/>
      </w:r>
      <w:r w:rsidRPr="00E111D7">
        <w:t xml:space="preserve"> przez ponad 20 państw, w tym 12 państw członkowskich UE i Ukrainę, dotyczącą trzykrotnego zwiększenia globalnych zdolności jądrowych do 2050 r.;</w:t>
      </w:r>
      <w:r w:rsidRPr="00E111D7">
        <w:rPr>
          <w:b/>
          <w:i/>
        </w:rPr>
        <w:t xml:space="preserve">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137.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 centralną rolę, jaką obywatele i społeczności lokalne mają do odegrania w udanej globalnej transformacji energetycznej, oraz szczególne bariery, z którymi muszą się mierzyć w dostępie do instrumentów finansowych oraz do kapitału publicznego i prywatnego; zwraca uwagę na znaczenie prawodawstwa UE, które określa obowiązujące ich ramy produkcji, konsumpcji własnej, magazynowania i sprzedaży energii ze źródeł odnawialnych oraz oferowania m.in. obywatelom usług w zakresie reagowania na zapotrzebowanie i efektywności energetycznej; podkreśla, że dorobek </w:t>
      </w:r>
      <w:r w:rsidRPr="00E111D7">
        <w:lastRenderedPageBreak/>
        <w:t xml:space="preserve">prawny UE stanowi dobrą praktykę, którą można przekazać partnerom międzynarodowym dążącym do przyspieszenia transformacji ekologicznej w sposób sprawiedliwy społecznie i demokratyczny;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rPr>
          <w:b/>
          <w:i/>
        </w:rPr>
        <w:t xml:space="preserve">Badania naukowe, innowacje, technologie cyfrowe i polityka kosmiczna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138.</w:t>
      </w:r>
      <w:r w:rsidRPr="00E111D7">
        <w:tab/>
      </w:r>
      <w:proofErr w:type="gramStart"/>
      <w:r w:rsidRPr="00E111D7">
        <w:t>z</w:t>
      </w:r>
      <w:proofErr w:type="gramEnd"/>
      <w:r w:rsidRPr="00E111D7">
        <w:t xml:space="preserve"> zadowoleniem przyjmuje zadania, które program Copernicus i nowe unijne centrum wiedzy w zakresie obserwacji Ziemi wykonują w odniesieniu do monitorowania obszarów lądowych, atmosfery i środowiska morskiego; podkreśla, że zdolności obserwacji satelitarnej są ważne dla monitorowania, modelowania, przewidywania i wspierania kształtowania polityki w dziedzinie zmiany klimatu, w tym monitorowania emisji metanu, zdarzeń powodujących nieproporcjonalnie wysokie emisje i pochłaniaczy dwutlenku węgla; zwraca uwagę na potrzebę promowania wspólnych programów badawczych w celu rozwoju technologii i infrastruktury na rzecz zarówno przestrzeni kosmicznej, jak i ochrony klimatu; podkreśla znaczenie partnerstw publiczno-prywatnych dla promowania współpracy między rządowymi i komercyjnymi agencjami kosmicznymi; zwraca uwagę na potrzebę </w:t>
      </w:r>
      <w:proofErr w:type="gramStart"/>
      <w:r w:rsidRPr="00E111D7">
        <w:t>osiągnięcia</w:t>
      </w:r>
      <w:proofErr w:type="gramEnd"/>
      <w:r w:rsidRPr="00E111D7">
        <w:t xml:space="preserve"> prawdziwej strategicznej autonomii UE w dziedzinie satelitarnej oraz dalszego inwestowania w gospodarkę kosmiczną;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139.</w:t>
      </w:r>
      <w:r w:rsidRPr="00E111D7">
        <w:tab/>
      </w:r>
      <w:proofErr w:type="gramStart"/>
      <w:r w:rsidRPr="00E111D7">
        <w:t>przypomina</w:t>
      </w:r>
      <w:proofErr w:type="gramEnd"/>
      <w:r w:rsidRPr="00E111D7">
        <w:t xml:space="preserve">, jak ważny jest wkład badań naukowych i innowacji w realizację celów określonych w porozumieniu paryskim i celów Europejskiego Zielonego Ładu; podkreśla, że zdecydowana większość badań naukowych i innowacji niezbędnych do osiągnięcia neutralności emisyjnej do 2050 r. jest jeszcze przed nami; ubolewa, że UE nadal nie zrealizowała dawno wyznaczonego celu, jakim jest inwestowanie co roku 3 % PKB w badania naukowe i rozwój, oraz wzywa do przyjęcia nowych podejść do zwiększenia wydatków na badania naukowe i rozwój w przemyśle;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140.</w:t>
      </w:r>
      <w:r w:rsidRPr="00E111D7">
        <w:tab/>
      </w:r>
      <w:proofErr w:type="gramStart"/>
      <w:r w:rsidRPr="00E111D7">
        <w:t>w</w:t>
      </w:r>
      <w:proofErr w:type="gramEnd"/>
      <w:r w:rsidRPr="00E111D7">
        <w:t xml:space="preserve"> związku z tym z zadowoleniem przyjmuje zwłaszcza rolę programu „Horyzont Europa” i działających w jego ramach partnerstw, takich jak wspólne przedsięwzięcia oraz wspólnoty wiedzy i innowacji Europejskiego Instytutu Innowacji i Technologii, w promowaniu współpracy między sektorem publicznym i prywatnym w celu przyczynienia się do osiągnięcia neutralności klimatycznej i transformacji ekologicznej, przy jednoczesnym zagwarantowaniu, że innowacje są zrównoważone, dostępne i przystępne cenowo dla wszystkich;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141.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trzeba przyciągnąć więcej inwestycji, zarówno publicznych, jak i prywatnych, w badania naukowe, innowacje i wdrażanie nowych zrównoważonych technologii – w tym w pracochłonnych gałęziach przemysłu – oraz w modernizację istniejących i, w razie potrzeby, nowych sieci infrastruktury, a także w projekty przyczyniające się do realizacji celów Europejskiego Zielonego Ładu i porozumienia paryskiego;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142.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aby osiągnąć cele na lata 2030 i 2050, zachęty wspierające czyste i innowacyjne technologie muszą być spójne i logiczne oraz odnosić się do wdrażania już zaawansowanych technologii, jak również do inwestycji w nowe technologie, których opracowanie może okazać się niezbędne, żeby osiągnąć cel Unii zakładający neutralność klimatyczną najpóźniej do 2050 r.;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143.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UE musi współpracować w zakresie badań nad technologią, przemysłem i innowacyjną nauką, aby wnieść istotny wkład w porozumienie paryskie; wzywa do </w:t>
      </w:r>
      <w:r w:rsidRPr="00E111D7">
        <w:lastRenderedPageBreak/>
        <w:t xml:space="preserve">wdrożenia zapowiedzianej strategii na rzecz europejskich nauk biologicznych; apeluje do Komisji, aby wspierała strategiczne partnerstwa badawcze w celu zapewnienia równych warunków działania w Europie; 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144.</w:t>
      </w:r>
      <w:r w:rsidRPr="00E111D7">
        <w:tab/>
      </w:r>
      <w:proofErr w:type="gramStart"/>
      <w:r w:rsidRPr="00E111D7">
        <w:t>podkreśla</w:t>
      </w:r>
      <w:proofErr w:type="gramEnd"/>
      <w:r w:rsidRPr="00E111D7">
        <w:t xml:space="preserve">, że cyfryzacja jest jednym z najważniejszych czynników sprzyjających integracji systemów energetycznych, ponieważ może umożliwić dynamiczny i wzajemnie powiązany przepływ nośników energii, pozwolić na wzajemne połączenie bardziej zróżnicowanych rynków, dostarczyć danych niezbędnych do dopasowania podaży i popytu oraz usprawnić zarządzanie siecią; podkreśla potencjał technologii cyfrowych w zwiększaniu efektywności energetycznej, a tym samym ograniczaniu ogólnych emisji gazów cieplarnianych, a jednocześnie dostrzega pilną potrzebę przyjęcia zrównoważonych praktyk w celu zminimalizowania coraz większego śladu węglowego i pod względem zużycia zasobów wynikającego z cyfryzacji oraz sektora technologii informacyjno-komunikacyjnych, w szczególności ośrodków przetwarzania danych i innej infrastruktury obliczeniowej; przypomina o celu UE zakładającym uczynienie ośrodków </w:t>
      </w:r>
      <w:proofErr w:type="gramStart"/>
      <w:r w:rsidRPr="00E111D7">
        <w:t>przetwarzania</w:t>
      </w:r>
      <w:proofErr w:type="gramEnd"/>
      <w:r w:rsidRPr="00E111D7">
        <w:t xml:space="preserve"> danych neutralnymi dla klimatu i wysoce energooszczędnymi nie później niż do 2030 r., zgodnie z unijną strategią cyfrową;</w:t>
      </w:r>
    </w:p>
    <w:p w:rsidR="00D16727" w:rsidRPr="00E111D7" w:rsidRDefault="00D16727" w:rsidP="00D16727">
      <w:pPr>
        <w:pStyle w:val="NormalHanging12a"/>
        <w:rPr>
          <w:b/>
          <w:i/>
          <w:szCs w:val="24"/>
        </w:rPr>
      </w:pPr>
      <w:r w:rsidRPr="00E111D7">
        <w:rPr>
          <w:b/>
          <w:i/>
        </w:rPr>
        <w:t>Rola Parlamentu Europejskiego na COP29</w:t>
      </w:r>
    </w:p>
    <w:p w:rsidR="00D16727" w:rsidRPr="00E111D7" w:rsidRDefault="00D16727" w:rsidP="00D16727">
      <w:pPr>
        <w:pStyle w:val="NormalHanging12a"/>
        <w:rPr>
          <w:szCs w:val="24"/>
        </w:rPr>
      </w:pPr>
      <w:r w:rsidRPr="00E111D7">
        <w:t>145.</w:t>
      </w:r>
      <w:r w:rsidRPr="00E111D7">
        <w:tab/>
      </w:r>
      <w:proofErr w:type="gramStart"/>
      <w:r w:rsidRPr="00E111D7">
        <w:t>uważa</w:t>
      </w:r>
      <w:proofErr w:type="gramEnd"/>
      <w:r w:rsidRPr="00E111D7">
        <w:t xml:space="preserve">, że Parlament powinien stanowić integralną część delegacji UE na COP29, ponieważ porozumienia międzynarodowe wymagają jego zgody, a ponadto jako </w:t>
      </w:r>
      <w:proofErr w:type="spellStart"/>
      <w:r w:rsidRPr="00E111D7">
        <w:t>współprawodawca</w:t>
      </w:r>
      <w:proofErr w:type="spellEnd"/>
      <w:r w:rsidRPr="00E111D7">
        <w:t xml:space="preserve"> odgrywa on kluczową rolę we wdrażaniu porozumienia paryskiego w Unii; oczekuje zatem, że zostanie dopuszczony do udziału w spotkaniach koordynacyjnych UE na COP29 w Baku i że zostanie mu zagwarantowany dostęp do wszystkich dokumentów przygotowawczych; zobowiązuje się działać w sposób niezależny i wolny od konfliktów interesów;</w:t>
      </w:r>
    </w:p>
    <w:p w:rsidR="00D16727" w:rsidRPr="00E111D7" w:rsidRDefault="00D16727" w:rsidP="00D16727">
      <w:pPr>
        <w:pStyle w:val="NormalHanging12a"/>
        <w:jc w:val="center"/>
      </w:pPr>
      <w:r w:rsidRPr="00E111D7">
        <w:t>°</w:t>
      </w:r>
    </w:p>
    <w:p w:rsidR="00D16727" w:rsidRPr="00E111D7" w:rsidRDefault="00D16727" w:rsidP="00D16727">
      <w:pPr>
        <w:pStyle w:val="NormalHanging12a"/>
        <w:jc w:val="center"/>
      </w:pPr>
      <w:r w:rsidRPr="00E111D7">
        <w:t>°</w:t>
      </w:r>
      <w:r w:rsidRPr="00E111D7">
        <w:tab/>
        <w:t>°</w:t>
      </w:r>
    </w:p>
    <w:p w:rsidR="00E111D7" w:rsidRPr="00E111D7" w:rsidRDefault="00D16727" w:rsidP="00E111D7">
      <w:pPr>
        <w:pStyle w:val="NormalHanging12a"/>
      </w:pPr>
      <w:r w:rsidRPr="00E111D7">
        <w:t>146.</w:t>
      </w:r>
      <w:r w:rsidRPr="00E111D7">
        <w:tab/>
      </w:r>
      <w:proofErr w:type="gramStart"/>
      <w:r w:rsidRPr="00E111D7">
        <w:t>zobowiązuje</w:t>
      </w:r>
      <w:proofErr w:type="gramEnd"/>
      <w:r w:rsidRPr="00E111D7">
        <w:t xml:space="preserve"> swoją przewodniczącą do przekazania niniejszej rezolucji Radzie, Komisji, rządom i parlamentom państw członkowskich oraz sekretariatowi Ramowej konwencji Narodów Zjednoczonych w sprawie zmian klimatu z prośbą o rozpowszechnienie jej wśród wszystkich stron konwencji spoza UE.</w:t>
      </w:r>
    </w:p>
    <w:p w:rsidR="00E365E1" w:rsidRPr="00E111D7" w:rsidRDefault="00E365E1" w:rsidP="00C26922"/>
    <w:sectPr w:rsidR="00E365E1" w:rsidRPr="00E111D7" w:rsidSect="00E111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922" w:rsidRPr="00E111D7" w:rsidRDefault="00C26922">
      <w:r w:rsidRPr="00E111D7">
        <w:separator/>
      </w:r>
    </w:p>
  </w:endnote>
  <w:endnote w:type="continuationSeparator" w:id="0">
    <w:p w:rsidR="00C26922" w:rsidRPr="00E111D7" w:rsidRDefault="00C26922">
      <w:r w:rsidRPr="00E111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1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1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1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922" w:rsidRPr="00E111D7" w:rsidRDefault="00C26922">
      <w:r w:rsidRPr="00E111D7">
        <w:separator/>
      </w:r>
    </w:p>
  </w:footnote>
  <w:footnote w:type="continuationSeparator" w:id="0">
    <w:p w:rsidR="00C26922" w:rsidRPr="00E111D7" w:rsidRDefault="00C26922">
      <w:r w:rsidRPr="00E111D7">
        <w:continuationSeparator/>
      </w:r>
    </w:p>
  </w:footnote>
  <w:footnote w:id="1">
    <w:p w:rsidR="00D16727" w:rsidRPr="00B81D85" w:rsidRDefault="00D16727" w:rsidP="00E111D7">
      <w:pPr>
        <w:pStyle w:val="FootnoteText"/>
        <w:ind w:left="567" w:hanging="567"/>
        <w:rPr>
          <w:sz w:val="24"/>
          <w:lang w:val="fi-FI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B81D85">
        <w:rPr>
          <w:sz w:val="24"/>
          <w:lang w:val="fi-FI"/>
        </w:rPr>
        <w:t xml:space="preserve"> </w:t>
      </w:r>
      <w:r w:rsidR="00E111D7" w:rsidRPr="00B81D85">
        <w:rPr>
          <w:sz w:val="24"/>
          <w:lang w:val="fi-FI"/>
        </w:rPr>
        <w:tab/>
      </w:r>
      <w:proofErr w:type="spellStart"/>
      <w:r w:rsidRPr="00B81D85">
        <w:rPr>
          <w:sz w:val="24"/>
          <w:lang w:val="fi-FI"/>
        </w:rPr>
        <w:t>Dz.U</w:t>
      </w:r>
      <w:proofErr w:type="spellEnd"/>
      <w:r w:rsidRPr="00B81D85">
        <w:rPr>
          <w:sz w:val="24"/>
          <w:lang w:val="fi-FI"/>
        </w:rPr>
        <w:t xml:space="preserve">. C, C/2024/4210, 24.7.2024, ELI: </w:t>
      </w:r>
      <w:hyperlink r:id="rId1" w:history="1">
        <w:r w:rsidRPr="00B81D85">
          <w:rPr>
            <w:rStyle w:val="Hyperlink"/>
            <w:sz w:val="24"/>
            <w:lang w:val="fi-FI"/>
          </w:rPr>
          <w:t>http://data.europa.eu/eli/C/2024/4210/oj</w:t>
        </w:r>
      </w:hyperlink>
      <w:r w:rsidRPr="00B81D85">
        <w:rPr>
          <w:sz w:val="24"/>
          <w:lang w:val="fi-FI"/>
        </w:rPr>
        <w:t>.</w:t>
      </w:r>
    </w:p>
  </w:footnote>
  <w:footnote w:id="2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>Teksty przyjęte, P9_TA(2024)0369.</w:t>
      </w:r>
    </w:p>
  </w:footnote>
  <w:footnote w:id="3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C, C/2024/493, 23.1.2024, ELI: </w:t>
      </w:r>
      <w:hyperlink r:id="rId2" w:tgtFrame="_blank" w:tooltip="Dostęp do dokumentu przez ELI URI." w:history="1">
        <w:r w:rsidRPr="00E111D7">
          <w:rPr>
            <w:sz w:val="24"/>
            <w:lang w:val="pl-PL"/>
          </w:rPr>
          <w:t>http://data.europa.eu/eli/C/2024/493/oj</w:t>
        </w:r>
      </w:hyperlink>
      <w:r w:rsidRPr="00E111D7">
        <w:rPr>
          <w:sz w:val="24"/>
          <w:lang w:val="pl-PL"/>
        </w:rPr>
        <w:t>.</w:t>
      </w:r>
    </w:p>
  </w:footnote>
  <w:footnote w:id="4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L 243 z 9.7.2021,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 xml:space="preserve">. 1, ELI: </w:t>
      </w:r>
      <w:hyperlink r:id="rId3" w:history="1">
        <w:r w:rsidRPr="00E111D7">
          <w:rPr>
            <w:rStyle w:val="Hyperlink"/>
            <w:sz w:val="24"/>
            <w:lang w:val="pl-PL"/>
          </w:rPr>
          <w:t>http://data.europa.eu/eli/reg/2021/1119/oj</w:t>
        </w:r>
      </w:hyperlink>
      <w:r w:rsidRPr="00E111D7">
        <w:rPr>
          <w:sz w:val="24"/>
          <w:lang w:val="pl-PL"/>
        </w:rPr>
        <w:t>.</w:t>
      </w:r>
    </w:p>
  </w:footnote>
  <w:footnote w:id="5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 232 z 16.6.2021,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>. 28.</w:t>
      </w:r>
    </w:p>
  </w:footnote>
  <w:footnote w:id="6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 445 z 29.10.2021,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>. 156.</w:t>
      </w:r>
    </w:p>
  </w:footnote>
  <w:footnote w:id="7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 184 z 5.5.2022,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>. 105.</w:t>
      </w:r>
    </w:p>
  </w:footnote>
  <w:footnote w:id="8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 67 z 8.2.2022,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>. 25.</w:t>
      </w:r>
    </w:p>
  </w:footnote>
  <w:footnote w:id="9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 132 z 14.4.2023,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>. 106.</w:t>
      </w:r>
    </w:p>
  </w:footnote>
  <w:footnote w:id="10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 506 z 15.12.2021,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>. 38.</w:t>
      </w:r>
    </w:p>
  </w:footnote>
  <w:footnote w:id="11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 385 z 22.9.2021,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>. 10.</w:t>
      </w:r>
    </w:p>
  </w:footnote>
  <w:footnote w:id="12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 125 z 5.4.2023,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>. 135.</w:t>
      </w:r>
    </w:p>
  </w:footnote>
  <w:footnote w:id="13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 132 z 14.4.2023,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>. 54.</w:t>
      </w:r>
    </w:p>
  </w:footnote>
  <w:footnote w:id="14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Dz.U. C 465 z 17.11.2021,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 xml:space="preserve">. 11. </w:t>
      </w:r>
    </w:p>
  </w:footnote>
  <w:footnote w:id="15">
    <w:p w:rsidR="00D16727" w:rsidRPr="00B81D85" w:rsidRDefault="00D16727" w:rsidP="00E111D7">
      <w:pPr>
        <w:pStyle w:val="FootnoteText"/>
        <w:ind w:left="567" w:hanging="567"/>
        <w:rPr>
          <w:sz w:val="24"/>
          <w:lang w:val="fi-FI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B81D85">
        <w:rPr>
          <w:sz w:val="24"/>
          <w:lang w:val="fi-FI"/>
        </w:rPr>
        <w:t xml:space="preserve"> </w:t>
      </w:r>
      <w:r w:rsidR="00E111D7" w:rsidRPr="00B81D85">
        <w:rPr>
          <w:sz w:val="24"/>
          <w:lang w:val="fi-FI"/>
        </w:rPr>
        <w:tab/>
      </w:r>
      <w:proofErr w:type="spellStart"/>
      <w:r w:rsidRPr="00B81D85">
        <w:rPr>
          <w:sz w:val="24"/>
          <w:lang w:val="fi-FI"/>
        </w:rPr>
        <w:t>Dz.U</w:t>
      </w:r>
      <w:proofErr w:type="spellEnd"/>
      <w:r w:rsidRPr="00B81D85">
        <w:rPr>
          <w:sz w:val="24"/>
          <w:lang w:val="fi-FI"/>
        </w:rPr>
        <w:t xml:space="preserve">. C, C/2024/488, 23.1.2024, ELI: </w:t>
      </w:r>
      <w:hyperlink r:id="rId4" w:history="1">
        <w:r w:rsidRPr="00B81D85">
          <w:rPr>
            <w:rStyle w:val="Hyperlink"/>
            <w:sz w:val="24"/>
            <w:lang w:val="fi-FI"/>
          </w:rPr>
          <w:t>http://data.europa.eu/eli/C/2024/488/oj</w:t>
        </w:r>
      </w:hyperlink>
      <w:r w:rsidRPr="00B81D85">
        <w:rPr>
          <w:sz w:val="24"/>
          <w:lang w:val="fi-FI"/>
        </w:rPr>
        <w:t>.</w:t>
      </w:r>
    </w:p>
  </w:footnote>
  <w:footnote w:id="16">
    <w:p w:rsidR="00D16727" w:rsidRPr="00A7056F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A7056F">
        <w:rPr>
          <w:sz w:val="24"/>
          <w:lang w:val="pl-PL"/>
        </w:rPr>
        <w:t xml:space="preserve"> </w:t>
      </w:r>
      <w:r w:rsidR="00E111D7" w:rsidRPr="00A7056F">
        <w:rPr>
          <w:sz w:val="24"/>
          <w:lang w:val="pl-PL"/>
        </w:rPr>
        <w:tab/>
      </w:r>
      <w:r w:rsidRPr="00A7056F">
        <w:rPr>
          <w:sz w:val="24"/>
          <w:lang w:val="pl-PL"/>
        </w:rPr>
        <w:t xml:space="preserve">Dz.U. C 493 z 27.12.2022, </w:t>
      </w:r>
      <w:proofErr w:type="gramStart"/>
      <w:r w:rsidRPr="00A7056F">
        <w:rPr>
          <w:sz w:val="24"/>
          <w:lang w:val="pl-PL"/>
        </w:rPr>
        <w:t>s</w:t>
      </w:r>
      <w:proofErr w:type="gramEnd"/>
      <w:r w:rsidRPr="00A7056F">
        <w:rPr>
          <w:sz w:val="24"/>
          <w:lang w:val="pl-PL"/>
        </w:rPr>
        <w:t>. 19.</w:t>
      </w:r>
    </w:p>
  </w:footnote>
  <w:footnote w:id="17">
    <w:p w:rsidR="00D16727" w:rsidRPr="00A7056F" w:rsidRDefault="00D16727" w:rsidP="00B81D85">
      <w:pPr>
        <w:pStyle w:val="FootnoteText"/>
        <w:ind w:left="567" w:hanging="567"/>
        <w:rPr>
          <w:i/>
          <w:sz w:val="24"/>
          <w:szCs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A7056F">
        <w:rPr>
          <w:sz w:val="24"/>
          <w:lang w:val="pl-PL"/>
        </w:rPr>
        <w:t xml:space="preserve"> </w:t>
      </w:r>
      <w:r w:rsidR="00E111D7" w:rsidRPr="00A7056F">
        <w:rPr>
          <w:sz w:val="24"/>
          <w:lang w:val="pl-PL"/>
        </w:rPr>
        <w:tab/>
      </w:r>
      <w:r w:rsidR="00B81D85" w:rsidRPr="00A7056F">
        <w:rPr>
          <w:bCs/>
          <w:iCs/>
          <w:sz w:val="24"/>
          <w:szCs w:val="24"/>
          <w:lang w:val="pl-PL"/>
        </w:rPr>
        <w:t>Komunikat Komisji z dnia 31 października 2024 r. – Sprawozdanie z postępów działań UE w dziedzinie klimatu z 2024 r. (COM(2024)0498).</w:t>
      </w:r>
    </w:p>
  </w:footnote>
  <w:footnote w:id="18">
    <w:p w:rsidR="00B81D85" w:rsidRPr="00A7056F" w:rsidRDefault="00B81D85" w:rsidP="00A7056F">
      <w:pPr>
        <w:pStyle w:val="FootnoteText"/>
        <w:ind w:left="567" w:hanging="567"/>
        <w:rPr>
          <w:i/>
          <w:sz w:val="24"/>
          <w:szCs w:val="24"/>
          <w:lang w:val="pl-PL"/>
        </w:rPr>
      </w:pPr>
      <w:r w:rsidRPr="00A7056F">
        <w:rPr>
          <w:rStyle w:val="FootnoteReference"/>
          <w:i/>
          <w:sz w:val="24"/>
          <w:szCs w:val="24"/>
        </w:rPr>
        <w:footnoteRef/>
      </w:r>
      <w:r w:rsidRPr="00A7056F">
        <w:rPr>
          <w:i/>
          <w:sz w:val="24"/>
          <w:szCs w:val="24"/>
          <w:lang w:val="pl-PL"/>
        </w:rPr>
        <w:t xml:space="preserve"> </w:t>
      </w:r>
      <w:r w:rsidRPr="00A7056F">
        <w:rPr>
          <w:i/>
          <w:sz w:val="24"/>
          <w:szCs w:val="24"/>
          <w:lang w:val="pl-PL"/>
        </w:rPr>
        <w:tab/>
      </w:r>
      <w:r w:rsidRPr="00A7056F">
        <w:rPr>
          <w:sz w:val="24"/>
          <w:szCs w:val="24"/>
          <w:lang w:val="pl-PL"/>
        </w:rPr>
        <w:t>Program Narodów Zjednoczonych ds. Ochrony Środowiska, „</w:t>
      </w:r>
      <w:proofErr w:type="spellStart"/>
      <w:r w:rsidRPr="00A7056F">
        <w:rPr>
          <w:sz w:val="24"/>
          <w:szCs w:val="24"/>
          <w:lang w:val="pl-PL"/>
        </w:rPr>
        <w:t>Emissions</w:t>
      </w:r>
      <w:proofErr w:type="spellEnd"/>
      <w:r w:rsidRPr="00A7056F">
        <w:rPr>
          <w:sz w:val="24"/>
          <w:szCs w:val="24"/>
          <w:lang w:val="pl-PL"/>
        </w:rPr>
        <w:t xml:space="preserve"> Gap Report 2024” [Raport w sprawie rozbieżności między potrzebami a perspektywami w zakresie redukcji emisji, 2024 r.]</w:t>
      </w:r>
    </w:p>
  </w:footnote>
  <w:footnote w:id="19">
    <w:p w:rsidR="00B81D85" w:rsidRPr="00A7056F" w:rsidRDefault="00B81D85" w:rsidP="00A7056F">
      <w:pPr>
        <w:pStyle w:val="FootnoteText"/>
        <w:ind w:left="567" w:hanging="567"/>
        <w:rPr>
          <w:lang w:val="pl-PL"/>
        </w:rPr>
      </w:pPr>
      <w:r w:rsidRPr="00A7056F">
        <w:rPr>
          <w:rStyle w:val="FootnoteReference"/>
          <w:i/>
          <w:sz w:val="24"/>
          <w:szCs w:val="24"/>
        </w:rPr>
        <w:footnoteRef/>
      </w:r>
      <w:r w:rsidRPr="00A7056F">
        <w:rPr>
          <w:i/>
          <w:sz w:val="24"/>
          <w:szCs w:val="24"/>
          <w:lang w:val="pl-PL"/>
        </w:rPr>
        <w:t xml:space="preserve"> </w:t>
      </w:r>
      <w:r w:rsidRPr="00A7056F">
        <w:rPr>
          <w:i/>
          <w:sz w:val="24"/>
          <w:szCs w:val="24"/>
          <w:lang w:val="pl-PL"/>
        </w:rPr>
        <w:tab/>
      </w:r>
      <w:r w:rsidRPr="00A7056F">
        <w:rPr>
          <w:sz w:val="24"/>
          <w:szCs w:val="24"/>
          <w:lang w:val="pl-PL"/>
        </w:rPr>
        <w:t xml:space="preserve">Komisja Europejska: </w:t>
      </w:r>
      <w:r w:rsidRPr="00A7056F">
        <w:rPr>
          <w:bCs/>
          <w:iCs/>
          <w:sz w:val="24"/>
          <w:szCs w:val="24"/>
          <w:lang w:val="pl-PL"/>
        </w:rPr>
        <w:t xml:space="preserve">Wspólne Centrum Badawcze, baza danych o emisjach na potrzeby światowych badań atmosferycznych (EDGAR) (EDGAR), </w:t>
      </w:r>
      <w:r w:rsidRPr="00A7056F">
        <w:rPr>
          <w:bCs/>
          <w:sz w:val="24"/>
          <w:szCs w:val="24"/>
          <w:lang w:val="pl-PL"/>
        </w:rPr>
        <w:t xml:space="preserve">„GHG </w:t>
      </w:r>
      <w:proofErr w:type="spellStart"/>
      <w:r w:rsidRPr="00A7056F">
        <w:rPr>
          <w:bCs/>
          <w:sz w:val="24"/>
          <w:szCs w:val="24"/>
          <w:lang w:val="pl-PL"/>
        </w:rPr>
        <w:t>emissions</w:t>
      </w:r>
      <w:proofErr w:type="spellEnd"/>
      <w:r w:rsidRPr="00A7056F">
        <w:rPr>
          <w:bCs/>
          <w:sz w:val="24"/>
          <w:szCs w:val="24"/>
          <w:lang w:val="pl-PL"/>
        </w:rPr>
        <w:t xml:space="preserve"> of </w:t>
      </w:r>
      <w:proofErr w:type="spellStart"/>
      <w:r w:rsidRPr="00A7056F">
        <w:rPr>
          <w:bCs/>
          <w:sz w:val="24"/>
          <w:szCs w:val="24"/>
          <w:lang w:val="pl-PL"/>
        </w:rPr>
        <w:t>all</w:t>
      </w:r>
      <w:proofErr w:type="spellEnd"/>
      <w:r w:rsidRPr="00A7056F">
        <w:rPr>
          <w:bCs/>
          <w:sz w:val="24"/>
          <w:szCs w:val="24"/>
          <w:lang w:val="pl-PL"/>
        </w:rPr>
        <w:t xml:space="preserve"> </w:t>
      </w:r>
      <w:proofErr w:type="spellStart"/>
      <w:r w:rsidRPr="00A7056F">
        <w:rPr>
          <w:bCs/>
          <w:sz w:val="24"/>
          <w:szCs w:val="24"/>
          <w:lang w:val="pl-PL"/>
        </w:rPr>
        <w:t>world</w:t>
      </w:r>
      <w:proofErr w:type="spellEnd"/>
      <w:r w:rsidRPr="00A7056F">
        <w:rPr>
          <w:bCs/>
          <w:sz w:val="24"/>
          <w:szCs w:val="24"/>
          <w:lang w:val="pl-PL"/>
        </w:rPr>
        <w:t xml:space="preserve"> </w:t>
      </w:r>
      <w:proofErr w:type="spellStart"/>
      <w:r w:rsidRPr="00A7056F">
        <w:rPr>
          <w:bCs/>
          <w:sz w:val="24"/>
          <w:szCs w:val="24"/>
          <w:lang w:val="pl-PL"/>
        </w:rPr>
        <w:t>countries</w:t>
      </w:r>
      <w:proofErr w:type="spellEnd"/>
      <w:r w:rsidRPr="00A7056F">
        <w:rPr>
          <w:bCs/>
          <w:sz w:val="24"/>
          <w:szCs w:val="24"/>
          <w:lang w:val="pl-PL"/>
        </w:rPr>
        <w:t xml:space="preserve"> – 2024” [Emisje gazów cieplarnianych we wszystkich państwach świata – 2024 r.]</w:t>
      </w:r>
      <w:r w:rsidRPr="00A7056F">
        <w:rPr>
          <w:bCs/>
          <w:iCs/>
          <w:sz w:val="24"/>
          <w:szCs w:val="24"/>
          <w:lang w:val="pl-PL"/>
        </w:rPr>
        <w:t>.</w:t>
      </w:r>
      <w:bookmarkStart w:id="6" w:name="_GoBack"/>
      <w:bookmarkEnd w:id="6"/>
    </w:p>
  </w:footnote>
  <w:footnote w:id="20">
    <w:p w:rsidR="00D16727" w:rsidRPr="00A7056F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A7056F">
        <w:rPr>
          <w:sz w:val="24"/>
          <w:lang w:val="pl-PL"/>
        </w:rPr>
        <w:t xml:space="preserve"> </w:t>
      </w:r>
      <w:r w:rsidR="00E111D7" w:rsidRPr="00A7056F">
        <w:rPr>
          <w:sz w:val="24"/>
          <w:lang w:val="pl-PL"/>
        </w:rPr>
        <w:tab/>
      </w:r>
      <w:r w:rsidRPr="00A7056F">
        <w:rPr>
          <w:sz w:val="24"/>
          <w:lang w:val="pl-PL"/>
        </w:rPr>
        <w:t>Bank Światowy, „</w:t>
      </w:r>
      <w:proofErr w:type="spellStart"/>
      <w:r w:rsidRPr="00A7056F">
        <w:rPr>
          <w:sz w:val="24"/>
          <w:lang w:val="pl-PL"/>
        </w:rPr>
        <w:t>Groundswell</w:t>
      </w:r>
      <w:proofErr w:type="spellEnd"/>
      <w:r w:rsidRPr="00A7056F">
        <w:rPr>
          <w:sz w:val="24"/>
          <w:lang w:val="pl-PL"/>
        </w:rPr>
        <w:t xml:space="preserve"> Part 2:</w:t>
      </w:r>
      <w:r w:rsidRPr="00A7056F">
        <w:rPr>
          <w:i/>
          <w:sz w:val="24"/>
          <w:lang w:val="pl-PL"/>
        </w:rPr>
        <w:t xml:space="preserve"> </w:t>
      </w:r>
      <w:proofErr w:type="spellStart"/>
      <w:r w:rsidRPr="00A7056F">
        <w:rPr>
          <w:sz w:val="24"/>
          <w:lang w:val="pl-PL"/>
        </w:rPr>
        <w:t>Acting</w:t>
      </w:r>
      <w:proofErr w:type="spellEnd"/>
      <w:r w:rsidRPr="00A7056F">
        <w:rPr>
          <w:sz w:val="24"/>
          <w:lang w:val="pl-PL"/>
        </w:rPr>
        <w:t xml:space="preserve"> on Internal </w:t>
      </w:r>
      <w:proofErr w:type="spellStart"/>
      <w:r w:rsidRPr="00A7056F">
        <w:rPr>
          <w:sz w:val="24"/>
          <w:lang w:val="pl-PL"/>
        </w:rPr>
        <w:t>Climate</w:t>
      </w:r>
      <w:proofErr w:type="spellEnd"/>
      <w:r w:rsidRPr="00A7056F">
        <w:rPr>
          <w:sz w:val="24"/>
          <w:lang w:val="pl-PL"/>
        </w:rPr>
        <w:t xml:space="preserve"> Migration” [Narastająca fala, część 2: Działania w zakresie wewnętrznej migracji klimatycznej], Waszyngton, DC, 2021 r. </w:t>
      </w:r>
    </w:p>
  </w:footnote>
  <w:footnote w:id="21">
    <w:p w:rsidR="00D16727" w:rsidRPr="00A7056F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A7056F">
        <w:rPr>
          <w:sz w:val="24"/>
          <w:lang w:val="pl-PL"/>
        </w:rPr>
        <w:t xml:space="preserve"> </w:t>
      </w:r>
      <w:r w:rsidR="00E111D7" w:rsidRPr="00A7056F">
        <w:rPr>
          <w:sz w:val="24"/>
          <w:lang w:val="pl-PL"/>
        </w:rPr>
        <w:tab/>
      </w:r>
      <w:r w:rsidRPr="00A7056F">
        <w:rPr>
          <w:sz w:val="24"/>
          <w:lang w:val="pl-PL"/>
        </w:rPr>
        <w:t>Europejska Agencja Środowiska, „</w:t>
      </w:r>
      <w:proofErr w:type="spellStart"/>
      <w:r w:rsidRPr="00A7056F">
        <w:rPr>
          <w:sz w:val="24"/>
          <w:lang w:val="pl-PL"/>
        </w:rPr>
        <w:t>Economic</w:t>
      </w:r>
      <w:proofErr w:type="spellEnd"/>
      <w:r w:rsidRPr="00A7056F">
        <w:rPr>
          <w:sz w:val="24"/>
          <w:lang w:val="pl-PL"/>
        </w:rPr>
        <w:t xml:space="preserve"> </w:t>
      </w:r>
      <w:proofErr w:type="spellStart"/>
      <w:r w:rsidRPr="00A7056F">
        <w:rPr>
          <w:sz w:val="24"/>
          <w:lang w:val="pl-PL"/>
        </w:rPr>
        <w:t>losses</w:t>
      </w:r>
      <w:proofErr w:type="spellEnd"/>
      <w:r w:rsidRPr="00A7056F">
        <w:rPr>
          <w:sz w:val="24"/>
          <w:lang w:val="pl-PL"/>
        </w:rPr>
        <w:t xml:space="preserve"> from </w:t>
      </w:r>
      <w:proofErr w:type="spellStart"/>
      <w:r w:rsidRPr="00A7056F">
        <w:rPr>
          <w:sz w:val="24"/>
          <w:lang w:val="pl-PL"/>
        </w:rPr>
        <w:t>weather</w:t>
      </w:r>
      <w:proofErr w:type="spellEnd"/>
      <w:r w:rsidRPr="00A7056F">
        <w:rPr>
          <w:sz w:val="24"/>
          <w:lang w:val="pl-PL"/>
        </w:rPr>
        <w:t xml:space="preserve">- and </w:t>
      </w:r>
      <w:proofErr w:type="spellStart"/>
      <w:r w:rsidRPr="00A7056F">
        <w:rPr>
          <w:sz w:val="24"/>
          <w:lang w:val="pl-PL"/>
        </w:rPr>
        <w:t>climate-related</w:t>
      </w:r>
      <w:proofErr w:type="spellEnd"/>
      <w:r w:rsidRPr="00A7056F">
        <w:rPr>
          <w:sz w:val="24"/>
          <w:lang w:val="pl-PL"/>
        </w:rPr>
        <w:t xml:space="preserve"> </w:t>
      </w:r>
      <w:proofErr w:type="spellStart"/>
      <w:r w:rsidRPr="00A7056F">
        <w:rPr>
          <w:sz w:val="24"/>
          <w:lang w:val="pl-PL"/>
        </w:rPr>
        <w:t>extremes</w:t>
      </w:r>
      <w:proofErr w:type="spellEnd"/>
      <w:r w:rsidRPr="00A7056F">
        <w:rPr>
          <w:sz w:val="24"/>
          <w:lang w:val="pl-PL"/>
        </w:rPr>
        <w:t xml:space="preserve"> in Europe” [Straty gospodarcze w wyniku ekstremalnych zjawisk pogodowych i klimatycznych w Europie], październik 2023 r.</w:t>
      </w:r>
    </w:p>
  </w:footnote>
  <w:footnote w:id="22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>OECD, „</w:t>
      </w:r>
      <w:proofErr w:type="spellStart"/>
      <w:r w:rsidRPr="00E111D7">
        <w:rPr>
          <w:sz w:val="24"/>
          <w:lang w:val="pl-PL"/>
        </w:rPr>
        <w:t>Climate</w:t>
      </w:r>
      <w:proofErr w:type="spellEnd"/>
      <w:r w:rsidRPr="00E111D7">
        <w:rPr>
          <w:sz w:val="24"/>
          <w:lang w:val="pl-PL"/>
        </w:rPr>
        <w:t xml:space="preserve"> Finance </w:t>
      </w:r>
      <w:proofErr w:type="spellStart"/>
      <w:r w:rsidRPr="00E111D7">
        <w:rPr>
          <w:sz w:val="24"/>
          <w:lang w:val="pl-PL"/>
        </w:rPr>
        <w:t>Provided</w:t>
      </w:r>
      <w:proofErr w:type="spellEnd"/>
      <w:r w:rsidRPr="00E111D7">
        <w:rPr>
          <w:sz w:val="24"/>
          <w:lang w:val="pl-PL"/>
        </w:rPr>
        <w:t xml:space="preserve"> and </w:t>
      </w:r>
      <w:proofErr w:type="spellStart"/>
      <w:r w:rsidRPr="00E111D7">
        <w:rPr>
          <w:sz w:val="24"/>
          <w:lang w:val="pl-PL"/>
        </w:rPr>
        <w:t>Mobilised</w:t>
      </w:r>
      <w:proofErr w:type="spellEnd"/>
      <w:r w:rsidRPr="00E111D7">
        <w:rPr>
          <w:sz w:val="24"/>
          <w:lang w:val="pl-PL"/>
        </w:rPr>
        <w:t xml:space="preserve"> by </w:t>
      </w:r>
      <w:proofErr w:type="spellStart"/>
      <w:r w:rsidRPr="00E111D7">
        <w:rPr>
          <w:sz w:val="24"/>
          <w:lang w:val="pl-PL"/>
        </w:rPr>
        <w:t>Developed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Countries</w:t>
      </w:r>
      <w:proofErr w:type="spellEnd"/>
      <w:r w:rsidRPr="00E111D7">
        <w:rPr>
          <w:sz w:val="24"/>
          <w:lang w:val="pl-PL"/>
        </w:rPr>
        <w:t xml:space="preserve"> in 2013–2022” [Zapewnione i uruchomione finansowanie działań podejmowanych przez państwa rozwinięte i związanych ze zmianą klimatu w latach 2013–2022], 29 maja 2024 r.</w:t>
      </w:r>
    </w:p>
  </w:footnote>
  <w:footnote w:id="23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>Sprawozdanie Europejskiej Agencji Środowiska nr 1/2024 pt. „Europejska ocena ryzyka związanego z klimatem”, 11 marca 2024 r.</w:t>
      </w:r>
    </w:p>
  </w:footnote>
  <w:footnote w:id="24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Decyzja Rady (UE) 2024/1677 z dnia 30 maja 2024 r. dotycząca zatwierdzenia wystąpienia Europejskiej Wspólnoty Energii Atomowej z Traktatu karty energetycznej (Dz.U. L, 2024/1677, 13.6.2024, ELI: </w:t>
      </w:r>
      <w:hyperlink r:id="rId5" w:history="1">
        <w:r w:rsidRPr="00E111D7">
          <w:rPr>
            <w:rStyle w:val="Hyperlink"/>
            <w:sz w:val="24"/>
            <w:lang w:val="pl-PL"/>
          </w:rPr>
          <w:t>http://data.europa.eu/eli/dec/2024/1677/oj</w:t>
        </w:r>
      </w:hyperlink>
      <w:r w:rsidRPr="00E111D7">
        <w:rPr>
          <w:sz w:val="24"/>
          <w:lang w:val="pl-PL"/>
        </w:rPr>
        <w:t>).</w:t>
      </w:r>
    </w:p>
  </w:footnote>
  <w:footnote w:id="25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Rozporządzenie Parlamentu Europejskiego i Rady (UE) 2018/841 z dnia 30 maja 2018 r. w sprawie włączenia emisji i pochłaniania gazów cieplarnianych w wyniku działalności związanej z użytkowaniem gruntów, zmianą użytkowania gruntów i leśnictwem do ram polityki klimatyczno-energetycznej do roku 2030 i zmieniające rozporządzenie (UE) nr 525/2013 oraz decyzję nr 529/2013/UE (Dz.U. L 156 z 19.6.2018,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 xml:space="preserve">. 1, ELI: </w:t>
      </w:r>
      <w:hyperlink r:id="rId6" w:history="1">
        <w:r w:rsidRPr="00E111D7">
          <w:rPr>
            <w:rStyle w:val="Hyperlink"/>
            <w:sz w:val="24"/>
            <w:lang w:val="pl-PL"/>
          </w:rPr>
          <w:t>http://data.europa.eu/eli/reg/2018/841/oj</w:t>
        </w:r>
      </w:hyperlink>
      <w:r w:rsidRPr="00E111D7">
        <w:rPr>
          <w:sz w:val="24"/>
          <w:lang w:val="pl-PL"/>
        </w:rPr>
        <w:t xml:space="preserve">). </w:t>
      </w:r>
    </w:p>
  </w:footnote>
  <w:footnote w:id="26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B81D85">
        <w:rPr>
          <w:sz w:val="24"/>
          <w:lang w:val="en-GB"/>
        </w:rPr>
        <w:t xml:space="preserve"> </w:t>
      </w:r>
      <w:r w:rsidR="00E111D7" w:rsidRPr="00B81D85">
        <w:rPr>
          <w:sz w:val="24"/>
          <w:lang w:val="en-GB"/>
        </w:rPr>
        <w:tab/>
      </w:r>
      <w:r w:rsidRPr="00B81D85">
        <w:rPr>
          <w:sz w:val="24"/>
          <w:lang w:val="en-GB"/>
        </w:rPr>
        <w:t xml:space="preserve">Shukla, P.R. </w:t>
      </w:r>
      <w:proofErr w:type="spellStart"/>
      <w:r w:rsidRPr="00B81D85">
        <w:rPr>
          <w:sz w:val="24"/>
          <w:lang w:val="en-GB"/>
        </w:rPr>
        <w:t>i</w:t>
      </w:r>
      <w:proofErr w:type="spellEnd"/>
      <w:r w:rsidRPr="00B81D85">
        <w:rPr>
          <w:sz w:val="24"/>
          <w:lang w:val="en-GB"/>
        </w:rPr>
        <w:t xml:space="preserve"> </w:t>
      </w:r>
      <w:proofErr w:type="spellStart"/>
      <w:r w:rsidRPr="00B81D85">
        <w:rPr>
          <w:sz w:val="24"/>
          <w:lang w:val="en-GB"/>
        </w:rPr>
        <w:t>Skea</w:t>
      </w:r>
      <w:proofErr w:type="spellEnd"/>
      <w:r w:rsidRPr="00B81D85">
        <w:rPr>
          <w:sz w:val="24"/>
          <w:lang w:val="en-GB"/>
        </w:rPr>
        <w:t>, J. (red.), „Climate Change 2022:</w:t>
      </w:r>
      <w:r w:rsidRPr="00B81D85">
        <w:rPr>
          <w:i/>
          <w:sz w:val="24"/>
          <w:lang w:val="en-GB"/>
        </w:rPr>
        <w:t xml:space="preserve"> </w:t>
      </w:r>
      <w:r w:rsidRPr="00B81D85">
        <w:rPr>
          <w:sz w:val="24"/>
          <w:lang w:val="en-GB"/>
        </w:rPr>
        <w:t>Mitigation of Climate Change – Working Group III Contribution to the Sixth Assessment Report of the Intergovernmental Panel on Climate Change” [</w:t>
      </w:r>
      <w:proofErr w:type="spellStart"/>
      <w:r w:rsidRPr="00B81D85">
        <w:rPr>
          <w:sz w:val="24"/>
          <w:lang w:val="en-GB"/>
        </w:rPr>
        <w:t>Zmiana</w:t>
      </w:r>
      <w:proofErr w:type="spellEnd"/>
      <w:r w:rsidRPr="00B81D85">
        <w:rPr>
          <w:sz w:val="24"/>
          <w:lang w:val="en-GB"/>
        </w:rPr>
        <w:t xml:space="preserve"> </w:t>
      </w:r>
      <w:proofErr w:type="spellStart"/>
      <w:r w:rsidRPr="00B81D85">
        <w:rPr>
          <w:sz w:val="24"/>
          <w:lang w:val="en-GB"/>
        </w:rPr>
        <w:t>klimatu</w:t>
      </w:r>
      <w:proofErr w:type="spellEnd"/>
      <w:r w:rsidRPr="00B81D85">
        <w:rPr>
          <w:sz w:val="24"/>
          <w:lang w:val="en-GB"/>
        </w:rPr>
        <w:t xml:space="preserve"> 2022: </w:t>
      </w:r>
      <w:proofErr w:type="spellStart"/>
      <w:r w:rsidRPr="00B81D85">
        <w:rPr>
          <w:sz w:val="24"/>
          <w:lang w:val="en-GB"/>
        </w:rPr>
        <w:t>łagodzenie</w:t>
      </w:r>
      <w:proofErr w:type="spellEnd"/>
      <w:r w:rsidRPr="00B81D85">
        <w:rPr>
          <w:sz w:val="24"/>
          <w:lang w:val="en-GB"/>
        </w:rPr>
        <w:t xml:space="preserve"> </w:t>
      </w:r>
      <w:proofErr w:type="spellStart"/>
      <w:r w:rsidRPr="00B81D85">
        <w:rPr>
          <w:sz w:val="24"/>
          <w:lang w:val="en-GB"/>
        </w:rPr>
        <w:t>zmiany</w:t>
      </w:r>
      <w:proofErr w:type="spellEnd"/>
      <w:r w:rsidRPr="00B81D85">
        <w:rPr>
          <w:sz w:val="24"/>
          <w:lang w:val="en-GB"/>
        </w:rPr>
        <w:t xml:space="preserve"> </w:t>
      </w:r>
      <w:proofErr w:type="spellStart"/>
      <w:r w:rsidRPr="00B81D85">
        <w:rPr>
          <w:sz w:val="24"/>
          <w:lang w:val="en-GB"/>
        </w:rPr>
        <w:t>klimatu</w:t>
      </w:r>
      <w:proofErr w:type="spellEnd"/>
      <w:r w:rsidRPr="00B81D85">
        <w:rPr>
          <w:sz w:val="24"/>
          <w:lang w:val="en-GB"/>
        </w:rPr>
        <w:t xml:space="preserve"> – </w:t>
      </w:r>
      <w:proofErr w:type="spellStart"/>
      <w:r w:rsidRPr="00B81D85">
        <w:rPr>
          <w:sz w:val="24"/>
          <w:lang w:val="en-GB"/>
        </w:rPr>
        <w:t>wkład</w:t>
      </w:r>
      <w:proofErr w:type="spellEnd"/>
      <w:r w:rsidRPr="00B81D85">
        <w:rPr>
          <w:sz w:val="24"/>
          <w:lang w:val="en-GB"/>
        </w:rPr>
        <w:t xml:space="preserve"> </w:t>
      </w:r>
      <w:proofErr w:type="spellStart"/>
      <w:r w:rsidRPr="00B81D85">
        <w:rPr>
          <w:sz w:val="24"/>
          <w:lang w:val="en-GB"/>
        </w:rPr>
        <w:t>grupy</w:t>
      </w:r>
      <w:proofErr w:type="spellEnd"/>
      <w:r w:rsidRPr="00B81D85">
        <w:rPr>
          <w:sz w:val="24"/>
          <w:lang w:val="en-GB"/>
        </w:rPr>
        <w:t xml:space="preserve"> </w:t>
      </w:r>
      <w:proofErr w:type="spellStart"/>
      <w:r w:rsidRPr="00B81D85">
        <w:rPr>
          <w:sz w:val="24"/>
          <w:lang w:val="en-GB"/>
        </w:rPr>
        <w:t>roboczej</w:t>
      </w:r>
      <w:proofErr w:type="spellEnd"/>
      <w:r w:rsidRPr="00B81D85">
        <w:rPr>
          <w:sz w:val="24"/>
          <w:lang w:val="en-GB"/>
        </w:rPr>
        <w:t xml:space="preserve"> III do </w:t>
      </w:r>
      <w:proofErr w:type="spellStart"/>
      <w:r w:rsidRPr="00B81D85">
        <w:rPr>
          <w:sz w:val="24"/>
          <w:lang w:val="en-GB"/>
        </w:rPr>
        <w:t>szóstego</w:t>
      </w:r>
      <w:proofErr w:type="spellEnd"/>
      <w:r w:rsidRPr="00B81D85">
        <w:rPr>
          <w:sz w:val="24"/>
          <w:lang w:val="en-GB"/>
        </w:rPr>
        <w:t xml:space="preserve"> </w:t>
      </w:r>
      <w:proofErr w:type="spellStart"/>
      <w:r w:rsidRPr="00B81D85">
        <w:rPr>
          <w:sz w:val="24"/>
          <w:lang w:val="en-GB"/>
        </w:rPr>
        <w:t>sprawozdania</w:t>
      </w:r>
      <w:proofErr w:type="spellEnd"/>
      <w:r w:rsidRPr="00B81D85">
        <w:rPr>
          <w:sz w:val="24"/>
          <w:lang w:val="en-GB"/>
        </w:rPr>
        <w:t xml:space="preserve"> </w:t>
      </w:r>
      <w:proofErr w:type="spellStart"/>
      <w:r w:rsidRPr="00B81D85">
        <w:rPr>
          <w:sz w:val="24"/>
          <w:lang w:val="en-GB"/>
        </w:rPr>
        <w:t>oceniającego</w:t>
      </w:r>
      <w:proofErr w:type="spellEnd"/>
      <w:r w:rsidRPr="00B81D85">
        <w:rPr>
          <w:sz w:val="24"/>
          <w:lang w:val="en-GB"/>
        </w:rPr>
        <w:t xml:space="preserve"> </w:t>
      </w:r>
      <w:proofErr w:type="spellStart"/>
      <w:r w:rsidRPr="00B81D85">
        <w:rPr>
          <w:sz w:val="24"/>
          <w:lang w:val="en-GB"/>
        </w:rPr>
        <w:t>Międzyrządowego</w:t>
      </w:r>
      <w:proofErr w:type="spellEnd"/>
      <w:r w:rsidRPr="00B81D85">
        <w:rPr>
          <w:sz w:val="24"/>
          <w:lang w:val="en-GB"/>
        </w:rPr>
        <w:t xml:space="preserve"> </w:t>
      </w:r>
      <w:proofErr w:type="spellStart"/>
      <w:r w:rsidRPr="00B81D85">
        <w:rPr>
          <w:sz w:val="24"/>
          <w:lang w:val="en-GB"/>
        </w:rPr>
        <w:t>Zespołu</w:t>
      </w:r>
      <w:proofErr w:type="spellEnd"/>
      <w:r w:rsidRPr="00B81D85">
        <w:rPr>
          <w:sz w:val="24"/>
          <w:lang w:val="en-GB"/>
        </w:rPr>
        <w:t xml:space="preserve"> ds. </w:t>
      </w:r>
      <w:r w:rsidRPr="00E111D7">
        <w:rPr>
          <w:sz w:val="24"/>
          <w:lang w:val="pl-PL"/>
        </w:rPr>
        <w:t>Zmian Klimatu], Międzyrządowy Zespół ds. Zmian Klimatu, 2022 r.</w:t>
      </w:r>
    </w:p>
  </w:footnote>
  <w:footnote w:id="27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Rozporządzenie Parlamentu Europejskiego i Rady (UE) 2024/1787 z dnia 13 czerwca 2024 r. w sprawie redukcji emisji metanu w sektorze energetycznym oraz zmieniające rozporządzenie (UE) 2019/942 (Dz.U. L, 2024/1787, 15.7.2024, ELI: </w:t>
      </w:r>
      <w:hyperlink r:id="rId7" w:history="1">
        <w:r w:rsidRPr="00E111D7">
          <w:rPr>
            <w:rStyle w:val="Hyperlink"/>
            <w:sz w:val="24"/>
            <w:lang w:val="pl-PL"/>
          </w:rPr>
          <w:t>http://data.europa.eu/eli/reg/2024/1787/oj</w:t>
        </w:r>
      </w:hyperlink>
      <w:r w:rsidRPr="00E111D7">
        <w:rPr>
          <w:sz w:val="24"/>
          <w:lang w:val="pl-PL"/>
        </w:rPr>
        <w:t>).</w:t>
      </w:r>
    </w:p>
  </w:footnote>
  <w:footnote w:id="28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Dyrektywa 2003/87/WE Parlamentu Europejskiego i Rady z dnia 13 października 2003 r. ustanawiająca system handlu przydziałami emisji gazów cieplarnianych w Unii oraz zmieniająca dyrektywę Rady 96/61/WE (Dz.U. L 275 z 25.10.2003,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 xml:space="preserve">. 32, ELI: </w:t>
      </w:r>
      <w:hyperlink r:id="rId8" w:history="1">
        <w:r w:rsidRPr="00E111D7">
          <w:rPr>
            <w:rStyle w:val="Hyperlink"/>
            <w:sz w:val="24"/>
            <w:lang w:val="pl-PL"/>
          </w:rPr>
          <w:t>http://data.europa.eu/eli/dir/2003/87/oj</w:t>
        </w:r>
      </w:hyperlink>
      <w:r w:rsidRPr="00E111D7">
        <w:rPr>
          <w:sz w:val="24"/>
          <w:lang w:val="pl-PL"/>
        </w:rPr>
        <w:t>).</w:t>
      </w:r>
    </w:p>
  </w:footnote>
  <w:footnote w:id="29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>Rozporządzenie Parlamentu Europejskiego i Rady (UE</w:t>
      </w:r>
      <w:proofErr w:type="gramStart"/>
      <w:r w:rsidRPr="00E111D7">
        <w:rPr>
          <w:sz w:val="24"/>
          <w:lang w:val="pl-PL"/>
        </w:rPr>
        <w:t>) 2023/1805 z</w:t>
      </w:r>
      <w:proofErr w:type="gramEnd"/>
      <w:r w:rsidRPr="00E111D7">
        <w:rPr>
          <w:sz w:val="24"/>
          <w:lang w:val="pl-PL"/>
        </w:rPr>
        <w:t xml:space="preserve"> dnia 13 września 2023 r. w sprawie stosowania paliw odnawialnych i niskoemisyjnych w transporcie morskim oraz zmiany dyrektywy 2009/16/WE (Dz.U. L 234 z 22.9.2023,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 xml:space="preserve">. 48, ELI: </w:t>
      </w:r>
      <w:hyperlink r:id="rId9" w:history="1">
        <w:r w:rsidRPr="00E111D7">
          <w:rPr>
            <w:rStyle w:val="Hyperlink"/>
            <w:sz w:val="24"/>
            <w:lang w:val="pl-PL"/>
          </w:rPr>
          <w:t>http://data.europa.eu/eli/reg/2023/1805/oj</w:t>
        </w:r>
      </w:hyperlink>
      <w:r w:rsidRPr="00E111D7">
        <w:rPr>
          <w:sz w:val="24"/>
          <w:lang w:val="pl-PL"/>
        </w:rPr>
        <w:t xml:space="preserve">). </w:t>
      </w:r>
    </w:p>
  </w:footnote>
  <w:footnote w:id="30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Transport &amp; Environment, Murphy, A. </w:t>
      </w:r>
      <w:proofErr w:type="gramStart"/>
      <w:r w:rsidRPr="00E111D7">
        <w:rPr>
          <w:sz w:val="24"/>
          <w:lang w:val="pl-PL"/>
        </w:rPr>
        <w:t>i</w:t>
      </w:r>
      <w:proofErr w:type="gramEnd"/>
      <w:r w:rsidRPr="00E111D7">
        <w:rPr>
          <w:sz w:val="24"/>
          <w:lang w:val="pl-PL"/>
        </w:rPr>
        <w:t xml:space="preserve"> Simon, V., „</w:t>
      </w:r>
      <w:proofErr w:type="spellStart"/>
      <w:r w:rsidRPr="00E111D7">
        <w:rPr>
          <w:sz w:val="24"/>
          <w:lang w:val="pl-PL"/>
        </w:rPr>
        <w:t>Private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jets</w:t>
      </w:r>
      <w:proofErr w:type="spellEnd"/>
      <w:r w:rsidRPr="00E111D7">
        <w:rPr>
          <w:sz w:val="24"/>
          <w:lang w:val="pl-PL"/>
        </w:rPr>
        <w:t xml:space="preserve">: </w:t>
      </w:r>
      <w:proofErr w:type="spellStart"/>
      <w:r w:rsidRPr="00E111D7">
        <w:rPr>
          <w:sz w:val="24"/>
          <w:lang w:val="pl-PL"/>
        </w:rPr>
        <w:t>can</w:t>
      </w:r>
      <w:proofErr w:type="spellEnd"/>
      <w:r w:rsidRPr="00E111D7">
        <w:rPr>
          <w:sz w:val="24"/>
          <w:lang w:val="pl-PL"/>
        </w:rPr>
        <w:t xml:space="preserve"> the super </w:t>
      </w:r>
      <w:proofErr w:type="spellStart"/>
      <w:r w:rsidRPr="00E111D7">
        <w:rPr>
          <w:sz w:val="24"/>
          <w:lang w:val="pl-PL"/>
        </w:rPr>
        <w:t>rich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supercharge</w:t>
      </w:r>
      <w:proofErr w:type="spellEnd"/>
      <w:r w:rsidRPr="00E111D7">
        <w:rPr>
          <w:sz w:val="24"/>
          <w:lang w:val="pl-PL"/>
        </w:rPr>
        <w:t xml:space="preserve"> zero-</w:t>
      </w:r>
      <w:proofErr w:type="spellStart"/>
      <w:r w:rsidRPr="00E111D7">
        <w:rPr>
          <w:sz w:val="24"/>
          <w:lang w:val="pl-PL"/>
        </w:rPr>
        <w:t>emission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aviation</w:t>
      </w:r>
      <w:proofErr w:type="spellEnd"/>
      <w:r w:rsidRPr="00E111D7">
        <w:rPr>
          <w:sz w:val="24"/>
          <w:lang w:val="pl-PL"/>
        </w:rPr>
        <w:t xml:space="preserve">?” [Prywatne samoloty odrzutowe: czy bardzo bogaci mogą bardzo przyczynić się do </w:t>
      </w:r>
      <w:proofErr w:type="spellStart"/>
      <w:r w:rsidRPr="00E111D7">
        <w:rPr>
          <w:sz w:val="24"/>
          <w:lang w:val="pl-PL"/>
        </w:rPr>
        <w:t>bezemisyjności</w:t>
      </w:r>
      <w:proofErr w:type="spellEnd"/>
      <w:r w:rsidRPr="00E111D7">
        <w:rPr>
          <w:sz w:val="24"/>
          <w:lang w:val="pl-PL"/>
        </w:rPr>
        <w:t xml:space="preserve"> lotnictwa?], Europejska Federacja Transportu i Środowiska, Bruksela, 2021 r.</w:t>
      </w:r>
    </w:p>
  </w:footnote>
  <w:footnote w:id="31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Europejska Agencja Środowiska, „Progress and </w:t>
      </w:r>
      <w:proofErr w:type="spellStart"/>
      <w:r w:rsidRPr="00E111D7">
        <w:rPr>
          <w:sz w:val="24"/>
          <w:lang w:val="pl-PL"/>
        </w:rPr>
        <w:t>prospects</w:t>
      </w:r>
      <w:proofErr w:type="spellEnd"/>
      <w:r w:rsidRPr="00E111D7">
        <w:rPr>
          <w:sz w:val="24"/>
          <w:lang w:val="pl-PL"/>
        </w:rPr>
        <w:t xml:space="preserve"> for </w:t>
      </w:r>
      <w:proofErr w:type="spellStart"/>
      <w:r w:rsidRPr="00E111D7">
        <w:rPr>
          <w:sz w:val="24"/>
          <w:lang w:val="pl-PL"/>
        </w:rPr>
        <w:t>decarbonisation</w:t>
      </w:r>
      <w:proofErr w:type="spellEnd"/>
      <w:r w:rsidRPr="00E111D7">
        <w:rPr>
          <w:sz w:val="24"/>
          <w:lang w:val="pl-PL"/>
        </w:rPr>
        <w:t xml:space="preserve"> in the </w:t>
      </w:r>
      <w:proofErr w:type="spellStart"/>
      <w:r w:rsidRPr="00E111D7">
        <w:rPr>
          <w:sz w:val="24"/>
          <w:lang w:val="pl-PL"/>
        </w:rPr>
        <w:t>agriculture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sector</w:t>
      </w:r>
      <w:proofErr w:type="spellEnd"/>
      <w:r w:rsidRPr="00E111D7">
        <w:rPr>
          <w:sz w:val="24"/>
          <w:lang w:val="pl-PL"/>
        </w:rPr>
        <w:t xml:space="preserve"> and </w:t>
      </w:r>
      <w:proofErr w:type="spellStart"/>
      <w:r w:rsidRPr="00E111D7">
        <w:rPr>
          <w:sz w:val="24"/>
          <w:lang w:val="pl-PL"/>
        </w:rPr>
        <w:t>beyond</w:t>
      </w:r>
      <w:proofErr w:type="spellEnd"/>
      <w:r w:rsidRPr="00E111D7">
        <w:rPr>
          <w:sz w:val="24"/>
          <w:lang w:val="pl-PL"/>
        </w:rPr>
        <w:t xml:space="preserve">” [Postępy i perspektywy dekarbonizacji w sektorze rolnictwa i poza nim], Urząd Publikacji Unii Europejskiej, Luksemburg, 2022 r. </w:t>
      </w:r>
    </w:p>
  </w:footnote>
  <w:footnote w:id="32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Europejska Agencja Środowiska, „EEA </w:t>
      </w:r>
      <w:proofErr w:type="spellStart"/>
      <w:r w:rsidRPr="00E111D7">
        <w:rPr>
          <w:sz w:val="24"/>
          <w:lang w:val="pl-PL"/>
        </w:rPr>
        <w:t>greenhouse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gases</w:t>
      </w:r>
      <w:proofErr w:type="spellEnd"/>
      <w:r w:rsidRPr="00E111D7">
        <w:rPr>
          <w:sz w:val="24"/>
          <w:lang w:val="pl-PL"/>
        </w:rPr>
        <w:t xml:space="preserve"> – data </w:t>
      </w:r>
      <w:proofErr w:type="spellStart"/>
      <w:r w:rsidRPr="00E111D7">
        <w:rPr>
          <w:sz w:val="24"/>
          <w:lang w:val="pl-PL"/>
        </w:rPr>
        <w:t>viewer</w:t>
      </w:r>
      <w:proofErr w:type="spellEnd"/>
      <w:r w:rsidRPr="00E111D7">
        <w:rPr>
          <w:sz w:val="24"/>
          <w:lang w:val="pl-PL"/>
        </w:rPr>
        <w:t xml:space="preserve">” [Przeglądarka danych dotyczących gazów cieplarnianych], 13 sierpnia 2024 r. </w:t>
      </w:r>
    </w:p>
  </w:footnote>
  <w:footnote w:id="33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 xml:space="preserve">Rozporządzenie Parlamentu Europejskiego i Rady (UE) 2023/956 z dnia 10 maja 2023 r. ustanawiające mechanizm dostosowywania cen na granicach z uwzględnieniem emisji CO2 (Dz.U. L 130 z 16.5.2023, </w:t>
      </w:r>
      <w:proofErr w:type="gramStart"/>
      <w:r w:rsidRPr="00E111D7">
        <w:rPr>
          <w:sz w:val="24"/>
          <w:lang w:val="pl-PL"/>
        </w:rPr>
        <w:t>s</w:t>
      </w:r>
      <w:proofErr w:type="gramEnd"/>
      <w:r w:rsidRPr="00E111D7">
        <w:rPr>
          <w:sz w:val="24"/>
          <w:lang w:val="pl-PL"/>
        </w:rPr>
        <w:t xml:space="preserve">. 52, ELI: </w:t>
      </w:r>
      <w:hyperlink r:id="rId10" w:history="1">
        <w:r w:rsidRPr="00E111D7">
          <w:rPr>
            <w:rStyle w:val="Hyperlink"/>
            <w:sz w:val="24"/>
            <w:lang w:val="pl-PL"/>
          </w:rPr>
          <w:t>http://data.europa.eu/eli/reg/2023/956/oj</w:t>
        </w:r>
      </w:hyperlink>
      <w:r w:rsidRPr="00E111D7">
        <w:rPr>
          <w:sz w:val="24"/>
          <w:lang w:val="pl-PL"/>
        </w:rPr>
        <w:t>).</w:t>
      </w:r>
    </w:p>
  </w:footnote>
  <w:footnote w:id="34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>Bank Światowy, „</w:t>
      </w:r>
      <w:proofErr w:type="spellStart"/>
      <w:r w:rsidRPr="00E111D7">
        <w:rPr>
          <w:sz w:val="24"/>
          <w:lang w:val="pl-PL"/>
        </w:rPr>
        <w:t>State</w:t>
      </w:r>
      <w:proofErr w:type="spellEnd"/>
      <w:r w:rsidRPr="00E111D7">
        <w:rPr>
          <w:sz w:val="24"/>
          <w:lang w:val="pl-PL"/>
        </w:rPr>
        <w:t xml:space="preserve"> and </w:t>
      </w:r>
      <w:proofErr w:type="spellStart"/>
      <w:r w:rsidRPr="00E111D7">
        <w:rPr>
          <w:sz w:val="24"/>
          <w:lang w:val="pl-PL"/>
        </w:rPr>
        <w:t>Trends</w:t>
      </w:r>
      <w:proofErr w:type="spellEnd"/>
      <w:r w:rsidRPr="00E111D7">
        <w:rPr>
          <w:sz w:val="24"/>
          <w:lang w:val="pl-PL"/>
        </w:rPr>
        <w:t xml:space="preserve"> of Carbon </w:t>
      </w:r>
      <w:proofErr w:type="spellStart"/>
      <w:r w:rsidRPr="00E111D7">
        <w:rPr>
          <w:sz w:val="24"/>
          <w:lang w:val="pl-PL"/>
        </w:rPr>
        <w:t>Pricing</w:t>
      </w:r>
      <w:proofErr w:type="spellEnd"/>
      <w:r w:rsidRPr="00E111D7">
        <w:rPr>
          <w:sz w:val="24"/>
          <w:lang w:val="pl-PL"/>
        </w:rPr>
        <w:t xml:space="preserve"> 2024” [Sytuacja i trendy w zakresie ustalania opłat za emisję gazów cieplarnianych w 2024 r.], Bank Światowy, Waszyngton, 21 maja 2024 r. </w:t>
      </w:r>
    </w:p>
  </w:footnote>
  <w:footnote w:id="35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>Międzynarodowa Korporacja Finansowa, „</w:t>
      </w:r>
      <w:proofErr w:type="spellStart"/>
      <w:r w:rsidRPr="00E111D7">
        <w:rPr>
          <w:sz w:val="24"/>
          <w:lang w:val="pl-PL"/>
        </w:rPr>
        <w:t>Strengthening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Sustainability</w:t>
      </w:r>
      <w:proofErr w:type="spellEnd"/>
      <w:r w:rsidRPr="00E111D7">
        <w:rPr>
          <w:sz w:val="24"/>
          <w:lang w:val="pl-PL"/>
        </w:rPr>
        <w:t xml:space="preserve"> in the </w:t>
      </w:r>
      <w:proofErr w:type="spellStart"/>
      <w:r w:rsidRPr="00E111D7">
        <w:rPr>
          <w:sz w:val="24"/>
          <w:lang w:val="pl-PL"/>
        </w:rPr>
        <w:t>Textile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Industry</w:t>
      </w:r>
      <w:proofErr w:type="spellEnd"/>
      <w:r w:rsidRPr="00E111D7">
        <w:rPr>
          <w:sz w:val="24"/>
          <w:lang w:val="pl-PL"/>
        </w:rPr>
        <w:t xml:space="preserve">” [Poprawa </w:t>
      </w:r>
      <w:proofErr w:type="spellStart"/>
      <w:r w:rsidRPr="00E111D7">
        <w:rPr>
          <w:sz w:val="24"/>
          <w:lang w:val="pl-PL"/>
        </w:rPr>
        <w:t>zrównoważoności</w:t>
      </w:r>
      <w:proofErr w:type="spellEnd"/>
      <w:r w:rsidRPr="00E111D7">
        <w:rPr>
          <w:sz w:val="24"/>
          <w:lang w:val="pl-PL"/>
        </w:rPr>
        <w:t xml:space="preserve"> w przemyśle tekstylnym], Międzynarodowa Korporacja Finansowa, Waszyngton, 2023.</w:t>
      </w:r>
    </w:p>
  </w:footnote>
  <w:footnote w:id="36">
    <w:p w:rsidR="00D16727" w:rsidRPr="00E111D7" w:rsidRDefault="00D16727" w:rsidP="00E111D7">
      <w:pPr>
        <w:pStyle w:val="CommentText"/>
        <w:ind w:left="567" w:hanging="567"/>
        <w:rPr>
          <w:sz w:val="24"/>
          <w:vertAlign w:val="superscript"/>
        </w:rPr>
      </w:pPr>
      <w:r w:rsidRPr="00E111D7">
        <w:rPr>
          <w:rStyle w:val="FootnoteReference"/>
          <w:sz w:val="24"/>
        </w:rPr>
        <w:footnoteRef/>
      </w:r>
      <w:r w:rsidR="00E111D7" w:rsidRPr="00E111D7">
        <w:rPr>
          <w:sz w:val="24"/>
        </w:rPr>
        <w:t xml:space="preserve"> </w:t>
      </w:r>
      <w:r w:rsidR="00E111D7" w:rsidRPr="00E111D7">
        <w:rPr>
          <w:sz w:val="24"/>
        </w:rPr>
        <w:tab/>
      </w:r>
      <w:r w:rsidRPr="00E111D7">
        <w:rPr>
          <w:sz w:val="24"/>
        </w:rPr>
        <w:t>Sieć śródziemnomorskich ekspertów ds. zmiany klimatu i zmian środowiskowych (</w:t>
      </w:r>
      <w:proofErr w:type="spellStart"/>
      <w:r w:rsidRPr="00E111D7">
        <w:rPr>
          <w:sz w:val="24"/>
        </w:rPr>
        <w:t>MedECC</w:t>
      </w:r>
      <w:proofErr w:type="spellEnd"/>
      <w:r w:rsidRPr="00E111D7">
        <w:rPr>
          <w:sz w:val="24"/>
        </w:rPr>
        <w:t>), „</w:t>
      </w:r>
      <w:proofErr w:type="spellStart"/>
      <w:r w:rsidRPr="00E111D7">
        <w:rPr>
          <w:sz w:val="24"/>
        </w:rPr>
        <w:t>Risks</w:t>
      </w:r>
      <w:proofErr w:type="spellEnd"/>
      <w:r w:rsidRPr="00E111D7">
        <w:rPr>
          <w:sz w:val="24"/>
        </w:rPr>
        <w:t xml:space="preserve"> </w:t>
      </w:r>
      <w:proofErr w:type="spellStart"/>
      <w:r w:rsidRPr="00E111D7">
        <w:rPr>
          <w:sz w:val="24"/>
        </w:rPr>
        <w:t>associated</w:t>
      </w:r>
      <w:proofErr w:type="spellEnd"/>
      <w:r w:rsidRPr="00E111D7">
        <w:rPr>
          <w:sz w:val="24"/>
        </w:rPr>
        <w:t xml:space="preserve"> to </w:t>
      </w:r>
      <w:proofErr w:type="spellStart"/>
      <w:r w:rsidRPr="00E111D7">
        <w:rPr>
          <w:sz w:val="24"/>
        </w:rPr>
        <w:t>climate</w:t>
      </w:r>
      <w:proofErr w:type="spellEnd"/>
      <w:r w:rsidRPr="00E111D7">
        <w:rPr>
          <w:sz w:val="24"/>
        </w:rPr>
        <w:t xml:space="preserve"> and </w:t>
      </w:r>
      <w:proofErr w:type="spellStart"/>
      <w:r w:rsidRPr="00E111D7">
        <w:rPr>
          <w:sz w:val="24"/>
        </w:rPr>
        <w:t>environmental</w:t>
      </w:r>
      <w:proofErr w:type="spellEnd"/>
      <w:r w:rsidRPr="00E111D7">
        <w:rPr>
          <w:sz w:val="24"/>
        </w:rPr>
        <w:t xml:space="preserve"> </w:t>
      </w:r>
      <w:proofErr w:type="spellStart"/>
      <w:r w:rsidRPr="00E111D7">
        <w:rPr>
          <w:sz w:val="24"/>
        </w:rPr>
        <w:t>changes</w:t>
      </w:r>
      <w:proofErr w:type="spellEnd"/>
      <w:r w:rsidRPr="00E111D7">
        <w:rPr>
          <w:sz w:val="24"/>
        </w:rPr>
        <w:t xml:space="preserve"> in the </w:t>
      </w:r>
      <w:proofErr w:type="spellStart"/>
      <w:r w:rsidRPr="00E111D7">
        <w:rPr>
          <w:sz w:val="24"/>
        </w:rPr>
        <w:t>Mediterranean</w:t>
      </w:r>
      <w:proofErr w:type="spellEnd"/>
      <w:r w:rsidRPr="00E111D7">
        <w:rPr>
          <w:sz w:val="24"/>
        </w:rPr>
        <w:t xml:space="preserve"> region. A </w:t>
      </w:r>
      <w:proofErr w:type="spellStart"/>
      <w:r w:rsidRPr="00E111D7">
        <w:rPr>
          <w:sz w:val="24"/>
        </w:rPr>
        <w:t>preliminary</w:t>
      </w:r>
      <w:proofErr w:type="spellEnd"/>
      <w:r w:rsidRPr="00E111D7">
        <w:rPr>
          <w:sz w:val="24"/>
        </w:rPr>
        <w:t xml:space="preserve"> </w:t>
      </w:r>
      <w:proofErr w:type="spellStart"/>
      <w:r w:rsidRPr="00E111D7">
        <w:rPr>
          <w:sz w:val="24"/>
        </w:rPr>
        <w:t>assessment</w:t>
      </w:r>
      <w:proofErr w:type="spellEnd"/>
      <w:r w:rsidRPr="00E111D7">
        <w:rPr>
          <w:sz w:val="24"/>
        </w:rPr>
        <w:t xml:space="preserve"> by the </w:t>
      </w:r>
      <w:proofErr w:type="spellStart"/>
      <w:r w:rsidRPr="00E111D7">
        <w:rPr>
          <w:sz w:val="24"/>
        </w:rPr>
        <w:t>MedECC</w:t>
      </w:r>
      <w:proofErr w:type="spellEnd"/>
      <w:r w:rsidRPr="00E111D7">
        <w:rPr>
          <w:sz w:val="24"/>
        </w:rPr>
        <w:t xml:space="preserve"> Network. </w:t>
      </w:r>
    </w:p>
    <w:p w:rsidR="00D16727" w:rsidRPr="00E111D7" w:rsidRDefault="00E111D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sz w:val="24"/>
          <w:lang w:val="pl-PL"/>
        </w:rPr>
        <w:t xml:space="preserve"> </w:t>
      </w:r>
      <w:r w:rsidRPr="00E111D7">
        <w:rPr>
          <w:sz w:val="24"/>
          <w:lang w:val="pl-PL"/>
        </w:rPr>
        <w:tab/>
      </w:r>
      <w:r w:rsidR="00D16727" w:rsidRPr="00E111D7">
        <w:rPr>
          <w:sz w:val="24"/>
          <w:lang w:val="pl-PL"/>
        </w:rPr>
        <w:t xml:space="preserve">Science-policy </w:t>
      </w:r>
      <w:proofErr w:type="spellStart"/>
      <w:r w:rsidR="00D16727" w:rsidRPr="00E111D7">
        <w:rPr>
          <w:sz w:val="24"/>
          <w:lang w:val="pl-PL"/>
        </w:rPr>
        <w:t>interface</w:t>
      </w:r>
      <w:proofErr w:type="spellEnd"/>
      <w:r w:rsidR="00D16727" w:rsidRPr="00E111D7">
        <w:rPr>
          <w:sz w:val="24"/>
          <w:lang w:val="pl-PL"/>
        </w:rPr>
        <w:t xml:space="preserve"> – 2019” [Zagrożenia związane ze zmianą klimatu i zmianami środowiskowymi w regionie Morza Śródziemnego. Wstępna ocena przeprowadzona przez sieć </w:t>
      </w:r>
      <w:proofErr w:type="spellStart"/>
      <w:r w:rsidR="00D16727" w:rsidRPr="00E111D7">
        <w:rPr>
          <w:sz w:val="24"/>
          <w:lang w:val="pl-PL"/>
        </w:rPr>
        <w:t>MedECC</w:t>
      </w:r>
      <w:proofErr w:type="spellEnd"/>
      <w:r w:rsidR="00D16727" w:rsidRPr="00E111D7">
        <w:rPr>
          <w:sz w:val="24"/>
          <w:lang w:val="pl-PL"/>
        </w:rPr>
        <w:t>. Interfejs naukowo-polityczny – 2019”, 2019.</w:t>
      </w:r>
    </w:p>
  </w:footnote>
  <w:footnote w:id="37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>MAE: „</w:t>
      </w:r>
      <w:proofErr w:type="spellStart"/>
      <w:r w:rsidRPr="00E111D7">
        <w:rPr>
          <w:sz w:val="24"/>
          <w:lang w:val="pl-PL"/>
        </w:rPr>
        <w:t>Fossil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Fuels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Consumption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Subsidies</w:t>
      </w:r>
      <w:proofErr w:type="spellEnd"/>
      <w:r w:rsidRPr="00E111D7">
        <w:rPr>
          <w:sz w:val="24"/>
          <w:lang w:val="pl-PL"/>
        </w:rPr>
        <w:t xml:space="preserve"> 2022” [Dotacje na zużycie paliw kopalnych w 2022 r.], luty 2023 r. </w:t>
      </w:r>
    </w:p>
  </w:footnote>
  <w:footnote w:id="38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>MAE: „World Energy Investment 2024:</w:t>
      </w:r>
      <w:r w:rsidRPr="00E111D7">
        <w:rPr>
          <w:i/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Overview</w:t>
      </w:r>
      <w:proofErr w:type="spellEnd"/>
      <w:r w:rsidRPr="00E111D7">
        <w:rPr>
          <w:sz w:val="24"/>
          <w:lang w:val="pl-PL"/>
        </w:rPr>
        <w:t xml:space="preserve"> and </w:t>
      </w:r>
      <w:proofErr w:type="spellStart"/>
      <w:r w:rsidRPr="00E111D7">
        <w:rPr>
          <w:sz w:val="24"/>
          <w:lang w:val="pl-PL"/>
        </w:rPr>
        <w:t>key</w:t>
      </w:r>
      <w:proofErr w:type="spellEnd"/>
      <w:r w:rsidRPr="00E111D7">
        <w:rPr>
          <w:sz w:val="24"/>
          <w:lang w:val="pl-PL"/>
        </w:rPr>
        <w:t xml:space="preserve"> </w:t>
      </w:r>
      <w:proofErr w:type="spellStart"/>
      <w:r w:rsidRPr="00E111D7">
        <w:rPr>
          <w:sz w:val="24"/>
          <w:lang w:val="pl-PL"/>
        </w:rPr>
        <w:t>findings</w:t>
      </w:r>
      <w:proofErr w:type="spellEnd"/>
      <w:r w:rsidRPr="00E111D7">
        <w:rPr>
          <w:sz w:val="24"/>
          <w:lang w:val="pl-PL"/>
        </w:rPr>
        <w:t xml:space="preserve">” [Inwestycje w energię na świecie w 2024 r. – przegląd i najważniejsze ustalenia], czerwiec 2024 r. </w:t>
      </w:r>
    </w:p>
  </w:footnote>
  <w:footnote w:id="39">
    <w:p w:rsidR="00D16727" w:rsidRPr="00E111D7" w:rsidRDefault="00D16727" w:rsidP="00E111D7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>Rozporządzenie Parlamentu Europejskiego i Rady (UE) 2024/1787 z dnia 13 czerwca 2024 r. w sprawie redukcji emisji metanu w sektorze energetycznym oraz zmieniające rozporządzenie (UE) 2019/942, Dz.U. L, 2024/1787, 15.7.2024, ELI</w:t>
      </w:r>
      <w:proofErr w:type="gramStart"/>
      <w:r w:rsidRPr="00E111D7">
        <w:rPr>
          <w:sz w:val="24"/>
          <w:lang w:val="pl-PL"/>
        </w:rPr>
        <w:t xml:space="preserve">:  </w:t>
      </w:r>
      <w:hyperlink r:id="rId11" w:history="1">
        <w:proofErr w:type="gramEnd"/>
        <w:r w:rsidRPr="00E111D7">
          <w:rPr>
            <w:rStyle w:val="Hyperlink"/>
            <w:sz w:val="24"/>
            <w:lang w:val="pl-PL"/>
          </w:rPr>
          <w:t>http://data.europa.eu/eli/reg/2024/1787/oj</w:t>
        </w:r>
      </w:hyperlink>
      <w:r w:rsidRPr="00E111D7">
        <w:rPr>
          <w:sz w:val="24"/>
          <w:lang w:val="pl-PL"/>
        </w:rPr>
        <w:t>.</w:t>
      </w:r>
    </w:p>
    <w:p w:rsidR="00D16727" w:rsidRPr="00E111D7" w:rsidRDefault="00E111D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sz w:val="24"/>
          <w:lang w:val="pl-PL"/>
        </w:rPr>
        <w:t xml:space="preserve"> </w:t>
      </w:r>
      <w:r w:rsidRPr="00E111D7">
        <w:rPr>
          <w:sz w:val="24"/>
          <w:lang w:val="pl-PL"/>
        </w:rPr>
        <w:tab/>
      </w:r>
    </w:p>
  </w:footnote>
  <w:footnote w:id="40">
    <w:p w:rsidR="00D16727" w:rsidRPr="00E111D7" w:rsidRDefault="00D16727" w:rsidP="00E111D7">
      <w:pPr>
        <w:pStyle w:val="FootnoteText"/>
        <w:ind w:left="567" w:hanging="567"/>
        <w:rPr>
          <w:sz w:val="24"/>
          <w:lang w:val="pl-PL"/>
        </w:rPr>
      </w:pPr>
      <w:r w:rsidRPr="00E111D7">
        <w:rPr>
          <w:rStyle w:val="FootnoteReference"/>
          <w:sz w:val="24"/>
          <w:lang w:val="pl-PL"/>
        </w:rPr>
        <w:footnoteRef/>
      </w:r>
      <w:r w:rsidR="00E111D7" w:rsidRPr="00E111D7">
        <w:rPr>
          <w:sz w:val="24"/>
          <w:lang w:val="pl-PL"/>
        </w:rPr>
        <w:t xml:space="preserve"> </w:t>
      </w:r>
      <w:r w:rsidR="00E111D7" w:rsidRPr="00E111D7">
        <w:rPr>
          <w:sz w:val="24"/>
          <w:lang w:val="pl-PL"/>
        </w:rPr>
        <w:tab/>
      </w:r>
      <w:r w:rsidRPr="00E111D7">
        <w:rPr>
          <w:sz w:val="24"/>
          <w:lang w:val="pl-PL"/>
        </w:rPr>
        <w:t>Deklaracja ministerialna o potrojeniu mocy wytwórczej energii jądrowej, podpisana 2 grudnia 2023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1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1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1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6/2024"/>
    <w:docVar w:name="dvlangue" w:val="PL"/>
    <w:docVar w:name="dvnumam" w:val="0"/>
    <w:docVar w:name="dvpe" w:val="762.921"/>
    <w:docVar w:name="dvtitre" w:val="Decyzja Parlamentu Europejskiego z dnia  2024 r. w sprawie Konferencji ONZ w sprawie zmiany klimatu 2024 (COP29) w Baku, Azerbejdżan(2024/2718(RSP))"/>
  </w:docVars>
  <w:rsids>
    <w:rsidRoot w:val="00C2692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56F"/>
    <w:rsid w:val="00A778C7"/>
    <w:rsid w:val="00AB441E"/>
    <w:rsid w:val="00AB6293"/>
    <w:rsid w:val="00AE0928"/>
    <w:rsid w:val="00AF3B82"/>
    <w:rsid w:val="00B12E95"/>
    <w:rsid w:val="00B22876"/>
    <w:rsid w:val="00B558F0"/>
    <w:rsid w:val="00B81D85"/>
    <w:rsid w:val="00BD48FE"/>
    <w:rsid w:val="00BD7BD8"/>
    <w:rsid w:val="00BE6ADC"/>
    <w:rsid w:val="00C05BFE"/>
    <w:rsid w:val="00C23CD4"/>
    <w:rsid w:val="00C26922"/>
    <w:rsid w:val="00C61C0C"/>
    <w:rsid w:val="00C941CB"/>
    <w:rsid w:val="00CC2357"/>
    <w:rsid w:val="00CF071A"/>
    <w:rsid w:val="00D058B8"/>
    <w:rsid w:val="00D16727"/>
    <w:rsid w:val="00D56C11"/>
    <w:rsid w:val="00D834A0"/>
    <w:rsid w:val="00D872DF"/>
    <w:rsid w:val="00D91E21"/>
    <w:rsid w:val="00DA7FCD"/>
    <w:rsid w:val="00E111D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CD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7DBE4"/>
  <w15:chartTrackingRefBased/>
  <w15:docId w15:val="{70863850-5229-4526-9C3F-12396CB1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6727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D1672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16727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nhideWhenUsed/>
    <w:rsid w:val="00D167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16727"/>
    <w:rPr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D16727"/>
    <w:rPr>
      <w:sz w:val="24"/>
      <w:lang w:val="pl-PL"/>
    </w:rPr>
  </w:style>
  <w:style w:type="paragraph" w:styleId="BalloonText">
    <w:name w:val="Balloon Text"/>
    <w:basedOn w:val="Normal"/>
    <w:link w:val="BalloonTextChar"/>
    <w:rsid w:val="00B81D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1D85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3/87/oj" TargetMode="External"/><Relationship Id="rId3" Type="http://schemas.openxmlformats.org/officeDocument/2006/relationships/hyperlink" Target="http://data.europa.eu/eli/reg/2021/1119/oj" TargetMode="External"/><Relationship Id="rId7" Type="http://schemas.openxmlformats.org/officeDocument/2006/relationships/hyperlink" Target="http://data.europa.eu/eli/reg/2024/1787/oj" TargetMode="External"/><Relationship Id="rId2" Type="http://schemas.openxmlformats.org/officeDocument/2006/relationships/hyperlink" Target="http://data.europa.eu/eli/C/2024/493/oj" TargetMode="External"/><Relationship Id="rId1" Type="http://schemas.openxmlformats.org/officeDocument/2006/relationships/hyperlink" Target="http://data.europa.eu/eli/C/2024/4210/oj" TargetMode="External"/><Relationship Id="rId6" Type="http://schemas.openxmlformats.org/officeDocument/2006/relationships/hyperlink" Target="http://data.europa.eu/eli/reg/2018/841/oj" TargetMode="External"/><Relationship Id="rId11" Type="http://schemas.openxmlformats.org/officeDocument/2006/relationships/hyperlink" Target="http://data.europa.eu/eli/reg/2024/1787/oj" TargetMode="External"/><Relationship Id="rId5" Type="http://schemas.openxmlformats.org/officeDocument/2006/relationships/hyperlink" Target="http://data.europa.eu/eli/dec/2024/1677/oj" TargetMode="External"/><Relationship Id="rId10" Type="http://schemas.openxmlformats.org/officeDocument/2006/relationships/hyperlink" Target="http://data.europa.eu/eli/reg/2023/956/oj" TargetMode="External"/><Relationship Id="rId4" Type="http://schemas.openxmlformats.org/officeDocument/2006/relationships/hyperlink" Target="http://data.europa.eu/eli/C/2024/488/oj" TargetMode="External"/><Relationship Id="rId9" Type="http://schemas.openxmlformats.org/officeDocument/2006/relationships/hyperlink" Target="http://data.europa.eu/eli/reg/2023/180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1A390-336F-4912-A9B4-DB248332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18411</Words>
  <Characters>104943</Characters>
  <Application>Microsoft Office Word</Application>
  <DocSecurity>0</DocSecurity>
  <Lines>874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2024-11-14T13:06:00Z</dcterms:created>
  <dcterms:modified xsi:type="dcterms:W3CDTF">2024-11-14T13:06:00Z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B10-0156/2024</vt:lpwstr>
  </property>
  <property fmtid="{D5CDD505-2E9C-101B-9397-08002B2CF9AE}" pid="4" name="&lt;Type&gt;">
    <vt:lpwstr>RR</vt:lpwstr>
  </property>
</Properties>
</file>