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EE8" w:rsidTr="0010095E">
        <w:trPr>
          <w:trHeight w:hRule="exact" w:val="1418"/>
        </w:trPr>
        <w:tc>
          <w:tcPr>
            <w:tcW w:w="6804" w:type="dxa"/>
            <w:shd w:val="clear" w:color="auto" w:fill="auto"/>
            <w:vAlign w:val="center"/>
          </w:tcPr>
          <w:p w:rsidR="00751A4A" w:rsidRPr="00A34EE8" w:rsidRDefault="003926CF" w:rsidP="0010095E">
            <w:pPr>
              <w:pStyle w:val="EPName"/>
            </w:pPr>
            <w:r w:rsidRPr="00A34EE8">
              <w:t>Европейски</w:t>
            </w:r>
            <w:r w:rsidR="00F7394E" w:rsidRPr="00A34EE8">
              <w:t xml:space="preserve"> парламент</w:t>
            </w:r>
          </w:p>
          <w:p w:rsidR="00751A4A" w:rsidRPr="00A34EE8" w:rsidRDefault="005F1B17" w:rsidP="005F1B17">
            <w:pPr>
              <w:pStyle w:val="EPTerm"/>
              <w:rPr>
                <w:rStyle w:val="HideTWBExt"/>
                <w:noProof w:val="0"/>
                <w:vanish w:val="0"/>
                <w:color w:val="auto"/>
              </w:rPr>
            </w:pPr>
            <w:r w:rsidRPr="00A34EE8">
              <w:t>2024</w:t>
            </w:r>
            <w:r w:rsidR="003926CF">
              <w:t> – </w:t>
            </w:r>
            <w:r w:rsidR="00817416" w:rsidRPr="00A34EE8">
              <w:t>202</w:t>
            </w:r>
            <w:r w:rsidRPr="00A34EE8">
              <w:t>9</w:t>
            </w:r>
          </w:p>
        </w:tc>
        <w:tc>
          <w:tcPr>
            <w:tcW w:w="2268" w:type="dxa"/>
            <w:shd w:val="clear" w:color="auto" w:fill="auto"/>
          </w:tcPr>
          <w:p w:rsidR="00751A4A" w:rsidRPr="00A34EE8" w:rsidRDefault="00187494" w:rsidP="0010095E">
            <w:pPr>
              <w:pStyle w:val="EPLogo"/>
            </w:pPr>
            <w:r w:rsidRPr="00A34E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4EE8" w:rsidRDefault="00D058B8" w:rsidP="004C5D52">
      <w:pPr>
        <w:pStyle w:val="LineTop"/>
      </w:pPr>
    </w:p>
    <w:p w:rsidR="00680577" w:rsidRPr="00A34EE8" w:rsidRDefault="00F7394E" w:rsidP="00680577">
      <w:pPr>
        <w:pStyle w:val="EPBodyTA1"/>
      </w:pPr>
      <w:r w:rsidRPr="00A34EE8">
        <w:t>ПРИЕТИ ТЕКСТОВЕ</w:t>
      </w:r>
    </w:p>
    <w:p w:rsidR="00D058B8" w:rsidRPr="00A34EE8" w:rsidRDefault="00D058B8" w:rsidP="00D058B8">
      <w:pPr>
        <w:pStyle w:val="LineBottom"/>
      </w:pPr>
    </w:p>
    <w:p w:rsidR="00F7394E" w:rsidRPr="00A34EE8" w:rsidRDefault="00F7394E" w:rsidP="00F7394E">
      <w:pPr>
        <w:pStyle w:val="ATHeading1"/>
      </w:pPr>
      <w:bookmarkStart w:id="0" w:name="TANumber"/>
      <w:r w:rsidRPr="00A34EE8">
        <w:t>P10_TA(2024)00</w:t>
      </w:r>
      <w:r w:rsidR="00F10196">
        <w:rPr>
          <w:lang w:val="en-GB"/>
        </w:rPr>
        <w:t>36</w:t>
      </w:r>
      <w:bookmarkEnd w:id="0"/>
    </w:p>
    <w:p w:rsidR="00F7394E" w:rsidRPr="00A34EE8" w:rsidRDefault="00F7394E" w:rsidP="00F7394E">
      <w:pPr>
        <w:pStyle w:val="ATHeading2"/>
      </w:pPr>
      <w:bookmarkStart w:id="1" w:name="title"/>
      <w:r w:rsidRPr="00A34EE8">
        <w:t>Действия на ЕС срещу сенчестия флот на Русия и гарантиране на пълното прилагане на санкциите срещу Русия</w:t>
      </w:r>
      <w:bookmarkEnd w:id="1"/>
    </w:p>
    <w:p w:rsidR="00F7394E" w:rsidRPr="00A34EE8" w:rsidRDefault="00F7394E" w:rsidP="00F7394E">
      <w:pPr>
        <w:rPr>
          <w:i/>
          <w:vanish/>
        </w:rPr>
      </w:pPr>
      <w:r w:rsidRPr="00A34EE8">
        <w:rPr>
          <w:i/>
        </w:rPr>
        <w:fldChar w:fldCharType="begin"/>
      </w:r>
      <w:r w:rsidRPr="00A34EE8">
        <w:rPr>
          <w:i/>
        </w:rPr>
        <w:instrText xml:space="preserve"> TC"(</w:instrText>
      </w:r>
      <w:bookmarkStart w:id="2" w:name="DocNumber"/>
      <w:r w:rsidRPr="00A34EE8">
        <w:rPr>
          <w:i/>
        </w:rPr>
        <w:instrText xml:space="preserve">B10-0161, 0162, 0163, 0164 </w:instrText>
      </w:r>
      <w:proofErr w:type="spellStart"/>
      <w:r w:rsidRPr="00A34EE8">
        <w:rPr>
          <w:i/>
        </w:rPr>
        <w:instrText>and</w:instrText>
      </w:r>
      <w:proofErr w:type="spellEnd"/>
      <w:r w:rsidRPr="00A34EE8">
        <w:rPr>
          <w:i/>
        </w:rPr>
        <w:instrText xml:space="preserve"> 0166/2024</w:instrText>
      </w:r>
      <w:bookmarkEnd w:id="2"/>
      <w:r w:rsidRPr="00A34EE8">
        <w:rPr>
          <w:i/>
        </w:rPr>
        <w:instrText xml:space="preserve">)"\l3 \n&gt; \* MERGEFORMAT </w:instrText>
      </w:r>
      <w:r w:rsidRPr="00A34EE8">
        <w:rPr>
          <w:i/>
        </w:rPr>
        <w:fldChar w:fldCharType="end"/>
      </w:r>
    </w:p>
    <w:p w:rsidR="00F7394E" w:rsidRPr="00A34EE8" w:rsidRDefault="00F7394E" w:rsidP="00F7394E">
      <w:pPr>
        <w:rPr>
          <w:vanish/>
        </w:rPr>
      </w:pPr>
      <w:bookmarkStart w:id="3" w:name="PE"/>
      <w:r w:rsidRPr="00A34EE8">
        <w:rPr>
          <w:vanish/>
        </w:rPr>
        <w:t>PE764.162</w:t>
      </w:r>
      <w:bookmarkEnd w:id="3"/>
    </w:p>
    <w:p w:rsidR="00F7394E" w:rsidRPr="00A34EE8" w:rsidRDefault="00F7394E" w:rsidP="003926CF">
      <w:pPr>
        <w:pStyle w:val="ATHeading3"/>
      </w:pPr>
      <w:bookmarkStart w:id="4" w:name="Sujet"/>
      <w:r w:rsidRPr="00A34EE8">
        <w:t xml:space="preserve">Резолюция на Европейския парламент от </w:t>
      </w:r>
      <w:r w:rsidR="002A5989">
        <w:t>14 ноември</w:t>
      </w:r>
      <w:r w:rsidR="002A5989" w:rsidRPr="00A34EE8">
        <w:t xml:space="preserve"> </w:t>
      </w:r>
      <w:r w:rsidRPr="00A34EE8">
        <w:t>2024 г. относно действията на ЕС срещу сенчестия флот на Русия и гарантирането на пълното прилагане на санкциите срещу Русия</w:t>
      </w:r>
      <w:bookmarkEnd w:id="4"/>
      <w:r w:rsidRPr="00A34EE8">
        <w:t xml:space="preserve"> </w:t>
      </w:r>
      <w:bookmarkStart w:id="5" w:name="References"/>
      <w:r w:rsidRPr="00A34EE8">
        <w:t>(2024/2885(RSP))</w:t>
      </w:r>
      <w:bookmarkEnd w:id="5"/>
    </w:p>
    <w:p w:rsidR="009C6388" w:rsidRPr="00A34EE8" w:rsidRDefault="009C6388" w:rsidP="009C6388">
      <w:pPr>
        <w:pStyle w:val="EPComma"/>
      </w:pPr>
      <w:bookmarkStart w:id="6" w:name="TextBodyBegin"/>
      <w:bookmarkEnd w:id="6"/>
      <w:r w:rsidRPr="00A34EE8">
        <w:rPr>
          <w:i/>
        </w:rPr>
        <w:t>Европейският парламент</w:t>
      </w:r>
      <w:r w:rsidRPr="00A34EE8">
        <w:t>,</w:t>
      </w:r>
    </w:p>
    <w:p w:rsidR="009C6388" w:rsidRPr="00A34EE8" w:rsidRDefault="009C6388" w:rsidP="009C6388">
      <w:pPr>
        <w:pStyle w:val="NormalHanging12a"/>
      </w:pPr>
      <w:r w:rsidRPr="00A34EE8">
        <w:t>–</w:t>
      </w:r>
      <w:r w:rsidRPr="00A34EE8">
        <w:tab/>
        <w:t>като взе предвид предишните си резолюции относно Русия и Украйна, и по-специално от периода след ескалацията на агресивната война на Русия срещу Украйна през февруари 2022 г.,</w:t>
      </w:r>
    </w:p>
    <w:p w:rsidR="009C6388" w:rsidRPr="00A34EE8" w:rsidRDefault="009C6388" w:rsidP="009C6388">
      <w:pPr>
        <w:pStyle w:val="NormalHanging12a"/>
      </w:pPr>
      <w:r w:rsidRPr="00A34EE8">
        <w:t>–</w:t>
      </w:r>
      <w:r w:rsidRPr="00A34EE8">
        <w:tab/>
        <w:t>като взе предвид 14-те последователни пакета от санкции срещу Русия, приети от ЕС от февруари 2022 г. насам,</w:t>
      </w:r>
    </w:p>
    <w:p w:rsidR="009C6388" w:rsidRPr="00A34EE8" w:rsidRDefault="009C6388" w:rsidP="009C6388">
      <w:pPr>
        <w:pStyle w:val="NormalHanging12a"/>
      </w:pPr>
      <w:r w:rsidRPr="00A34EE8">
        <w:t>–</w:t>
      </w:r>
      <w:r w:rsidRPr="00A34EE8">
        <w:tab/>
        <w:t>като взе предвид Устава на Организацията на обединените нации и Конвенцията на Организацията на обединените нации по морско право,</w:t>
      </w:r>
    </w:p>
    <w:p w:rsidR="009C6388" w:rsidRPr="00A34EE8" w:rsidRDefault="009C6388" w:rsidP="009C6388">
      <w:pPr>
        <w:pStyle w:val="NormalHanging12a"/>
      </w:pPr>
      <w:r w:rsidRPr="00A34EE8">
        <w:t>–</w:t>
      </w:r>
      <w:r w:rsidRPr="00A34EE8">
        <w:tab/>
        <w:t xml:space="preserve">като взе предвид Международната конвенция за предотвратяване на замърсяването от кораби (MARPOL), Международната конвенция за </w:t>
      </w:r>
      <w:proofErr w:type="spellStart"/>
      <w:r w:rsidRPr="00A34EE8">
        <w:t>вахтената</w:t>
      </w:r>
      <w:proofErr w:type="spellEnd"/>
      <w:r w:rsidRPr="00A34EE8">
        <w:t xml:space="preserve"> служба и нормите за подготовка и освидетелстване на моряците, Международната конвенция за гражданска отговорност за щети от замърсяване с нефт и други съответни конвенции на Международната морска организация (ММО),</w:t>
      </w:r>
    </w:p>
    <w:p w:rsidR="009C6388" w:rsidRPr="00A34EE8" w:rsidRDefault="009C6388" w:rsidP="009C6388">
      <w:pPr>
        <w:pStyle w:val="NormalHanging12a"/>
      </w:pPr>
      <w:r w:rsidRPr="00A34EE8">
        <w:t>–</w:t>
      </w:r>
      <w:r w:rsidRPr="00A34EE8">
        <w:tab/>
        <w:t xml:space="preserve">като взе предвид Резолюция A.1192(33) на Асамблеята на ММО, озаглавена </w:t>
      </w:r>
      <w:proofErr w:type="spellStart"/>
      <w:r w:rsidRPr="00A34EE8">
        <w:t>Urging</w:t>
      </w:r>
      <w:proofErr w:type="spellEnd"/>
      <w:r w:rsidRPr="00A34EE8">
        <w:t xml:space="preserve"> </w:t>
      </w:r>
      <w:proofErr w:type="spellStart"/>
      <w:r w:rsidRPr="00A34EE8">
        <w:t>member</w:t>
      </w:r>
      <w:proofErr w:type="spellEnd"/>
      <w:r w:rsidRPr="00A34EE8">
        <w:t xml:space="preserve"> </w:t>
      </w:r>
      <w:proofErr w:type="spellStart"/>
      <w:r w:rsidRPr="00A34EE8">
        <w:t>states</w:t>
      </w:r>
      <w:proofErr w:type="spellEnd"/>
      <w:r w:rsidRPr="00A34EE8">
        <w:t xml:space="preserve"> </w:t>
      </w:r>
      <w:proofErr w:type="spellStart"/>
      <w:r w:rsidRPr="00A34EE8">
        <w:t>and</w:t>
      </w:r>
      <w:proofErr w:type="spellEnd"/>
      <w:r w:rsidRPr="00A34EE8">
        <w:t xml:space="preserve"> </w:t>
      </w:r>
      <w:proofErr w:type="spellStart"/>
      <w:r w:rsidRPr="00A34EE8">
        <w:t>all</w:t>
      </w:r>
      <w:proofErr w:type="spellEnd"/>
      <w:r w:rsidRPr="00A34EE8">
        <w:t xml:space="preserve"> </w:t>
      </w:r>
      <w:proofErr w:type="spellStart"/>
      <w:r w:rsidRPr="00A34EE8">
        <w:t>relevant</w:t>
      </w:r>
      <w:proofErr w:type="spellEnd"/>
      <w:r w:rsidRPr="00A34EE8">
        <w:t xml:space="preserve"> </w:t>
      </w:r>
      <w:proofErr w:type="spellStart"/>
      <w:r w:rsidRPr="00A34EE8">
        <w:t>stakeholders</w:t>
      </w:r>
      <w:proofErr w:type="spellEnd"/>
      <w:r w:rsidRPr="00A34EE8">
        <w:t xml:space="preserve"> </w:t>
      </w:r>
      <w:proofErr w:type="spellStart"/>
      <w:r w:rsidRPr="00A34EE8">
        <w:t>to</w:t>
      </w:r>
      <w:proofErr w:type="spellEnd"/>
      <w:r w:rsidRPr="00A34EE8">
        <w:t xml:space="preserve"> </w:t>
      </w:r>
      <w:proofErr w:type="spellStart"/>
      <w:r w:rsidRPr="00A34EE8">
        <w:t>promote</w:t>
      </w:r>
      <w:proofErr w:type="spellEnd"/>
      <w:r w:rsidRPr="00A34EE8">
        <w:t xml:space="preserve"> </w:t>
      </w:r>
      <w:proofErr w:type="spellStart"/>
      <w:r w:rsidRPr="00A34EE8">
        <w:t>actions</w:t>
      </w:r>
      <w:proofErr w:type="spellEnd"/>
      <w:r w:rsidRPr="00A34EE8">
        <w:t xml:space="preserve"> </w:t>
      </w:r>
      <w:proofErr w:type="spellStart"/>
      <w:r w:rsidRPr="00A34EE8">
        <w:t>to</w:t>
      </w:r>
      <w:proofErr w:type="spellEnd"/>
      <w:r w:rsidRPr="00A34EE8">
        <w:t xml:space="preserve"> </w:t>
      </w:r>
      <w:proofErr w:type="spellStart"/>
      <w:r w:rsidRPr="00A34EE8">
        <w:t>prevent</w:t>
      </w:r>
      <w:proofErr w:type="spellEnd"/>
      <w:r w:rsidRPr="00A34EE8">
        <w:t xml:space="preserve"> </w:t>
      </w:r>
      <w:proofErr w:type="spellStart"/>
      <w:r w:rsidRPr="00A34EE8">
        <w:t>illegal</w:t>
      </w:r>
      <w:proofErr w:type="spellEnd"/>
      <w:r w:rsidRPr="00A34EE8">
        <w:t xml:space="preserve"> </w:t>
      </w:r>
      <w:proofErr w:type="spellStart"/>
      <w:r w:rsidRPr="00A34EE8">
        <w:t>operations</w:t>
      </w:r>
      <w:proofErr w:type="spellEnd"/>
      <w:r w:rsidRPr="00A34EE8">
        <w:t xml:space="preserve"> </w:t>
      </w:r>
      <w:proofErr w:type="spellStart"/>
      <w:r w:rsidRPr="00A34EE8">
        <w:t>in</w:t>
      </w:r>
      <w:proofErr w:type="spellEnd"/>
      <w:r w:rsidRPr="00A34EE8">
        <w:t xml:space="preserve"> </w:t>
      </w:r>
      <w:proofErr w:type="spellStart"/>
      <w:r w:rsidRPr="00A34EE8">
        <w:t>the</w:t>
      </w:r>
      <w:proofErr w:type="spellEnd"/>
      <w:r w:rsidRPr="00A34EE8">
        <w:t xml:space="preserve"> </w:t>
      </w:r>
      <w:proofErr w:type="spellStart"/>
      <w:r w:rsidRPr="00A34EE8">
        <w:t>maritime</w:t>
      </w:r>
      <w:proofErr w:type="spellEnd"/>
      <w:r w:rsidRPr="00A34EE8">
        <w:t xml:space="preserve"> </w:t>
      </w:r>
      <w:proofErr w:type="spellStart"/>
      <w:r w:rsidRPr="00A34EE8">
        <w:t>sector</w:t>
      </w:r>
      <w:proofErr w:type="spellEnd"/>
      <w:r w:rsidRPr="00A34EE8">
        <w:t xml:space="preserve"> </w:t>
      </w:r>
      <w:proofErr w:type="spellStart"/>
      <w:r w:rsidRPr="00A34EE8">
        <w:t>by</w:t>
      </w:r>
      <w:proofErr w:type="spellEnd"/>
      <w:r w:rsidRPr="00A34EE8">
        <w:t xml:space="preserve"> </w:t>
      </w:r>
      <w:proofErr w:type="spellStart"/>
      <w:r w:rsidRPr="00A34EE8">
        <w:t>the</w:t>
      </w:r>
      <w:proofErr w:type="spellEnd"/>
      <w:r w:rsidRPr="00A34EE8">
        <w:t xml:space="preserve"> “</w:t>
      </w:r>
      <w:proofErr w:type="spellStart"/>
      <w:r w:rsidRPr="00A34EE8">
        <w:t>dark</w:t>
      </w:r>
      <w:proofErr w:type="spellEnd"/>
      <w:r w:rsidRPr="00A34EE8">
        <w:t xml:space="preserve"> </w:t>
      </w:r>
      <w:proofErr w:type="spellStart"/>
      <w:r w:rsidRPr="00A34EE8">
        <w:t>fleet</w:t>
      </w:r>
      <w:proofErr w:type="spellEnd"/>
      <w:r w:rsidRPr="00A34EE8">
        <w:t xml:space="preserve">” </w:t>
      </w:r>
      <w:proofErr w:type="spellStart"/>
      <w:r w:rsidRPr="00A34EE8">
        <w:t>or</w:t>
      </w:r>
      <w:proofErr w:type="spellEnd"/>
      <w:r w:rsidRPr="00A34EE8">
        <w:t xml:space="preserve"> “</w:t>
      </w:r>
      <w:proofErr w:type="spellStart"/>
      <w:r w:rsidRPr="00A34EE8">
        <w:t>shadow</w:t>
      </w:r>
      <w:proofErr w:type="spellEnd"/>
      <w:r w:rsidRPr="00A34EE8">
        <w:t xml:space="preserve"> </w:t>
      </w:r>
      <w:proofErr w:type="spellStart"/>
      <w:r w:rsidRPr="00A34EE8">
        <w:t>fleet</w:t>
      </w:r>
      <w:proofErr w:type="spellEnd"/>
      <w:r w:rsidRPr="00A34EE8">
        <w:t>” (Настоятелно призоваване на държавите членки и всички съответни заинтересовани страни да насърчават действия за предотвратяване на незаконни операции в морския сектор от страна на „тъмния флот“ или „сенчестия флот“), приета на 6 декември 2023 г.,</w:t>
      </w:r>
    </w:p>
    <w:p w:rsidR="009C6388" w:rsidRPr="00A34EE8" w:rsidRDefault="009C6388" w:rsidP="009C6388">
      <w:pPr>
        <w:pStyle w:val="NormalHanging12a"/>
      </w:pPr>
      <w:r w:rsidRPr="00A34EE8">
        <w:t>–</w:t>
      </w:r>
      <w:r w:rsidRPr="00A34EE8">
        <w:tab/>
        <w:t>като взе предвид изявлението на ръководителите на държавите от Г-7 от 6 декември 2023 г.,</w:t>
      </w:r>
    </w:p>
    <w:p w:rsidR="009C6388" w:rsidRPr="00A34EE8" w:rsidRDefault="009C6388" w:rsidP="009C6388">
      <w:pPr>
        <w:pStyle w:val="NormalHanging12a"/>
      </w:pPr>
      <w:r w:rsidRPr="00A34EE8">
        <w:t>–</w:t>
      </w:r>
      <w:r w:rsidRPr="00A34EE8">
        <w:tab/>
        <w:t>като взе предвид член 136, параграфи 2 и 4 от своя Правилник за дейността,</w:t>
      </w:r>
    </w:p>
    <w:p w:rsidR="009C6388" w:rsidRPr="00A34EE8" w:rsidRDefault="009C6388" w:rsidP="009C6388">
      <w:pPr>
        <w:pStyle w:val="NormalHanging12a"/>
      </w:pPr>
      <w:r w:rsidRPr="00A34EE8">
        <w:lastRenderedPageBreak/>
        <w:t>А.</w:t>
      </w:r>
      <w:r w:rsidRPr="00A34EE8">
        <w:tab/>
        <w:t xml:space="preserve">като има предвид, че от 24 февруари 2022 г. насам Русия води незаконна, непредизвикана и неоправдана </w:t>
      </w:r>
      <w:proofErr w:type="spellStart"/>
      <w:r w:rsidRPr="00A34EE8">
        <w:t>пълномащабна</w:t>
      </w:r>
      <w:proofErr w:type="spellEnd"/>
      <w:r w:rsidRPr="00A34EE8">
        <w:t xml:space="preserve"> агресивна война срещу Украйна, като продължава действията, започнали още през 2014 г. с анексирането на Крим и последвалата окупация на части от </w:t>
      </w:r>
      <w:proofErr w:type="spellStart"/>
      <w:r w:rsidRPr="00A34EE8">
        <w:t>Донецка</w:t>
      </w:r>
      <w:proofErr w:type="spellEnd"/>
      <w:r w:rsidRPr="00A34EE8">
        <w:t xml:space="preserve"> и </w:t>
      </w:r>
      <w:proofErr w:type="spellStart"/>
      <w:r w:rsidRPr="00A34EE8">
        <w:t>Луганска</w:t>
      </w:r>
      <w:proofErr w:type="spellEnd"/>
      <w:r w:rsidRPr="00A34EE8">
        <w:t xml:space="preserve"> област;</w:t>
      </w:r>
      <w:r w:rsidRPr="00A34EE8">
        <w:rPr>
          <w:rStyle w:val="Aucun"/>
          <w:color w:val="000000"/>
        </w:rPr>
        <w:t xml:space="preserve"> като има предвид, че ЕС осъди категорично агресивната война на Русия срещу Украйна от самото ѝ начало и призова Русия да сложи край на тези агресия и да зачита териториалната цялост на Украйна;</w:t>
      </w:r>
    </w:p>
    <w:p w:rsidR="009C6388" w:rsidRPr="00A34EE8" w:rsidRDefault="009C6388" w:rsidP="009C6388">
      <w:pPr>
        <w:pStyle w:val="NormalHanging12a"/>
      </w:pPr>
      <w:r w:rsidRPr="00A34EE8">
        <w:t>Б.</w:t>
      </w:r>
      <w:r w:rsidRPr="00A34EE8">
        <w:tab/>
        <w:t>като има предвид, че Русия е един от най-големите световни производители на нефт; като има предвид, че по отношение на приходите от износ и бюджетните постъпления Русия е силно зависима от продажбите на нефт, което превръща нефта в ключов източник на приходи за финансиране на войната ѝ в Украйна;</w:t>
      </w:r>
    </w:p>
    <w:p w:rsidR="009C6388" w:rsidRPr="00A34EE8" w:rsidRDefault="009C6388" w:rsidP="009C6388">
      <w:pPr>
        <w:pStyle w:val="NormalHanging12a"/>
      </w:pPr>
      <w:r w:rsidRPr="00A34EE8">
        <w:t>В.</w:t>
      </w:r>
      <w:r w:rsidRPr="00A34EE8">
        <w:tab/>
        <w:t>като има предвид, че ЕС и другите членове на Коалицията на Г-7+ за таван на цените определиха ценови таван за суровия нефт и петролните продукти с произход от Русия с цел да се поддържат световните доставки и същевременно да се ограничат потоците от приходи, използвани от Русия за финансиране на агресивната ѝ война срещу Украйна; като има предвид, че в отговор на този таван на цените Русия е изразходвала приблизително 9 милиарда евро за изграждането на своя „сенчест флот“; като има предвид, че като част от усилията на Русия да избегне санкциите на ЕС и Г-7, танкери с руски петрол плават всеки ден в европейски води;</w:t>
      </w:r>
    </w:p>
    <w:p w:rsidR="009C6388" w:rsidRPr="00A34EE8" w:rsidRDefault="009C6388" w:rsidP="009C6388">
      <w:pPr>
        <w:pStyle w:val="NormalHanging12a"/>
        <w:rPr>
          <w:bCs/>
        </w:rPr>
      </w:pPr>
      <w:r w:rsidRPr="00A34EE8">
        <w:t>Г.</w:t>
      </w:r>
      <w:r w:rsidRPr="00A34EE8">
        <w:tab/>
        <w:t xml:space="preserve">като има предвид, че от началото на </w:t>
      </w:r>
      <w:proofErr w:type="spellStart"/>
      <w:r w:rsidRPr="00A34EE8">
        <w:t>пълномащабното</w:t>
      </w:r>
      <w:proofErr w:type="spellEnd"/>
      <w:r w:rsidRPr="00A34EE8">
        <w:t xml:space="preserve"> нашествие на Русия в Украйна на 24 февруари 2022 г. ЕС наложи мащабни и безпрецедентни ограничителни мерки и санкции срещу Русия, за да подкопае икономическата, финансовата и военната способност на страната да поддържа военните си усилия; като има предвид, че шестият пакет от санкции на Съвета, наред с другото, забранява закупуването, вноса или прехвърлянето на суров нефт и някои нефтени продукти по море от Русия в ЕС; като има предвид, че в 11-ия и 12-ия пакет от санкции на Съвета се разглеждат рисковете от заобикаляне, породени от „сенчестия флот“; като има предвид, че в 14-ия си пакет от санкции срещу руския нефт Съветът въведе нова мярка, насочена срещу конкретни плавателни съдове, допринасящи за войната на Русия срещу Украйна, за които важи забрана за достъп до пристанищата и забрана за предоставяне на услуги; като има предвид, че в този списък досега ЕС е включил 27 плавателни съда, включително танкери, превозващи руски нефт и замесени в опасни и незаконни практики на корабоплаване; като има предвид, че през октомври 2024 г. правителството на Обединеното кралство наложи санкции срещу 18 руски нефтени танкера и 4 танкера за втечнен природен газ (ВПГ); като има предвид, че към днешна дата актът за определяне на кораби като част от „сенчестия флот“ е оказал най-голямо въздействие върху операциите на „сенчестия флот“;</w:t>
      </w:r>
    </w:p>
    <w:p w:rsidR="009C6388" w:rsidRPr="00A34EE8" w:rsidRDefault="009C6388" w:rsidP="009C6388">
      <w:pPr>
        <w:pStyle w:val="NormalHanging12a"/>
        <w:rPr>
          <w:bCs/>
        </w:rPr>
      </w:pPr>
      <w:r w:rsidRPr="00A34EE8">
        <w:t>Д.</w:t>
      </w:r>
      <w:r w:rsidRPr="00A34EE8">
        <w:tab/>
        <w:t>като има предвид, че „сенчести флотове“ вече са използвани от враждебни държави като Иран, Венесуела и Северна Корея; като има предвид обаче, че мащабът и сложността на операциите на Русия я отличават, тъй като съгласно оценките сенчестият флот на Русия експлоатира ежемесечно около 160–200 танкера за транспортиране на нефт, като общият флот се оценява на 600 плавателни съда, които играят ключова роля за поддържането на руския износ на суров нефт;</w:t>
      </w:r>
    </w:p>
    <w:p w:rsidR="009C6388" w:rsidRPr="00A34EE8" w:rsidRDefault="009C6388" w:rsidP="009C6388">
      <w:pPr>
        <w:pStyle w:val="NormalHanging12a"/>
      </w:pPr>
      <w:r w:rsidRPr="00A34EE8">
        <w:lastRenderedPageBreak/>
        <w:t>Е.</w:t>
      </w:r>
      <w:r w:rsidRPr="00A34EE8">
        <w:tab/>
        <w:t>като има предвид, че „сенчестият флот“, използван от Русия с цел заобикаляне на санкциите, намали значително възможностите за въздействие на режима на санкции и позволи на Русия да продължи да използва тези приходи за финансиране на агресивната си война срещу Украйна, както и че това подчертава необходимостта да се укрепи и разшири международната координация на санкциите;</w:t>
      </w:r>
    </w:p>
    <w:p w:rsidR="009C6388" w:rsidRPr="00A34EE8" w:rsidRDefault="009C6388" w:rsidP="009C6388">
      <w:pPr>
        <w:pStyle w:val="NormalHanging12a"/>
      </w:pPr>
      <w:r w:rsidRPr="00A34EE8">
        <w:t>Ж.</w:t>
      </w:r>
      <w:r w:rsidRPr="00A34EE8">
        <w:tab/>
        <w:t>като има предвид, че според оценките „сенчестият флот“ наброява най-малко 600 танкера в световен мащаб; като има предвид, че това са по-стари танкери, които често плават без стандартната за сектора застраховка и при които често се променят наименованията и регистрациите на знамето, което позволява на Русия да продава значителна част от нефта си над тавана на цените и подкопава способността на правителствата да подвеждат собствениците на танкерите под отговорност за почистването в случай на нефтени разливи; като има предвид, че тези кораби като цяло са негодни за експлоатация и допринасят за нарастващия риск от морски сблъсъци по международните търговски маршрути, като по този начин представляват сериозна опасност за околната среда поради високия риск от нефтени разливи, които вредят на морските екосистеми и крайбрежните зони, включително в морски защитени зони с особено чувствителна дива флора и фауна, където нефтените разливи биха имали катастрофални последици; като има предвид опита от минали нефтени разливи, причинени от танкери, който показва, че вредите за крайбрежните и подводните екосистеми, както и за живеещите на повърхността животни и морски птици, могат да продължат десетилетия; като има предвид, че разширяването на флота на Европейската агенция по морска безопасност (ЕАМБ) с допълнителни плавателни съдове за реагиране на нефтени разливи би било в съответствие с ангажимента на ЕС за опазване на околната среда, устойчивост в рамките на Европейския зелен пакт и целите на Механизма за гражданска защита на ЕС за подобряване на способностите за бързо реагиране и готовност при бедствия;</w:t>
      </w:r>
    </w:p>
    <w:p w:rsidR="009C6388" w:rsidRPr="00A34EE8" w:rsidRDefault="009C6388" w:rsidP="009C6388">
      <w:pPr>
        <w:pStyle w:val="NormalHanging12a"/>
      </w:pPr>
      <w:r w:rsidRPr="00A34EE8">
        <w:t>З.</w:t>
      </w:r>
      <w:r w:rsidRPr="00A34EE8">
        <w:tab/>
        <w:t xml:space="preserve">като има предвид, че руските „сенчести танкери“ редовно извършват прехвърляне между плавателни съдове на руски суров нефт и нефтени продукти в териториални води, включително в Средиземно море; като има предвид, че при тези операции те прехвърлят и смесват руски нефт между плавателни съдове, без да акостират в никое пристанище, за да прикрият произхода на нефта; като има предвид, че близостта на тези операции до брега поражда висок риск от вреди за околната среда; като има предвид, че техните транспондери на спътниковата система за автоматична идентификация (AIS) често се изключват, за да се избегнат мониторингът и официалните инспекции; като има предвид, че в такъв случай крайбрежните държави в Европа ще бъдат особено засегнати; като има предвид, че ако възникнат инциденти, нефтените разливи от кораби на „сенчестия флот“ биха могли да предизвикат за крайбрежните държави и техните данъкоплатци разходи за почистване в размер на милиарди евро, тъй като собствениците на тези кораби са до голяма степен </w:t>
      </w:r>
      <w:proofErr w:type="spellStart"/>
      <w:r w:rsidRPr="00A34EE8">
        <w:t>непроследими</w:t>
      </w:r>
      <w:proofErr w:type="spellEnd"/>
      <w:r w:rsidRPr="00A34EE8">
        <w:t xml:space="preserve">; като има предвид, че нефтените разливи могат също така да причинят значителни икономически загуби, включително поради спада в туризма и риболовните дейности; като има предвид, че подобни разливи представляват значителна заплаха за качеството на водата и за местната дива флора и фауна, вредят на морските екосистеми, замърсяват потребителски продукти, например </w:t>
      </w:r>
      <w:proofErr w:type="spellStart"/>
      <w:r w:rsidRPr="00A34EE8">
        <w:t>черупкови</w:t>
      </w:r>
      <w:proofErr w:type="spellEnd"/>
      <w:r w:rsidRPr="00A34EE8">
        <w:t xml:space="preserve"> организми, и по този начин представляват заплаха за човешкото здраве, разпространят допълнително замърсяване и нарушават размножаването на </w:t>
      </w:r>
      <w:r w:rsidRPr="00A34EE8">
        <w:lastRenderedPageBreak/>
        <w:t>рибите;</w:t>
      </w:r>
    </w:p>
    <w:p w:rsidR="009C6388" w:rsidRPr="00A34EE8" w:rsidRDefault="009C6388" w:rsidP="009C6388">
      <w:pPr>
        <w:pStyle w:val="NormalHanging12a"/>
      </w:pPr>
      <w:r w:rsidRPr="00A34EE8">
        <w:t>И.</w:t>
      </w:r>
      <w:r w:rsidRPr="00A34EE8">
        <w:tab/>
        <w:t>като има предвид, че съгласно MARPOL – международен договор, чиято цел е да се ограничи замърсяването от корабоплаването, умишленото изхвърляне на отпадъчни масла зад борда е незаконно; като има предвид, че Русия е страна по MARPOL; като има предвид, че има доказателства за нарушения на MARPOL; като има предвид, че санкционирането на отделни кораби се оказа ефективно, тъй като след като са били санкционирани, включените вече в черния списък кораби имат по-малки възможности да търгуват с нефт;</w:t>
      </w:r>
    </w:p>
    <w:p w:rsidR="009C6388" w:rsidRPr="00A34EE8" w:rsidRDefault="009C6388" w:rsidP="009C6388">
      <w:pPr>
        <w:pStyle w:val="NormalHanging12a"/>
        <w:rPr>
          <w:bCs/>
        </w:rPr>
      </w:pPr>
      <w:r w:rsidRPr="00A34EE8">
        <w:t>Й.</w:t>
      </w:r>
      <w:r w:rsidRPr="00A34EE8">
        <w:tab/>
        <w:t>като има предвид, че Директива 2009/20/ЕО</w:t>
      </w:r>
      <w:r w:rsidRPr="00A34EE8">
        <w:rPr>
          <w:rStyle w:val="FootnoteReference"/>
        </w:rPr>
        <w:footnoteReference w:id="1"/>
      </w:r>
      <w:r w:rsidRPr="00A34EE8">
        <w:t xml:space="preserve"> относно застраховката на </w:t>
      </w:r>
      <w:proofErr w:type="spellStart"/>
      <w:r w:rsidRPr="00A34EE8">
        <w:t>корабособствениците</w:t>
      </w:r>
      <w:proofErr w:type="spellEnd"/>
      <w:r w:rsidRPr="00A34EE8">
        <w:t xml:space="preserve"> за морски искове е в сила от 2009 г., като гарантира, че всички кораби, плаващи под знамето на държава — членка на ЕС, имат застраховка и разполагат с удостоверение за застраховка; като има предвид, че една от целите на Директива 2009/20/ЕО е премахването на корабите, които не отговарят на стандартите; като има предвид, че Международната конвенция относно намесата в открито море в случаи на бедствия, водещи до замърсяване на морето с нефт, позволява на държавите „да предотвратяват, смекчават или премахват сериозна и непосредствена опасност за тяхното крайбрежие или свързани с него интереси от замърсяване или заплаха от замърсяване на морето с нефт, след произшествие по море или действия, свързани с такова произшествие“;</w:t>
      </w:r>
    </w:p>
    <w:p w:rsidR="009C6388" w:rsidRPr="00A34EE8" w:rsidRDefault="009C6388" w:rsidP="009C6388">
      <w:pPr>
        <w:pStyle w:val="NormalHanging12a"/>
        <w:rPr>
          <w:rFonts w:eastAsia="Arial Unicode MS"/>
          <w:u w:color="000000"/>
          <w:bdr w:val="nil"/>
        </w:rPr>
      </w:pPr>
      <w:r w:rsidRPr="00A34EE8">
        <w:rPr>
          <w:u w:color="000000"/>
        </w:rPr>
        <w:t>К.</w:t>
      </w:r>
      <w:r w:rsidRPr="00A34EE8">
        <w:rPr>
          <w:u w:color="000000"/>
        </w:rPr>
        <w:tab/>
        <w:t>като има предвид, че в неотдавнашни доклади на шведския военноморски флот се подчертават рисковете за сигурността, свързани с дейностите на „сенчестия флот“ и възможното му използване в хибридни операции срещу европейски държави;</w:t>
      </w:r>
    </w:p>
    <w:p w:rsidR="009C6388" w:rsidRPr="00A34EE8" w:rsidRDefault="009C6388" w:rsidP="009C6388">
      <w:pPr>
        <w:pStyle w:val="NormalHanging12a"/>
        <w:rPr>
          <w:bCs/>
        </w:rPr>
      </w:pPr>
      <w:r w:rsidRPr="00A34EE8">
        <w:t>Л.</w:t>
      </w:r>
      <w:r w:rsidRPr="00A34EE8">
        <w:tab/>
        <w:t>като има предвид, че въпреки забраната за внос на нефтени продукти, рафинирани в Русия, няма забрана за внос от рафинерии на трети държави, които преработват руски суров нефт; като има предвид, че „сенчестият флот“ доставя руски суров нефт на рафинерии от трети държави; като има предвид, че държавите от ЕС и Г-7 продължават да внасят петролни продукти, получени от руски нефт, например от рафинерии в Турция;</w:t>
      </w:r>
    </w:p>
    <w:p w:rsidR="009C6388" w:rsidRPr="00A34EE8" w:rsidRDefault="009C6388" w:rsidP="009C6388">
      <w:pPr>
        <w:pStyle w:val="NormalHanging12a"/>
        <w:rPr>
          <w:bCs/>
        </w:rPr>
      </w:pPr>
      <w:r w:rsidRPr="00A34EE8">
        <w:t>М.</w:t>
      </w:r>
      <w:r w:rsidRPr="00A34EE8">
        <w:tab/>
        <w:t>като има предвид, че през 2024 г. трафикът на такива плавателни съдове се е увеличил драстично, като броят на пътуванията на руски „сенчести кораби“ се е увеличил повече от два пъти; като има предвид, че значителна част от руския нефт се транспортира по натоварени международни морски маршрути; като има предвид, че Русия превозва огромна част от нефта си от пристанища в Балтийско и Черно море;</w:t>
      </w:r>
    </w:p>
    <w:p w:rsidR="009C6388" w:rsidRPr="00A34EE8" w:rsidRDefault="009C6388" w:rsidP="009C6388">
      <w:pPr>
        <w:pStyle w:val="NormalHanging12a"/>
        <w:rPr>
          <w:bCs/>
        </w:rPr>
      </w:pPr>
      <w:r w:rsidRPr="00A34EE8">
        <w:t>Н.</w:t>
      </w:r>
      <w:r w:rsidRPr="00A34EE8">
        <w:tab/>
        <w:t>като има предвид, че лицата, които превозват нефта и управляват „сенчестия флот“, не действат в изолация; като има предвид, че техните дейности са взаимосвързани с финансовите операции, които ги подпомагат; като има предвид, че тези операции могат да включват субекти, подлежащи на финансови санкции; като има предвид, че спазването на режима на санкции следва да се анализира от всички гледни точки, за да се избегне заобикаляне;</w:t>
      </w:r>
    </w:p>
    <w:p w:rsidR="009C6388" w:rsidRPr="00A34EE8" w:rsidRDefault="009C6388" w:rsidP="009C6388">
      <w:pPr>
        <w:pStyle w:val="NormalHanging12a"/>
      </w:pPr>
      <w:r w:rsidRPr="00A34EE8">
        <w:lastRenderedPageBreak/>
        <w:t>О.</w:t>
      </w:r>
      <w:r w:rsidRPr="00A34EE8">
        <w:tab/>
        <w:t>като има предвид, че корабните оператори са склонни да игнорират санкциите, като регистрират своите плавателни съдове в държави, които не са част от споразумението за таван на цените; като има предвид, че Русия използва посредници, организации или физически лица от трети държави, за да закупува танкери за „сенчестия флот“; като има предвид, че някои собственици и управители на танкери от „сенчестия флот“ и превозвачи на газ също са регистрирани в държави – членки на ЕС;</w:t>
      </w:r>
    </w:p>
    <w:p w:rsidR="009C6388" w:rsidRPr="00A34EE8" w:rsidRDefault="009C6388" w:rsidP="009C6388">
      <w:pPr>
        <w:pStyle w:val="NormalHanging12a"/>
      </w:pPr>
      <w:r w:rsidRPr="00A34EE8">
        <w:t>П.</w:t>
      </w:r>
      <w:r w:rsidRPr="00A34EE8">
        <w:tab/>
        <w:t>като има предвид, че „сенчестият флот“ на Русия разчита в голяма степен на съучастието и сътрудничеството на няколко държави за заобикаляне на санкциите, по-специално Китай, Индия и Турция;</w:t>
      </w:r>
    </w:p>
    <w:p w:rsidR="009C6388" w:rsidRPr="00A34EE8" w:rsidRDefault="009C6388" w:rsidP="009C6388">
      <w:pPr>
        <w:pStyle w:val="NormalHanging12a"/>
      </w:pPr>
      <w:r w:rsidRPr="00A34EE8">
        <w:t>1.</w:t>
      </w:r>
      <w:r w:rsidRPr="00A34EE8">
        <w:tab/>
        <w:t xml:space="preserve">отново осъжда по най-категоричен начин </w:t>
      </w:r>
      <w:proofErr w:type="spellStart"/>
      <w:r w:rsidRPr="00A34EE8">
        <w:t>непровокираната</w:t>
      </w:r>
      <w:proofErr w:type="spellEnd"/>
      <w:r w:rsidRPr="00A34EE8">
        <w:t>, незаконна и неоправдана агресивна война на Русия срещу Украйна; призовава Русия да прекрати незабавно всички военни действия в Украйна и да изтегли напълно и безусловно всички сили, марионетни организации и военно оборудване от цялата международно призната територия на Украйна, да прекрати принудителното депортиране на украински цивилни граждани и да освободи всички задържани и депортирани украинци, особено деца;</w:t>
      </w:r>
    </w:p>
    <w:p w:rsidR="009C6388" w:rsidRPr="00A34EE8" w:rsidRDefault="009C6388" w:rsidP="009C6388">
      <w:pPr>
        <w:pStyle w:val="NormalHanging12a"/>
      </w:pPr>
      <w:r w:rsidRPr="00A34EE8">
        <w:t>2.</w:t>
      </w:r>
      <w:r w:rsidRPr="00A34EE8">
        <w:tab/>
        <w:t>отново изразява категоричната си подкрепа за режима на санкции на ЕС, който има за цел да подкопае капацитета на руския режим да продължава агресивната си война срещу Украйна; подчертава, че целта на санкциите на ЕС в отговор на агресивната война на Русия срещу Украйна е стратегическото отслабване на руската икономическа и промишлена база, по-специално на военно-промишления комплекс, за да се подкопае способността на Руската федерация да продължава да води войната, да напада цивилното население и да нарушава териториалната цялост на Украйна, както и да се възпрепятства достъпът на Русия до военни технологии и компоненти; отбелязва, че Русия се стреми активно да заобикаля санкции</w:t>
      </w:r>
      <w:r w:rsidR="002A5989">
        <w:t>те</w:t>
      </w:r>
      <w:r w:rsidRPr="00A34EE8">
        <w:t xml:space="preserve"> на ЕС и търси </w:t>
      </w:r>
      <w:r w:rsidR="002A5989">
        <w:t xml:space="preserve">нови </w:t>
      </w:r>
      <w:r w:rsidRPr="00A34EE8">
        <w:t>пътища за това, като, наред с другото, експлоатира „сенчест флот“ от нефтени танкери и следователно може все още да е в състояние да засили военните си усилия срещу Украйна в краткосрочен план, особено по време на предстоящия зимен сезон;</w:t>
      </w:r>
    </w:p>
    <w:p w:rsidR="009C6388" w:rsidRPr="00A34EE8" w:rsidRDefault="009C6388" w:rsidP="009C6388">
      <w:pPr>
        <w:pStyle w:val="NormalHanging12a"/>
      </w:pPr>
      <w:r w:rsidRPr="00A34EE8">
        <w:t>3.</w:t>
      </w:r>
      <w:r w:rsidRPr="00A34EE8">
        <w:tab/>
        <w:t xml:space="preserve">счита, че „сенчестият флот“ е ключов финансов „спасителен пояс“ за Русия в нейната незаконна и неоправдана агресивна война срещу Украйна и основен инструмент, създаден за заобикаляне на режима на санкции на ЕС; осъжда рисковете, които тези опасни и </w:t>
      </w:r>
      <w:proofErr w:type="spellStart"/>
      <w:r w:rsidRPr="00A34EE8">
        <w:t>незастраховани</w:t>
      </w:r>
      <w:proofErr w:type="spellEnd"/>
      <w:r w:rsidRPr="00A34EE8">
        <w:t xml:space="preserve"> руски кораби представляват за морската сигурност и за нашите крайбрежни европейски държави членки и морски екосистеми; осъжда Русия за това, че за собствена финансова изгода тя умишлено създава огромни рискове, без да взема предвид международната безопасност или потенциала за необратими екологични щети; </w:t>
      </w:r>
      <w:r w:rsidRPr="00A34EE8">
        <w:rPr>
          <w:rStyle w:val="Aucun"/>
          <w:color w:val="000000"/>
        </w:rPr>
        <w:t>призовава ЕС и неговите държави членки да увеличат усилията си за ограничаване на укриването и заобикалянето на санкциите от страна на Русия, както и да прилагат конкретни мерки за гарантиране на морската безопасност и предотвратяване на опасностите за околната среда в европейските води</w:t>
      </w:r>
      <w:r w:rsidRPr="00A34EE8">
        <w:t>, по-специално в Балтийско море;</w:t>
      </w:r>
      <w:r w:rsidRPr="00A34EE8">
        <w:rPr>
          <w:rStyle w:val="Aucun"/>
          <w:color w:val="000000"/>
        </w:rPr>
        <w:t xml:space="preserve"> </w:t>
      </w:r>
      <w:r w:rsidRPr="00A34EE8">
        <w:t>счита, че прехвърлянията между плавателни съдове в открито море са високорискови дейности, които подкопават международната морска безопасност и опазването на околната среда;</w:t>
      </w:r>
    </w:p>
    <w:p w:rsidR="009C6388" w:rsidRPr="00A34EE8" w:rsidRDefault="009C6388" w:rsidP="009C6388">
      <w:pPr>
        <w:pStyle w:val="NormalHanging12a"/>
      </w:pPr>
      <w:r w:rsidRPr="00A34EE8">
        <w:t>4.</w:t>
      </w:r>
      <w:r w:rsidRPr="00A34EE8">
        <w:tab/>
      </w:r>
      <w:r w:rsidRPr="00A34EE8">
        <w:rPr>
          <w:rStyle w:val="Aucun"/>
          <w:color w:val="000000"/>
        </w:rPr>
        <w:t xml:space="preserve">призовава за по-целенасочени санкции срещу „сенчестия флот“ в следващите </w:t>
      </w:r>
      <w:r w:rsidRPr="00A34EE8">
        <w:rPr>
          <w:rStyle w:val="Aucun"/>
          <w:color w:val="000000"/>
        </w:rPr>
        <w:lastRenderedPageBreak/>
        <w:t>пакети от санкции срещу Русия, като например посочване на всички отделни плавателни съдове от „сенчестия флот“, както и на техните собственици, оператори, управители, сметки,</w:t>
      </w:r>
      <w:r w:rsidRPr="00A34EE8">
        <w:t xml:space="preserve"> банки, застрахователни дружества </w:t>
      </w:r>
      <w:r w:rsidRPr="00A34EE8">
        <w:rPr>
          <w:rStyle w:val="Aucun"/>
          <w:color w:val="000000"/>
        </w:rPr>
        <w:t xml:space="preserve">и др.; призовава за незабавна забрана на използването на западни плавателни съдове при превоза на руски нефт; </w:t>
      </w:r>
      <w:r w:rsidRPr="00A34EE8">
        <w:t xml:space="preserve">призовава в по-широк план следващите пакети от санкции на ЕС да включват автоматично санкциониране на плавателни съдове, плаващи във водите на ЕС без известна застраховка, за да бъдат защитени нашите води и да се избегне финансовата тежест, свързана с почистването на нефтени разливи; настоятелно призовава Европейската служба за външна дейност и пратеника на ЕС за санкциите да се обърнат към </w:t>
      </w:r>
      <w:r w:rsidRPr="00A34EE8">
        <w:rPr>
          <w:rStyle w:val="Aucun"/>
          <w:color w:val="000000"/>
        </w:rPr>
        <w:t>правителствата на държавите, в които са регистрирани дружествата, управляващи „сенчестите танкери“, и към държавите, чието</w:t>
      </w:r>
      <w:r w:rsidRPr="00A34EE8">
        <w:t xml:space="preserve"> „присъствие на флага“ е нараснало значително във водите на ЕС след налагането на тавана на цените на петрола; призовава ЕС и неговите държави членки да се обръщат към тези държави на знамето, за да ги информират относно основанието за включване в списъците и последиците от евентуалното включване, да подчертават рисковете и неблагоприятното въздействие върху околната среда на незаконните и високорисковите морски практики и да им напомнят за отговорностите на държавите на знамето; настоятелно призовава държавите на знамето да заличат санкционираните плавателни съдове от своите корабни регистри;</w:t>
      </w:r>
    </w:p>
    <w:p w:rsidR="009C6388" w:rsidRPr="00A34EE8" w:rsidRDefault="009C6388" w:rsidP="009C6388">
      <w:pPr>
        <w:pStyle w:val="NormalHanging12a"/>
      </w:pPr>
      <w:r w:rsidRPr="00A34EE8">
        <w:t>5.</w:t>
      </w:r>
      <w:r w:rsidRPr="00A34EE8">
        <w:tab/>
        <w:t>отбелязва, че държавите на знамето, които подпомагат руския „сенчест флот“, подпомагат съответно и руските военни усилия; подчертава, че ако класическите дипломатически усилия се провалят, ЕС следва сериозно да преразгледа двустранното си сътрудничество с държави извън ЕС, които помагат на Русия да заобикаля санкциите на ЕС;</w:t>
      </w:r>
    </w:p>
    <w:p w:rsidR="009C6388" w:rsidRPr="00A34EE8" w:rsidRDefault="009C6388" w:rsidP="009C6388">
      <w:pPr>
        <w:pStyle w:val="NormalHanging12a"/>
        <w:rPr>
          <w:rStyle w:val="Aucun"/>
          <w:color w:val="000000"/>
        </w:rPr>
      </w:pPr>
      <w:r w:rsidRPr="00A34EE8">
        <w:rPr>
          <w:rStyle w:val="Aucun"/>
          <w:color w:val="000000"/>
        </w:rPr>
        <w:t>6.</w:t>
      </w:r>
      <w:r w:rsidRPr="00A34EE8">
        <w:rPr>
          <w:rStyle w:val="Aucun"/>
          <w:color w:val="000000"/>
        </w:rPr>
        <w:tab/>
      </w:r>
      <w:r w:rsidRPr="00A34EE8">
        <w:t xml:space="preserve">осъжда участието на европейските </w:t>
      </w:r>
      <w:proofErr w:type="spellStart"/>
      <w:r w:rsidRPr="00A34EE8">
        <w:t>корабособственици</w:t>
      </w:r>
      <w:proofErr w:type="spellEnd"/>
      <w:r w:rsidRPr="00A34EE8">
        <w:t xml:space="preserve"> в създаването на „сенчестия флот“ на Русия; </w:t>
      </w:r>
      <w:r w:rsidRPr="00A34EE8">
        <w:rPr>
          <w:rStyle w:val="Aucun"/>
          <w:color w:val="000000"/>
        </w:rPr>
        <w:t xml:space="preserve">осъжда поведението на държавите, доставчиците на правни услуги, както и други образувания и лица, които помагат на Русия да избягва или смекчава последиците от санкциите на ЕС; </w:t>
      </w:r>
      <w:r w:rsidRPr="00A34EE8">
        <w:t xml:space="preserve">припомня, че нарушаването на санкциите е престъпление на равнището на ЕС и има много сериозно въздействие върху финансовите интереси на ЕС; призовава за разширяване и прилагане на ограниченията върху продажбите на плавателни съдове, както и за забрана на продажбите на </w:t>
      </w:r>
      <w:r w:rsidRPr="00A34EE8">
        <w:rPr>
          <w:rStyle w:val="Aucun"/>
          <w:color w:val="000000"/>
        </w:rPr>
        <w:t>танкери на държави, които способстват за търговията с Русия;</w:t>
      </w:r>
    </w:p>
    <w:p w:rsidR="009C6388" w:rsidRPr="00A34EE8" w:rsidRDefault="009C6388" w:rsidP="009C6388">
      <w:pPr>
        <w:pStyle w:val="NormalHanging12a"/>
        <w:rPr>
          <w:bCs/>
        </w:rPr>
      </w:pPr>
      <w:r w:rsidRPr="00A34EE8">
        <w:t>7.</w:t>
      </w:r>
      <w:r w:rsidRPr="00A34EE8">
        <w:tab/>
        <w:t>призовава за засилени мерки в целия ЕС, за да се гарантира по-строго прилагане и разширяване на санкциите, включително незабавна инспекция на корабите, извършващи дейност във водите на ЕС, за да се проверява тяхното застрахователно покритие и спазването на изискванията на ММО; призовава държавите членки да оценят и укрепят административния си капацитет, за да се гарантира бързото изпълнение и стриктното прилагане на санкциите на ЕС;</w:t>
      </w:r>
    </w:p>
    <w:p w:rsidR="009C6388" w:rsidRPr="00A34EE8" w:rsidRDefault="009C6388" w:rsidP="009C6388">
      <w:pPr>
        <w:pStyle w:val="NormalHanging12a"/>
      </w:pPr>
      <w:r w:rsidRPr="00A34EE8">
        <w:t>8.</w:t>
      </w:r>
      <w:r w:rsidRPr="00A34EE8">
        <w:tab/>
        <w:t xml:space="preserve">призовава Комисията да предприема в рамките на сътрудничеството на ЕС с ММО действия за предотвратяване и ограничаване на дейностите на „сенчестия флот“; призовава за стриктно прилагане на резолюция A.1192(33) на Генералната асамблея на ММО, приета през декември 2023 г., за да се води борба с вредните морски операции, по-специално задължението плавателните съдове да докладват на своите държави на знамето всички прехвърляния между плавателни съдове, както и за засилени инспекции на подозрителни кораби в пристанищата; </w:t>
      </w:r>
      <w:r w:rsidRPr="00A34EE8">
        <w:lastRenderedPageBreak/>
        <w:t>призовава ЕС и неговите държави членки да ограничават достъпа на плавателни съдове от руския „сенчест флот“ до водите на ЕС; подчертава, че Европейската агенция по морска безопасност трябва да се използва в пълния ѝ потенциал, за да се подпомогнат държавите членки при идентифицирането на кораби, подлежащи на санкции, и при наблюдението на движението на подозрителни кораби; призовава по-специално ЕС да изготви изчерпателен списък на корабите, принадлежащи към руския „сенчест флот“, да извършва целенасочени инспекции, включително в морето, и да налага санкции, които също така да водят до постоянно или временно блокиране на плавателни съдове по административни причини;</w:t>
      </w:r>
    </w:p>
    <w:p w:rsidR="009C6388" w:rsidRPr="00A34EE8" w:rsidRDefault="009C6388" w:rsidP="009C6388">
      <w:pPr>
        <w:pStyle w:val="NormalHanging12a"/>
      </w:pPr>
      <w:r w:rsidRPr="00A34EE8">
        <w:t>9.</w:t>
      </w:r>
      <w:r w:rsidRPr="00A34EE8">
        <w:tab/>
        <w:t xml:space="preserve">призовава ЕС и неговите държави членки да следят отблизо прилагането на Директива 2009/20/ЕО относно застраховката на </w:t>
      </w:r>
      <w:proofErr w:type="spellStart"/>
      <w:r w:rsidRPr="00A34EE8">
        <w:t>корабособствениците</w:t>
      </w:r>
      <w:proofErr w:type="spellEnd"/>
      <w:r w:rsidRPr="00A34EE8">
        <w:t xml:space="preserve"> за морски искове, за да се предотвратява плаването на </w:t>
      </w:r>
      <w:proofErr w:type="spellStart"/>
      <w:r w:rsidRPr="00A34EE8">
        <w:t>незастраховани</w:t>
      </w:r>
      <w:proofErr w:type="spellEnd"/>
      <w:r w:rsidRPr="00A34EE8">
        <w:t xml:space="preserve"> плавателни съдове през водите на ЕС; подчертава необходимостта от засилени механизми за правоприлагане, като например предоставяне на възможност на държавите — членки на ЕС, да предотвратяват акостирането на </w:t>
      </w:r>
      <w:proofErr w:type="spellStart"/>
      <w:r w:rsidRPr="00A34EE8">
        <w:t>незастраховани</w:t>
      </w:r>
      <w:proofErr w:type="spellEnd"/>
      <w:r w:rsidRPr="00A34EE8">
        <w:t xml:space="preserve"> или несъответстващи на изискванията плавателни съдове в пристанищата на ЕС или използването от тяхна страна на водите на ЕС за презареждане с гориво или за други услуги, както и от засилване на наблюдението на такива плавателни съдове; призовава държавите членки да предприемат действия, за да гарантират, че на пазара не се предлагат несъответстващи кораби;</w:t>
      </w:r>
    </w:p>
    <w:p w:rsidR="009C6388" w:rsidRPr="00A34EE8" w:rsidRDefault="009C6388" w:rsidP="009C6388">
      <w:pPr>
        <w:pStyle w:val="NormalHanging12a"/>
      </w:pPr>
      <w:r w:rsidRPr="00A34EE8">
        <w:t>10.</w:t>
      </w:r>
      <w:r w:rsidRPr="00A34EE8">
        <w:tab/>
        <w:t>насърчава държавите членки да си сътрудничат тясно с Обединеното кралство относно мерките за ограничаване на достъпа до Ламанша на кораби от руския „сенчест флот“; призовава държавите с международни проливи да изискват от корабите да представят доказателства за застраховка за защита и отговорност и за придържането им към минималните стандарти за безопасност; призовава всички държави членки да изискват оповестяване на застрахователното покритие за нефтен разлив от всички плавателни съдове, преминаващи през техните води, за да се гарантира прозрачност по отношение на застрахователните договорености;</w:t>
      </w:r>
    </w:p>
    <w:p w:rsidR="009C6388" w:rsidRPr="00A34EE8" w:rsidRDefault="009C6388" w:rsidP="009C6388">
      <w:pPr>
        <w:pStyle w:val="NormalHanging12a"/>
      </w:pPr>
      <w:r w:rsidRPr="00A34EE8">
        <w:t>11.</w:t>
      </w:r>
      <w:r w:rsidRPr="00A34EE8">
        <w:tab/>
        <w:t>насърчава ЕС и неговите държави членки да засилят капацитета за наблюдение, особено безпилотното и сателитното наблюдение, включително чрез използването на спътникови изображения от системата „</w:t>
      </w:r>
      <w:proofErr w:type="spellStart"/>
      <w:r w:rsidRPr="00A34EE8">
        <w:t>Сентинел</w:t>
      </w:r>
      <w:proofErr w:type="spellEnd"/>
      <w:r w:rsidRPr="00A34EE8">
        <w:t>“, за да се идентифицират корабите от „сенчестия флот“ във водите на ЕС и да се наблюдават дейности, като например прехвърляне между плавателни съдове в нарушение на директивите на ЕС и на Международната конвенция за предотвратяване на замърсяването от кораби (MARPOL), както и да разследват бързо при възникване на рискове за крайбрежните зони и морските екосистеми;</w:t>
      </w:r>
    </w:p>
    <w:p w:rsidR="009C6388" w:rsidRPr="00A34EE8" w:rsidRDefault="009C6388" w:rsidP="009C6388">
      <w:pPr>
        <w:pStyle w:val="NormalHanging12a"/>
        <w:rPr>
          <w:bCs/>
        </w:rPr>
      </w:pPr>
      <w:r w:rsidRPr="00A34EE8">
        <w:t>12.</w:t>
      </w:r>
      <w:r w:rsidRPr="00A34EE8">
        <w:tab/>
        <w:t>призовава за забрана на прехвърлянето между плавателни съдове на руски суров нефт и нефтени продукти във водите на ЕС; изисква да бъдат разгърнати необходимите ресурси за идентифициране и възпрепятстване на тези операции по прехвърляне, включително чрез забрана за хвърляне на котва и зареждане с гориво на всички такива кораби във водите на ЕС;</w:t>
      </w:r>
    </w:p>
    <w:p w:rsidR="009C6388" w:rsidRPr="00A34EE8" w:rsidRDefault="009C6388" w:rsidP="009C6388">
      <w:pPr>
        <w:pStyle w:val="NormalHanging12a"/>
      </w:pPr>
      <w:r w:rsidRPr="00A34EE8">
        <w:t>13.</w:t>
      </w:r>
      <w:r w:rsidRPr="00A34EE8">
        <w:tab/>
        <w:t xml:space="preserve">призовава държавите членки да прилагат строги регулаторни мерки в своите пристанища и в териториалните си води; настоятелно призовава държавите членки, в случай на танкери, които е възможно да превозват руски нефт, да се възползват в пълна степен от правото си плавателните съдове да бъдат </w:t>
      </w:r>
      <w:proofErr w:type="spellStart"/>
      <w:r w:rsidRPr="00A34EE8">
        <w:lastRenderedPageBreak/>
        <w:t>навигирани</w:t>
      </w:r>
      <w:proofErr w:type="spellEnd"/>
      <w:r w:rsidRPr="00A34EE8">
        <w:t xml:space="preserve"> от пилот на борда от съответния национален орган, да извършват проверки на произхода на товара, крайните собственици на кораба, застрахователните документи и спазването на стандартите за безопасност и да гарантират, че корабите, за които се подозира, че заобикалят санкциите и не спазват екологичните изисквания, се отбелязват, за да бъде проведено разследване;</w:t>
      </w:r>
    </w:p>
    <w:p w:rsidR="009C6388" w:rsidRPr="00A34EE8" w:rsidRDefault="009C6388" w:rsidP="009C6388">
      <w:pPr>
        <w:pStyle w:val="NormalHanging12a"/>
        <w:rPr>
          <w:rStyle w:val="s2"/>
          <w:color w:val="000000"/>
        </w:rPr>
      </w:pPr>
      <w:r w:rsidRPr="00A34EE8">
        <w:rPr>
          <w:rStyle w:val="s2"/>
          <w:color w:val="000000"/>
        </w:rPr>
        <w:t>14.</w:t>
      </w:r>
      <w:r w:rsidRPr="00A34EE8">
        <w:rPr>
          <w:rStyle w:val="s2"/>
          <w:color w:val="000000"/>
        </w:rPr>
        <w:tab/>
      </w:r>
      <w:r w:rsidRPr="00A34EE8">
        <w:t xml:space="preserve">призовава </w:t>
      </w:r>
      <w:r w:rsidRPr="00A34EE8">
        <w:rPr>
          <w:rStyle w:val="s2"/>
          <w:color w:val="000000"/>
        </w:rPr>
        <w:t>държавите членки да определят пристанища, които да могат да се заемат със санкционираните плавателни съдове, превозващи суров нефт и ВПГ, и да конфискуват незаконните товари без обезщетение;</w:t>
      </w:r>
    </w:p>
    <w:p w:rsidR="009C6388" w:rsidRPr="00A34EE8" w:rsidRDefault="009C6388" w:rsidP="009C6388">
      <w:pPr>
        <w:pStyle w:val="NormalHanging12a"/>
      </w:pPr>
      <w:r w:rsidRPr="00A34EE8">
        <w:t>15.</w:t>
      </w:r>
      <w:r w:rsidRPr="00A34EE8">
        <w:tab/>
        <w:t>подчертава, че докато ЕС продължава да внася руски изкопаеми горива, въздействието на съществуващите санкции и на финансовата и военната подкрепа за Украйна ще продължава да бъде подкопавано; поради това призовава ЕС и неговите държави членки да забранят целия внос на руски изкопаеми горива, включително втечнен природен газ (ВПГ); призовава ЕС да наложи изискването корабите, изнасящи руски ВПГ, да бъдат включени в списъка със санкции на ЕС, като им се отказва достъп до пристанища или морски услуги на територията на ЕС; призовава ЕС и неговите държави членки да забранят вноса на руски ядрени продукти и настоятелно призовава държавите членки да не сключват нови споразумения с „</w:t>
      </w:r>
      <w:proofErr w:type="spellStart"/>
      <w:r w:rsidRPr="00A34EE8">
        <w:t>Росатом</w:t>
      </w:r>
      <w:proofErr w:type="spellEnd"/>
      <w:r w:rsidRPr="00A34EE8">
        <w:t>“ или неговото ръководство и дъщерни дружества;</w:t>
      </w:r>
    </w:p>
    <w:p w:rsidR="009C6388" w:rsidRPr="00A34EE8" w:rsidRDefault="009C6388" w:rsidP="009C6388">
      <w:pPr>
        <w:pStyle w:val="NormalHanging12a"/>
      </w:pPr>
      <w:r w:rsidRPr="00A34EE8">
        <w:t>16.</w:t>
      </w:r>
      <w:r w:rsidRPr="00A34EE8">
        <w:tab/>
        <w:t>призовава държавите от Г-7 да прилагат по-ефективно ценовия таван, наложен на руския петрол, превозван по море, да намалят значително този таван и да предприемат мерки срещу вратичките, използвани от Русия, за да прехвърля и продава своя петрол и петролни продукти на пазарни цени; призовава ЕС, неговите държави членки и неговите партньори от Г-7 да засилят сътрудничеството си с търговските партньори с цел по-бързо и по-ефективно идентифициране на купувачите на руски нефт и прекратяване на закупуването на нефтени продукти от тях; призовава тези определени инструменти да бъдат включени в списъка с целенасочени санкции и за въвеждане на пълна забрана на реекспортираните руски рафинирани нефтопродукти; призовава за хармонизирани проверки на произхода на вноса на изкопаеми горива, втечнен природен газ (ВПГ) и рафинирани изкопаеми горива, за да се предотврати реекспортът на руска енергия за ЕС; призовава държавите членки да разследват задълбочено спазването от страна на дружествата на ограниченията за износ на включените в списъка стоки и да налагат възпиращи санкции;</w:t>
      </w:r>
    </w:p>
    <w:p w:rsidR="009C6388" w:rsidRPr="00A34EE8" w:rsidRDefault="009C6388" w:rsidP="009C6388">
      <w:pPr>
        <w:pStyle w:val="NormalHanging12a"/>
      </w:pPr>
      <w:r w:rsidRPr="00A34EE8">
        <w:t>17.</w:t>
      </w:r>
      <w:r w:rsidRPr="00A34EE8">
        <w:tab/>
        <w:t>настоятелно препоръчва ЕС и неговите партньори от Г-7 да разширят значително своите списъци със санкции, за да включат допълнителни плавателни съдове, които заобикалят техните тавани на цените и извършват дейност, без да спазват международните стандарти;</w:t>
      </w:r>
      <w:r w:rsidRPr="00A34EE8">
        <w:rPr>
          <w:rStyle w:val="Aucun"/>
          <w:color w:val="000000"/>
        </w:rPr>
        <w:t xml:space="preserve"> призовава ЕС и държавите партньори</w:t>
      </w:r>
      <w:r w:rsidRPr="00A34EE8">
        <w:t xml:space="preserve"> да проверяват внимателно адекватността на застраховките за нефтени разливи, когато прилагат рамката от санкции, например когато предоставят или подновяват регистрации; призовава за засилени изисквания за надлежна проверка за получаване на застраховка за плавателни съдове, например доказателство за договори за продажба в съответствие с тавана на цените или надеждни, проверени банкови извлечения и др.;</w:t>
      </w:r>
    </w:p>
    <w:p w:rsidR="009C6388" w:rsidRPr="00A34EE8" w:rsidRDefault="009C6388" w:rsidP="009C6388">
      <w:pPr>
        <w:pStyle w:val="NormalHanging12a"/>
      </w:pPr>
      <w:r w:rsidRPr="00A34EE8">
        <w:t>18.</w:t>
      </w:r>
      <w:r w:rsidRPr="00A34EE8">
        <w:tab/>
        <w:t xml:space="preserve">призовава Комисията и държавите членки да гарантират достатъчна подготвеност за екологични бедствия, особено за големи нефтени разливи, и да гарантират, че </w:t>
      </w:r>
      <w:r w:rsidRPr="00A34EE8">
        <w:lastRenderedPageBreak/>
        <w:t>органите на държавите членки си сътрудничат тясно, както помежду си, така и с Европейската агенция по морска безопасност , за да се справят с мащабни трансгранични бедствия, свързани със замърсяване, включително като продължат да координират инвентаризациите на оборудването, необходимо за почистване; подчертава, че инциденти от такова естество ще доведат до сериозно дългосрочно влошаване на състоянието на околната среда, което на свой ред би могло значително да засегне туризма, риболова и морските отрасли в държавите членки, които имат излаз към тези засегнати морета; призовава Комисията да предостави допълнително финансиране, така че за Европейската агенция по морска безопасност да бъдат осигурени достатъчно на брой плавателни съдове за реагиране при нефтени разливи;</w:t>
      </w:r>
    </w:p>
    <w:p w:rsidR="009C6388" w:rsidRPr="00A34EE8" w:rsidRDefault="009C6388" w:rsidP="009C6388">
      <w:pPr>
        <w:pStyle w:val="NormalHanging12a"/>
      </w:pPr>
      <w:r w:rsidRPr="00A34EE8">
        <w:t>19.</w:t>
      </w:r>
      <w:r w:rsidRPr="00A34EE8">
        <w:tab/>
        <w:t>призовава Комисията да гарантира действителното прилагане и изпълнение на разпоредбите на Директива 2009/123/ЕО на Европейския парламент и на Съвета за изменение на Директива 2005/35/ЕО относно замърсяване от кораби и налагане на санкции при нарушения</w:t>
      </w:r>
      <w:r w:rsidRPr="00A34EE8">
        <w:rPr>
          <w:rStyle w:val="FootnoteReference"/>
        </w:rPr>
        <w:footnoteReference w:id="2"/>
      </w:r>
      <w:r w:rsidRPr="00A34EE8">
        <w:t>; призовава държавите членки незабавно да транспонират и приложат Директива (ЕС) 2024/1226 относно определянето на престъпленията и санкциите за нарушаване на ограничителните мерки на Съюза</w:t>
      </w:r>
      <w:r w:rsidRPr="00A34EE8">
        <w:rPr>
          <w:rStyle w:val="FootnoteReference"/>
        </w:rPr>
        <w:footnoteReference w:id="3"/>
      </w:r>
      <w:r w:rsidRPr="00A34EE8">
        <w:t xml:space="preserve"> и да осигуряват подходящи финансови, технически и човешки ресурси за правилно прилагане на ограничителните мерки на ЕС;</w:t>
      </w:r>
    </w:p>
    <w:p w:rsidR="009C6388" w:rsidRPr="00A34EE8" w:rsidRDefault="009C6388" w:rsidP="009C6388">
      <w:pPr>
        <w:pStyle w:val="NormalHanging12a"/>
      </w:pPr>
      <w:r w:rsidRPr="00A34EE8">
        <w:t>20.</w:t>
      </w:r>
      <w:r w:rsidRPr="00A34EE8">
        <w:tab/>
        <w:t>насърчава държавите членки и Комисията да работят с международните партньори и със заинтересованите страни, включително в секторите на корабоплаването, енергетиката, застраховането и финансите, за да определят най-добрите практики за откриване и справяне с избягването на санкции и за смекчаване на въздействието върху околната среда във водите на ЕС;</w:t>
      </w:r>
    </w:p>
    <w:p w:rsidR="009C6388" w:rsidRPr="00A34EE8" w:rsidRDefault="009C6388" w:rsidP="009C6388">
      <w:pPr>
        <w:pStyle w:val="NormalHanging12a"/>
      </w:pPr>
      <w:r w:rsidRPr="00A34EE8">
        <w:t>21.</w:t>
      </w:r>
      <w:r w:rsidRPr="00A34EE8">
        <w:tab/>
        <w:t>призовава Комисията да разработи по-ясни насоки и по-строги стандарти за надлежна проверка за дружествата и финансовите институции в ЕС, за да се избягват нежелани взаимодействия със субекти, свързани със „сенчести флотове“;</w:t>
      </w:r>
    </w:p>
    <w:p w:rsidR="009C6388" w:rsidRPr="00A34EE8" w:rsidRDefault="009C6388" w:rsidP="009C6388">
      <w:pPr>
        <w:pStyle w:val="NormalHanging12a"/>
      </w:pPr>
      <w:r w:rsidRPr="00A34EE8">
        <w:t>22.</w:t>
      </w:r>
      <w:r w:rsidRPr="00A34EE8">
        <w:tab/>
        <w:t xml:space="preserve">призовава за подкрепа на работата на специалния пратеник на ЕС по санкциите срещу заобикалянето, за да се предотвратява системният реекспорт на санкционирани стоки от ЕС за Русия, което сериозно подкопава ефективността на санкциите на ЕС и възпрепятства международните усилия за прекратяване на войната; настоятелно призовава, във връзка с това, всички държави – кандидатки и потенциални кандидатки за присъединяване към ЕС, да се съобразяват стриктно със санкциите на ЕС в отговор на агресивната война на Русия срещу Украйна като знак на готовността им за поемане на задълженията, произтичащи от членството в ЕС; отново призовава Съвета да разшири правомощията на Европейската прокуратура с цел справяне с престъплението нарушаване на ограничителните мерки на ЕС; призовава ЕС и неговите държави членки да засилят и </w:t>
      </w:r>
      <w:r w:rsidRPr="00A34EE8">
        <w:lastRenderedPageBreak/>
        <w:t>централизират на равнището на ЕС надзора върху прилагането на санкциите и да разработят механизъм за предотвратяване и наблюдение на заобикалянето на санкциите;</w:t>
      </w:r>
    </w:p>
    <w:p w:rsidR="009C6388" w:rsidRPr="00A34EE8" w:rsidRDefault="009C6388" w:rsidP="009C6388">
      <w:pPr>
        <w:pStyle w:val="NormalHanging12a"/>
      </w:pPr>
      <w:r w:rsidRPr="00A34EE8">
        <w:t>23.</w:t>
      </w:r>
      <w:r w:rsidRPr="00A34EE8">
        <w:tab/>
        <w:t>насърчава въвеждането на световни стандарти за прозрачност при регистрацията на плавателни съдове, за да се намали зависимостта от фиктивни дружества и удобни флагове, така че да се подобри прозрачността на собствеността на плавателните съдове;</w:t>
      </w:r>
    </w:p>
    <w:p w:rsidR="009C6388" w:rsidRPr="00A34EE8" w:rsidRDefault="009C6388" w:rsidP="009C6388">
      <w:pPr>
        <w:pStyle w:val="NormalHanging12a"/>
      </w:pPr>
      <w:r w:rsidRPr="00A34EE8">
        <w:t>24.</w:t>
      </w:r>
      <w:r w:rsidRPr="00A34EE8">
        <w:tab/>
        <w:t>призовава Комисията да проучи приемането на инструменти на търговската политика, подобни на използваните от Съединените щати, като се съсредоточи върху участниците, на които режимът на санкции носи пазарни предимства и които в резултат на това може да действат нелоялно на пазара на ЕС;</w:t>
      </w:r>
    </w:p>
    <w:p w:rsidR="009C6388" w:rsidRPr="00A34EE8" w:rsidRDefault="009C6388" w:rsidP="009C6388">
      <w:pPr>
        <w:pStyle w:val="NormalHanging12a"/>
      </w:pPr>
      <w:r w:rsidRPr="00A34EE8">
        <w:t>25.</w:t>
      </w:r>
      <w:r w:rsidRPr="00A34EE8">
        <w:tab/>
        <w:t>изразява загриженост относно съобщавания излишък в производството на руски нефт, който значително надвишава квотата на Русия, определена от Организацията на страните износителки на петрол плюс (ОПЕК +), което допълнително дава възможност за заобикаляне на установения таван на цените и позволява на Русия да генерира допълнителни приходи; призовава ЕС и неговите държави членки да следят отблизо положението и да предприемат подходящи действия в сътрудничество с международните партньори на ЕС;</w:t>
      </w:r>
    </w:p>
    <w:p w:rsidR="00E365E1" w:rsidRPr="00A34EE8" w:rsidRDefault="009C6388" w:rsidP="003926CF">
      <w:pPr>
        <w:ind w:left="567" w:hanging="567"/>
      </w:pPr>
      <w:r w:rsidRPr="00A34EE8">
        <w:t>26.</w:t>
      </w:r>
      <w:r w:rsidRPr="00A34EE8">
        <w:tab/>
        <w:t>възлага на своя председател да предаде настоящата резолюция на Съвета, на Комисията, на заместник-председателя на Комисията / върховен представител на Съюза по въпросите на външните работи и политиката на сигурност, на президента, правителството и Върховната рада на Украйна, на Съвета на Европа, на Организацията за сигурност и сътрудничество в Европа, на Международната морска ор</w:t>
      </w:r>
      <w:bookmarkStart w:id="7" w:name="_GoBack"/>
      <w:bookmarkEnd w:id="7"/>
      <w:r w:rsidRPr="00A34EE8">
        <w:t>ганизация и на руските държавни органи.</w:t>
      </w:r>
    </w:p>
    <w:sectPr w:rsidR="00E365E1" w:rsidRPr="00A34EE8" w:rsidSect="00A34E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94E" w:rsidRPr="00A34EE8" w:rsidRDefault="00F7394E">
      <w:r w:rsidRPr="00A34EE8">
        <w:separator/>
      </w:r>
    </w:p>
  </w:endnote>
  <w:endnote w:type="continuationSeparator" w:id="0">
    <w:p w:rsidR="00F7394E" w:rsidRPr="00A34EE8" w:rsidRDefault="00F7394E">
      <w:r w:rsidRPr="00A34E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94E" w:rsidRPr="00A34EE8" w:rsidRDefault="00F7394E">
      <w:r w:rsidRPr="00A34EE8">
        <w:separator/>
      </w:r>
    </w:p>
  </w:footnote>
  <w:footnote w:type="continuationSeparator" w:id="0">
    <w:p w:rsidR="00F7394E" w:rsidRPr="00A34EE8" w:rsidRDefault="00F7394E">
      <w:r w:rsidRPr="00A34EE8">
        <w:continuationSeparator/>
      </w:r>
    </w:p>
  </w:footnote>
  <w:footnote w:id="1">
    <w:p w:rsidR="009C6388" w:rsidRPr="00A34EE8" w:rsidRDefault="009C6388" w:rsidP="00A34EE8">
      <w:pPr>
        <w:pStyle w:val="FootnoteText"/>
        <w:ind w:left="567" w:hanging="567"/>
        <w:rPr>
          <w:sz w:val="24"/>
          <w:lang w:val="bg-BG"/>
        </w:rPr>
      </w:pPr>
      <w:r w:rsidRPr="00A34EE8">
        <w:rPr>
          <w:rStyle w:val="FootnoteReference"/>
          <w:sz w:val="24"/>
          <w:lang w:val="bg-BG"/>
        </w:rPr>
        <w:footnoteRef/>
      </w:r>
      <w:r w:rsidR="00A34EE8" w:rsidRPr="00A34EE8">
        <w:rPr>
          <w:sz w:val="24"/>
          <w:lang w:val="bg-BG"/>
        </w:rPr>
        <w:t xml:space="preserve"> </w:t>
      </w:r>
      <w:r w:rsidR="00A34EE8" w:rsidRPr="00A34EE8">
        <w:rPr>
          <w:sz w:val="24"/>
          <w:lang w:val="bg-BG"/>
        </w:rPr>
        <w:tab/>
      </w:r>
      <w:r w:rsidRPr="00A34EE8">
        <w:rPr>
          <w:sz w:val="24"/>
          <w:lang w:val="bg-BG"/>
        </w:rPr>
        <w:t xml:space="preserve">Директива 2009/20/ЕО на Европейския парламент и на Съвета от 23 април 2009 г. относно застраховката на </w:t>
      </w:r>
      <w:proofErr w:type="spellStart"/>
      <w:r w:rsidRPr="00A34EE8">
        <w:rPr>
          <w:sz w:val="24"/>
          <w:lang w:val="bg-BG"/>
        </w:rPr>
        <w:t>корабособствениците</w:t>
      </w:r>
      <w:proofErr w:type="spellEnd"/>
      <w:r w:rsidRPr="00A34EE8">
        <w:rPr>
          <w:sz w:val="24"/>
          <w:lang w:val="bg-BG"/>
        </w:rPr>
        <w:t xml:space="preserve"> за морски искове </w:t>
      </w:r>
      <w:r w:rsidR="002A5989">
        <w:rPr>
          <w:sz w:val="24"/>
          <w:lang w:val="bg-BG"/>
        </w:rPr>
        <w:t>(</w:t>
      </w:r>
      <w:r w:rsidRPr="00A34EE8">
        <w:rPr>
          <w:sz w:val="24"/>
          <w:lang w:val="bg-BG"/>
        </w:rPr>
        <w:t xml:space="preserve">ОВ L 131, 28.5.2009 г., стр. 128, ELI: </w:t>
      </w:r>
      <w:hyperlink r:id="rId1" w:history="1">
        <w:r w:rsidR="002A5989" w:rsidRPr="002A5989">
          <w:rPr>
            <w:rStyle w:val="Hyperlink"/>
            <w:sz w:val="24"/>
            <w:lang w:val="bg-BG"/>
          </w:rPr>
          <w:t>http://data.europa.eu/eli/dir/2009/20/oj).</w:t>
        </w:r>
      </w:hyperlink>
    </w:p>
  </w:footnote>
  <w:footnote w:id="2">
    <w:p w:rsidR="009C6388" w:rsidRPr="00A34EE8" w:rsidRDefault="009C6388" w:rsidP="00A34EE8">
      <w:pPr>
        <w:pStyle w:val="FootnoteText"/>
        <w:ind w:left="567" w:hanging="567"/>
        <w:rPr>
          <w:sz w:val="24"/>
          <w:lang w:val="bg-BG"/>
        </w:rPr>
      </w:pPr>
      <w:r w:rsidRPr="00A34EE8">
        <w:rPr>
          <w:rStyle w:val="FootnoteReference"/>
          <w:sz w:val="24"/>
          <w:lang w:val="bg-BG"/>
        </w:rPr>
        <w:footnoteRef/>
      </w:r>
      <w:r w:rsidR="00A34EE8" w:rsidRPr="00A34EE8">
        <w:rPr>
          <w:sz w:val="24"/>
          <w:lang w:val="bg-BG"/>
        </w:rPr>
        <w:t xml:space="preserve"> </w:t>
      </w:r>
      <w:r w:rsidR="00A34EE8" w:rsidRPr="00A34EE8">
        <w:rPr>
          <w:sz w:val="24"/>
          <w:lang w:val="bg-BG"/>
        </w:rPr>
        <w:tab/>
      </w:r>
      <w:r w:rsidRPr="00A34EE8">
        <w:rPr>
          <w:sz w:val="24"/>
          <w:lang w:val="bg-BG"/>
        </w:rPr>
        <w:t xml:space="preserve">Директива 2009/123/ЕО на Европейския парламент и на Съвета от 21 октомври 2009 г. </w:t>
      </w:r>
      <w:r w:rsidRPr="00A34EE8">
        <w:rPr>
          <w:sz w:val="24"/>
          <w:lang w:val="bg-BG"/>
        </w:rPr>
        <w:t xml:space="preserve">за изменение на Директива 2005/35/ЕО относно замърсяване от кораби и налагане на санкции при нарушения </w:t>
      </w:r>
      <w:r w:rsidR="002A5989">
        <w:rPr>
          <w:sz w:val="24"/>
          <w:lang w:val="bg-BG"/>
        </w:rPr>
        <w:t>(</w:t>
      </w:r>
      <w:r w:rsidRPr="00A34EE8">
        <w:rPr>
          <w:sz w:val="24"/>
          <w:lang w:val="bg-BG"/>
        </w:rPr>
        <w:t xml:space="preserve">ОВ L 280, 27.10.2009 г., стр. 52, ELI: </w:t>
      </w:r>
      <w:hyperlink r:id="rId2" w:history="1">
        <w:r w:rsidRPr="00A34EE8">
          <w:rPr>
            <w:rStyle w:val="Hyperlink"/>
            <w:sz w:val="24"/>
            <w:lang w:val="bg-BG"/>
          </w:rPr>
          <w:t>http://data.europa.eu/eli/dir/2009/123/oj</w:t>
        </w:r>
      </w:hyperlink>
      <w:r w:rsidR="002A5989">
        <w:rPr>
          <w:rStyle w:val="Hyperlink"/>
          <w:sz w:val="24"/>
          <w:lang w:val="bg-BG"/>
        </w:rPr>
        <w:t>)</w:t>
      </w:r>
      <w:r w:rsidRPr="00A34EE8">
        <w:rPr>
          <w:sz w:val="24"/>
          <w:lang w:val="bg-BG"/>
        </w:rPr>
        <w:t>.</w:t>
      </w:r>
    </w:p>
  </w:footnote>
  <w:footnote w:id="3">
    <w:p w:rsidR="009C6388" w:rsidRPr="00A34EE8" w:rsidRDefault="009C6388" w:rsidP="00A34EE8">
      <w:pPr>
        <w:pStyle w:val="FootnoteText"/>
        <w:ind w:left="567" w:hanging="567"/>
        <w:rPr>
          <w:sz w:val="24"/>
          <w:lang w:val="bg-BG"/>
        </w:rPr>
      </w:pPr>
      <w:r w:rsidRPr="00A34EE8">
        <w:rPr>
          <w:rStyle w:val="FootnoteReference"/>
          <w:sz w:val="24"/>
          <w:lang w:val="bg-BG"/>
        </w:rPr>
        <w:footnoteRef/>
      </w:r>
      <w:r w:rsidR="00A34EE8" w:rsidRPr="00A34EE8">
        <w:rPr>
          <w:sz w:val="24"/>
          <w:lang w:val="bg-BG"/>
        </w:rPr>
        <w:t xml:space="preserve"> </w:t>
      </w:r>
      <w:r w:rsidR="00A34EE8" w:rsidRPr="00A34EE8">
        <w:rPr>
          <w:sz w:val="24"/>
          <w:lang w:val="bg-BG"/>
        </w:rPr>
        <w:tab/>
      </w:r>
      <w:r w:rsidRPr="00A34EE8">
        <w:rPr>
          <w:sz w:val="24"/>
          <w:lang w:val="bg-BG"/>
        </w:rPr>
        <w:t xml:space="preserve">Директива (ЕС) 2024/1226 на Европейския парламент и на Съвета от 24 април 2024 г. </w:t>
      </w:r>
      <w:r w:rsidRPr="00A34EE8">
        <w:rPr>
          <w:sz w:val="24"/>
          <w:lang w:val="bg-BG"/>
        </w:rPr>
        <w:t xml:space="preserve">относно определянето на престъпленията и санкциите при нарушаване на ограничителните мерки на Съюза, и за изменение на Директива (ЕС) 2018/1673 </w:t>
      </w:r>
      <w:r w:rsidR="002A5989">
        <w:rPr>
          <w:sz w:val="24"/>
          <w:lang w:val="bg-BG"/>
        </w:rPr>
        <w:t>(</w:t>
      </w:r>
      <w:r w:rsidRPr="00A34EE8">
        <w:rPr>
          <w:sz w:val="24"/>
          <w:lang w:val="bg-BG"/>
        </w:rPr>
        <w:t xml:space="preserve">OВ L, 2024/1226, 29.4.2024 г., ELI: </w:t>
      </w:r>
      <w:hyperlink r:id="rId3" w:history="1">
        <w:r w:rsidRPr="00A34EE8">
          <w:rPr>
            <w:rStyle w:val="Hyperlink"/>
            <w:sz w:val="24"/>
            <w:lang w:val="bg-BG"/>
          </w:rPr>
          <w:t>http://data.europa.eu/eli/dir/2024/1226/oj</w:t>
        </w:r>
      </w:hyperlink>
      <w:r w:rsidR="002A5989">
        <w:rPr>
          <w:rStyle w:val="Hyperlink"/>
          <w:sz w:val="24"/>
          <w:lang w:val="bg-BG"/>
        </w:rPr>
        <w:t>)</w:t>
      </w:r>
      <w:r w:rsidRPr="00A34EE8">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and 0166/2024"/>
    <w:docVar w:name="dvlangue" w:val="BG"/>
    <w:docVar w:name="dvnumam" w:val="0"/>
    <w:docVar w:name="dvpe" w:val="764.162"/>
    <w:docVar w:name="dvtitre" w:val="Резолюция на Европейския парламент от ... 2024 г. относно действията на ЕС срещу сенчестия флот на Русия и гарантирането на пълното прилагане на санкциите срещу Русия(2024/2885(RSP))"/>
  </w:docVars>
  <w:rsids>
    <w:rsidRoot w:val="00F7394E"/>
    <w:rsid w:val="00002272"/>
    <w:rsid w:val="00064002"/>
    <w:rsid w:val="000677B9"/>
    <w:rsid w:val="000831BA"/>
    <w:rsid w:val="000A42CC"/>
    <w:rsid w:val="000E7DD9"/>
    <w:rsid w:val="0010095E"/>
    <w:rsid w:val="00125B37"/>
    <w:rsid w:val="00187494"/>
    <w:rsid w:val="001F32AE"/>
    <w:rsid w:val="002767FF"/>
    <w:rsid w:val="002A5989"/>
    <w:rsid w:val="002B18FE"/>
    <w:rsid w:val="002B5493"/>
    <w:rsid w:val="00343214"/>
    <w:rsid w:val="00361C00"/>
    <w:rsid w:val="003926C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388"/>
    <w:rsid w:val="00A1687D"/>
    <w:rsid w:val="00A34EE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196"/>
    <w:rsid w:val="00F149E9"/>
    <w:rsid w:val="00F5134D"/>
    <w:rsid w:val="00F7394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A96D9"/>
  <w15:chartTrackingRefBased/>
  <w15:docId w15:val="{B2694A77-BD6E-4A88-AB99-EE04D0FF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6388"/>
    <w:pPr>
      <w:spacing w:after="240"/>
      <w:ind w:left="567" w:hanging="567"/>
    </w:pPr>
  </w:style>
  <w:style w:type="paragraph" w:customStyle="1" w:styleId="EPComma">
    <w:name w:val="EPComma"/>
    <w:basedOn w:val="Normal"/>
    <w:link w:val="EPCommaChar"/>
    <w:rsid w:val="009C6388"/>
    <w:pPr>
      <w:spacing w:before="480" w:after="240"/>
    </w:pPr>
  </w:style>
  <w:style w:type="character" w:customStyle="1" w:styleId="EPCommaChar">
    <w:name w:val="EPComma Char"/>
    <w:basedOn w:val="DefaultParagraphFont"/>
    <w:link w:val="EPComma"/>
    <w:rsid w:val="009C6388"/>
    <w:rPr>
      <w:sz w:val="24"/>
      <w:lang w:val="bg-BG"/>
    </w:rPr>
  </w:style>
  <w:style w:type="character" w:customStyle="1" w:styleId="Aucun">
    <w:name w:val="Aucun"/>
    <w:rsid w:val="009C6388"/>
  </w:style>
  <w:style w:type="character" w:customStyle="1" w:styleId="NormalHanging12aChar">
    <w:name w:val="NormalHanging12a Char"/>
    <w:basedOn w:val="DefaultParagraphFont"/>
    <w:link w:val="NormalHanging12a"/>
    <w:rsid w:val="009C6388"/>
    <w:rPr>
      <w:sz w:val="24"/>
      <w:lang w:val="bg-BG"/>
    </w:rPr>
  </w:style>
  <w:style w:type="character" w:customStyle="1" w:styleId="s2">
    <w:name w:val="s2"/>
    <w:basedOn w:val="DefaultParagraphFont"/>
    <w:rsid w:val="009C6388"/>
  </w:style>
  <w:style w:type="character" w:styleId="Hyperlink">
    <w:name w:val="Hyperlink"/>
    <w:basedOn w:val="DefaultParagraphFont"/>
    <w:rsid w:val="009C6388"/>
    <w:rPr>
      <w:color w:val="0563C1" w:themeColor="hyperlink"/>
      <w:u w:val="single"/>
    </w:rPr>
  </w:style>
  <w:style w:type="paragraph" w:styleId="BalloonText">
    <w:name w:val="Balloon Text"/>
    <w:basedOn w:val="Normal"/>
    <w:link w:val="BalloonTextChar"/>
    <w:rsid w:val="002A5989"/>
    <w:rPr>
      <w:rFonts w:ascii="Segoe UI" w:hAnsi="Segoe UI" w:cs="Segoe UI"/>
      <w:sz w:val="18"/>
      <w:szCs w:val="18"/>
    </w:rPr>
  </w:style>
  <w:style w:type="character" w:customStyle="1" w:styleId="BalloonTextChar">
    <w:name w:val="Balloon Text Char"/>
    <w:basedOn w:val="DefaultParagraphFont"/>
    <w:link w:val="BalloonText"/>
    <w:rsid w:val="002A598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4B5BF-D280-46F1-928A-D5023987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4268</Words>
  <Characters>24748</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2024-11-14T12:06:00Z</dcterms:created>
  <dcterms:modified xsi:type="dcterms:W3CDTF">2024-11-14T12:06:00Z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B10-0161, 0162, 0163, 0164 and 0166/2024</vt:lpwstr>
  </property>
  <property fmtid="{D5CDD505-2E9C-101B-9397-08002B2CF9AE}" pid="4" name="&lt;Type&gt;">
    <vt:lpwstr>RR</vt:lpwstr>
  </property>
</Properties>
</file>