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BCF" w:rsidTr="0010095E">
        <w:trPr>
          <w:trHeight w:hRule="exact" w:val="1418"/>
        </w:trPr>
        <w:tc>
          <w:tcPr>
            <w:tcW w:w="6804" w:type="dxa"/>
            <w:shd w:val="clear" w:color="auto" w:fill="auto"/>
            <w:vAlign w:val="center"/>
          </w:tcPr>
          <w:p w:rsidR="00751A4A" w:rsidRPr="006C1BCF" w:rsidRDefault="00E57252" w:rsidP="0010095E">
            <w:pPr>
              <w:pStyle w:val="EPName"/>
            </w:pPr>
            <w:r w:rsidRPr="006C1BCF">
              <w:t>Evropský parlament</w:t>
            </w:r>
          </w:p>
          <w:p w:rsidR="00751A4A" w:rsidRPr="006C1BCF" w:rsidRDefault="005F1B17" w:rsidP="005F1B17">
            <w:pPr>
              <w:pStyle w:val="EPTerm"/>
              <w:rPr>
                <w:rStyle w:val="HideTWBExt"/>
                <w:noProof w:val="0"/>
                <w:vanish w:val="0"/>
                <w:color w:val="auto"/>
              </w:rPr>
            </w:pPr>
            <w:r w:rsidRPr="006C1BCF">
              <w:t>2024</w:t>
            </w:r>
            <w:r w:rsidR="00817416" w:rsidRPr="006C1BCF">
              <w:t>-202</w:t>
            </w:r>
            <w:r w:rsidRPr="006C1BCF">
              <w:t>9</w:t>
            </w:r>
          </w:p>
        </w:tc>
        <w:tc>
          <w:tcPr>
            <w:tcW w:w="2268" w:type="dxa"/>
            <w:shd w:val="clear" w:color="auto" w:fill="auto"/>
          </w:tcPr>
          <w:p w:rsidR="00751A4A" w:rsidRPr="006C1BCF" w:rsidRDefault="00187494" w:rsidP="0010095E">
            <w:pPr>
              <w:pStyle w:val="EPLogo"/>
            </w:pPr>
            <w:r w:rsidRPr="006C1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1BCF" w:rsidRDefault="00D058B8" w:rsidP="004C5D52">
      <w:pPr>
        <w:pStyle w:val="LineTop"/>
      </w:pPr>
    </w:p>
    <w:p w:rsidR="00680577" w:rsidRPr="006C1BCF" w:rsidRDefault="00E57252" w:rsidP="00680577">
      <w:pPr>
        <w:pStyle w:val="EPBodyTA1"/>
      </w:pPr>
      <w:r w:rsidRPr="006C1BCF">
        <w:t>PŘIJATÉ TEXTY</w:t>
      </w:r>
    </w:p>
    <w:p w:rsidR="00D058B8" w:rsidRPr="006C1BCF" w:rsidRDefault="00D058B8" w:rsidP="00D058B8">
      <w:pPr>
        <w:pStyle w:val="LineBottom"/>
      </w:pPr>
    </w:p>
    <w:p w:rsidR="00E57252" w:rsidRPr="006C1BCF" w:rsidRDefault="00E57252" w:rsidP="00E57252">
      <w:pPr>
        <w:pStyle w:val="ATHeading1"/>
      </w:pPr>
      <w:bookmarkStart w:id="0" w:name="TANumber"/>
      <w:r w:rsidRPr="006C1BCF">
        <w:t>P10_TA(2024)00</w:t>
      </w:r>
      <w:r w:rsidR="00632753">
        <w:t>36</w:t>
      </w:r>
      <w:bookmarkStart w:id="1" w:name="_GoBack"/>
      <w:bookmarkEnd w:id="0"/>
      <w:bookmarkEnd w:id="1"/>
    </w:p>
    <w:p w:rsidR="00E57252" w:rsidRPr="006C1BCF" w:rsidRDefault="00E57252" w:rsidP="00E57252">
      <w:pPr>
        <w:pStyle w:val="ATHeading2"/>
      </w:pPr>
      <w:bookmarkStart w:id="2" w:name="title"/>
      <w:r w:rsidRPr="006C1BCF">
        <w:t>Opatření EU vůči ruské stínové flotile a zajištění plného prosazování sankcí vůči Rusku</w:t>
      </w:r>
      <w:bookmarkEnd w:id="2"/>
    </w:p>
    <w:p w:rsidR="00E57252" w:rsidRPr="006C1BCF" w:rsidRDefault="00E57252" w:rsidP="00E57252">
      <w:pPr>
        <w:rPr>
          <w:i/>
          <w:vanish/>
        </w:rPr>
      </w:pPr>
      <w:r w:rsidRPr="006C1BCF">
        <w:rPr>
          <w:i/>
        </w:rPr>
        <w:fldChar w:fldCharType="begin"/>
      </w:r>
      <w:r w:rsidRPr="006C1BCF">
        <w:rPr>
          <w:i/>
        </w:rPr>
        <w:instrText xml:space="preserve"> TC"(</w:instrText>
      </w:r>
      <w:bookmarkStart w:id="3" w:name="DocNumber"/>
      <w:r w:rsidRPr="006C1BCF">
        <w:rPr>
          <w:i/>
        </w:rPr>
        <w:instrText>B10-0161</w:instrText>
      </w:r>
      <w:r w:rsidR="005079A5">
        <w:rPr>
          <w:i/>
        </w:rPr>
        <w:instrText>, 0162, 0163, 0164 a 0166</w:instrText>
      </w:r>
      <w:r w:rsidRPr="006C1BCF">
        <w:rPr>
          <w:i/>
        </w:rPr>
        <w:instrText>/2024</w:instrText>
      </w:r>
      <w:bookmarkEnd w:id="3"/>
      <w:r w:rsidRPr="006C1BCF">
        <w:rPr>
          <w:i/>
        </w:rPr>
        <w:instrText xml:space="preserve">)"\l3 \n&gt; \* MERGEFORMAT </w:instrText>
      </w:r>
      <w:r w:rsidRPr="006C1BCF">
        <w:rPr>
          <w:i/>
        </w:rPr>
        <w:fldChar w:fldCharType="end"/>
      </w:r>
    </w:p>
    <w:p w:rsidR="00E57252" w:rsidRPr="006C1BCF" w:rsidRDefault="00E57252" w:rsidP="00E57252">
      <w:pPr>
        <w:rPr>
          <w:vanish/>
        </w:rPr>
      </w:pPr>
      <w:bookmarkStart w:id="4" w:name="PE"/>
      <w:r w:rsidRPr="006C1BCF">
        <w:rPr>
          <w:vanish/>
        </w:rPr>
        <w:t>PE764.162</w:t>
      </w:r>
      <w:bookmarkEnd w:id="4"/>
    </w:p>
    <w:p w:rsidR="00E57252" w:rsidRPr="006C1BCF" w:rsidRDefault="00E57252" w:rsidP="00E57252">
      <w:pPr>
        <w:pStyle w:val="ATHeading3"/>
      </w:pPr>
      <w:bookmarkStart w:id="5" w:name="Sujet"/>
      <w:r w:rsidRPr="006C1BCF">
        <w:t>Usnesení Evropského parlamentu ze dne 14. listopadu 2024 o opatřeních EU vůči ruské „stínové flotile“ a o zajištění vymáhání veškerých sankcí vůči Rusku</w:t>
      </w:r>
      <w:bookmarkEnd w:id="5"/>
      <w:r w:rsidRPr="006C1BCF">
        <w:t xml:space="preserve"> </w:t>
      </w:r>
      <w:bookmarkStart w:id="6" w:name="References"/>
      <w:r w:rsidRPr="006C1BCF">
        <w:t>(2024/2885(RSP))</w:t>
      </w:r>
      <w:bookmarkEnd w:id="6"/>
    </w:p>
    <w:p w:rsidR="00007776" w:rsidRPr="006C1BCF" w:rsidRDefault="00007776" w:rsidP="00007776">
      <w:pPr>
        <w:pStyle w:val="EPComma"/>
      </w:pPr>
      <w:bookmarkStart w:id="7" w:name="TextBodyBegin"/>
      <w:bookmarkEnd w:id="7"/>
      <w:r w:rsidRPr="006C1BCF">
        <w:rPr>
          <w:i/>
        </w:rPr>
        <w:t>Evropský parlament</w:t>
      </w:r>
      <w:r w:rsidRPr="006C1BCF">
        <w:t>,</w:t>
      </w:r>
    </w:p>
    <w:p w:rsidR="00007776" w:rsidRPr="006C1BCF" w:rsidRDefault="00007776" w:rsidP="00007776">
      <w:pPr>
        <w:pStyle w:val="NormalHanging12a"/>
      </w:pPr>
      <w:r w:rsidRPr="006C1BCF">
        <w:t>–</w:t>
      </w:r>
      <w:r w:rsidRPr="006C1BCF">
        <w:tab/>
        <w:t>s ohledem na svá předchozí usnesení o Rusku a Ukrajině, zejména od eskalace útočné války Ruska proti Ukrajině v únoru 2022,</w:t>
      </w:r>
    </w:p>
    <w:p w:rsidR="00007776" w:rsidRPr="006C1BCF" w:rsidRDefault="00007776" w:rsidP="00007776">
      <w:pPr>
        <w:pStyle w:val="NormalHanging12a"/>
      </w:pPr>
      <w:r w:rsidRPr="006C1BCF">
        <w:t>–</w:t>
      </w:r>
      <w:r w:rsidRPr="006C1BCF">
        <w:tab/>
        <w:t>s ohledem na čtrnáct postupně přijatých balíčků sankcí vůči Rusku, které EU přijala od února 2022,</w:t>
      </w:r>
    </w:p>
    <w:p w:rsidR="00007776" w:rsidRPr="006C1BCF" w:rsidRDefault="00007776" w:rsidP="00007776">
      <w:pPr>
        <w:pStyle w:val="NormalHanging12a"/>
      </w:pPr>
      <w:r w:rsidRPr="006C1BCF">
        <w:t>–</w:t>
      </w:r>
      <w:r w:rsidRPr="006C1BCF">
        <w:tab/>
        <w:t>s ohledem na Chartu Organizace spojených národů a na Úmluvu Organizace spojených národů o mořském právu,</w:t>
      </w:r>
    </w:p>
    <w:p w:rsidR="00007776" w:rsidRPr="006C1BCF" w:rsidRDefault="00007776" w:rsidP="00007776">
      <w:pPr>
        <w:pStyle w:val="NormalHanging12a"/>
      </w:pPr>
      <w:r w:rsidRPr="006C1BCF">
        <w:t>–</w:t>
      </w:r>
      <w:r w:rsidRPr="006C1BCF">
        <w:tab/>
        <w:t>s ohledem na Mezinárodní úmluvu o zamezení znečištění moří z lodí (MARPOL), Mezinárodní úmluvu o normách výcviku, kvalifikace a strážní služby námořníků, Mezinárodní úmluvu o občanskoprávní odpovědnosti za škody způsobené znečištěním ropnými palivy a další příslušné úmluvy Mezinárodní námořní organizace (IMO),</w:t>
      </w:r>
    </w:p>
    <w:p w:rsidR="00007776" w:rsidRPr="006C1BCF" w:rsidRDefault="00007776" w:rsidP="00007776">
      <w:pPr>
        <w:pStyle w:val="NormalHanging12a"/>
      </w:pPr>
      <w:r w:rsidRPr="006C1BCF">
        <w:t>–</w:t>
      </w:r>
      <w:r w:rsidRPr="006C1BCF">
        <w:tab/>
        <w:t>s ohledem na rezoluci valného shromáždění IMO A.1192(33) nazvanou „Urging Member States and all relevant stakeholders to promote actions to prevent illegal operations in the maritime sector by the „dark fleet“ or „shadow fleet““ (Výzva členským státům a všem příslušným zúčastněným stranám, aby podpořily opatření k předcházení nezákonným operacím v námořním odvětví prováděným „temnou flotilou“ nebo „stínovou flotilou“), přijatou dne 6. prosince 2023,</w:t>
      </w:r>
    </w:p>
    <w:p w:rsidR="00007776" w:rsidRPr="006C1BCF" w:rsidRDefault="00007776" w:rsidP="00007776">
      <w:pPr>
        <w:pStyle w:val="NormalHanging12a"/>
      </w:pPr>
      <w:r w:rsidRPr="006C1BCF">
        <w:t>–</w:t>
      </w:r>
      <w:r w:rsidRPr="006C1BCF">
        <w:tab/>
        <w:t xml:space="preserve">s ohledem na prohlášení vedoucích představitelů skupiny G7 ze dne 6. prosince 2023, </w:t>
      </w:r>
    </w:p>
    <w:p w:rsidR="00007776" w:rsidRPr="006C1BCF" w:rsidRDefault="00007776" w:rsidP="00007776">
      <w:pPr>
        <w:pStyle w:val="NormalHanging12a"/>
      </w:pPr>
      <w:r w:rsidRPr="006C1BCF">
        <w:t>–</w:t>
      </w:r>
      <w:r w:rsidRPr="006C1BCF">
        <w:tab/>
        <w:t>s ohledem na čl. 136 odst. 2 a 4 jednacího řádu,</w:t>
      </w:r>
    </w:p>
    <w:p w:rsidR="00007776" w:rsidRPr="006C1BCF" w:rsidRDefault="00007776" w:rsidP="00007776">
      <w:pPr>
        <w:pStyle w:val="NormalHanging12a"/>
      </w:pPr>
      <w:r w:rsidRPr="006C1BCF">
        <w:t>A.</w:t>
      </w:r>
      <w:r w:rsidRPr="006C1BCF">
        <w:tab/>
        <w:t>vzhledem k tomu, že Rusko vede od 24. února 2022 nezákonnou, nevyprovokovanou a neoprávněnou totální útočnou válku proti Ukrajině, a tak pokračuje ve strategii, kterou zahájilo v roce 2014 anexí Krymu a následnou okupací částí Doněcké a Luhanské oblasti;</w:t>
      </w:r>
      <w:r w:rsidRPr="006C1BCF">
        <w:rPr>
          <w:rStyle w:val="Aucun"/>
          <w:color w:val="000000"/>
        </w:rPr>
        <w:t xml:space="preserve"> vzhledem k tomu, že EU ruskou útočnou válku proti Ukrajině od samého </w:t>
      </w:r>
      <w:r w:rsidRPr="006C1BCF">
        <w:rPr>
          <w:rStyle w:val="Aucun"/>
          <w:color w:val="000000"/>
        </w:rPr>
        <w:lastRenderedPageBreak/>
        <w:t>začátku důrazně odsuzuje a vyzývá Rusko, aby tuto agresi ukončilo a respektovalo územní celistvost Ukrajiny;</w:t>
      </w:r>
    </w:p>
    <w:p w:rsidR="00007776" w:rsidRPr="006C1BCF" w:rsidRDefault="00007776" w:rsidP="00007776">
      <w:pPr>
        <w:pStyle w:val="NormalHanging12a"/>
      </w:pPr>
      <w:r w:rsidRPr="006C1BCF">
        <w:t>B.</w:t>
      </w:r>
      <w:r w:rsidRPr="006C1BCF">
        <w:tab/>
        <w:t>vzhledem k tomu, že Rusko je jedním z největších světových producentů ropy; vzhledem k tomu, že pokud jde o příjmy z vývozu a rozpočtové příjmy, je Rusko na prodeji ropy značně závislé, což z této komodity činí klíčový zdroj financování jeho války na Ukrajině;</w:t>
      </w:r>
    </w:p>
    <w:p w:rsidR="00007776" w:rsidRPr="006C1BCF" w:rsidRDefault="00007776" w:rsidP="00007776">
      <w:pPr>
        <w:pStyle w:val="NormalHanging12a"/>
      </w:pPr>
      <w:r w:rsidRPr="006C1BCF">
        <w:t>C.</w:t>
      </w:r>
      <w:r w:rsidRPr="006C1BCF">
        <w:tab/>
        <w:t>vzhledem k tomu, že EU a ostatní členové koalice G7+ pro zastropování cen stanovili pro surovou ropu a ropné produkty ruského původu cenový strop s cílem zachovat celosvětové dodávky a zároveň omezit toky příjmů, které Rusko využívá k financování své útočné války proti Ukrajině; vzhledem k tomu, že Rusko na to reagovalo vybudováním „stínové flotily“, na niž vynaložilo odhadem 9 miliard EUR; vzhledem k tomu, že v rámci ruského úsilí vyhnout se sankcím EU a G7 evropskými vodami denně plují ropné tankery naplněné ruskou ropou;</w:t>
      </w:r>
    </w:p>
    <w:p w:rsidR="00007776" w:rsidRPr="006C1BCF" w:rsidRDefault="00007776" w:rsidP="00007776">
      <w:pPr>
        <w:pStyle w:val="NormalHanging12a"/>
        <w:rPr>
          <w:bCs/>
        </w:rPr>
      </w:pPr>
      <w:r w:rsidRPr="006C1BCF">
        <w:t>D.</w:t>
      </w:r>
      <w:r w:rsidRPr="006C1BCF">
        <w:tab/>
        <w:t>vzhledem k tomu, že od zahájení totální ruské invaze na Ukrajinu dne 24. února 2022 zavedla EU vůči Rusku rozsáhlá a bezprecedentní omezující opatření a sankce s cílem oslabit hospodářskou, finanční a vojenskou schopnost Ruska pokračovat v jeho válečném úsilí; vzhledem k tomu, že šestý balíček sankcí Rady mimo jiné zakazuje nákup, dovoz a přepravu surové ropy a některých ropných produktů po moři z Ruska do EU; vzhledem k tomu, že jedenáctý a dvanáctý balíček sankcí Rady řeší rizika obcházení sankcí prostřednictvím „stínové flotily“; vzhledem k tomu, že ve svém čtrnáctém balíčku sankcí na ruskou ropu zavedla Rada nové opatření zaměřené na konkrétní plavidla přispívající k válce Ruska proti Ukrajině, na něž se nyní vztahuje zákaz vstupu do přístavů a zákaz poskytování služeb; vzhledem k tomu, že EU dosud na tento seznam zařadila pouze 27 plavidel, včetně tankerů přepravujících ruskou ropu a provozujících nebezpečné a nezákonné postupy v oblasti lodní dopravy; vzhledem k tomu, že v říjnu 2024 uvalila vláda Spojeného království sankce na osmnáct ruských ropných tankerů a čtyři tankery na přepravu zkapalněného zemního plynu (LNG); vzhledem k tomu, že dosud největší dopad na činnost „stínové flotily“ mělo označení plavidel, která do této flotily patří;</w:t>
      </w:r>
    </w:p>
    <w:p w:rsidR="00007776" w:rsidRPr="006C1BCF" w:rsidRDefault="00007776" w:rsidP="00007776">
      <w:pPr>
        <w:pStyle w:val="NormalHanging12a"/>
        <w:rPr>
          <w:bCs/>
        </w:rPr>
      </w:pPr>
      <w:r w:rsidRPr="006C1BCF">
        <w:t>E.</w:t>
      </w:r>
      <w:r w:rsidRPr="006C1BCF">
        <w:tab/>
        <w:t>vzhledem k tomu, že „stínové flotily“ již využívaly nepřátelské země jako Írán, Venezuela a Severní Korea; vzhledem k tomu, že Rusko však rozsahem a propracovaností svých operací vyniká, neboť ruská „stínová flotila“ k přepravě ropy využívá podle odhadů měsíčně přibližně 160–200 tankerů, přičemž celá flotila čítá asi 600 plavidel, která hrají klíčovou roli při udržování vývozu ruské surové ropy;</w:t>
      </w:r>
    </w:p>
    <w:p w:rsidR="00007776" w:rsidRPr="006C1BCF" w:rsidRDefault="00007776" w:rsidP="00007776">
      <w:pPr>
        <w:pStyle w:val="NormalHanging12a"/>
      </w:pPr>
      <w:r w:rsidRPr="006C1BCF">
        <w:t>F.</w:t>
      </w:r>
      <w:r w:rsidRPr="006C1BCF">
        <w:tab/>
        <w:t>vzhledem k tomu, že „stínová flotila“, kterou Rusko využívá k obcházení sankcí, výrazně snižuje účinnost režimu sankcí a umožňuje Rusku nadále využívat tyto příjmy k financování své útočné války proti Ukrajině, což svědčí o nutnosti posílit a rozšířit mezinárodní koordinaci sankcí;</w:t>
      </w:r>
    </w:p>
    <w:p w:rsidR="00007776" w:rsidRPr="006C1BCF" w:rsidRDefault="00007776" w:rsidP="00007776">
      <w:pPr>
        <w:pStyle w:val="NormalHanging12a"/>
      </w:pPr>
      <w:r w:rsidRPr="006C1BCF">
        <w:t>G.</w:t>
      </w:r>
      <w:r w:rsidRPr="006C1BCF">
        <w:tab/>
        <w:t xml:space="preserve">vzhledem k tomu, že podle odhadů patří do „stínové flotily“ nejméně 600 tankerů na celém světě; vzhledem k tomu, že se jedná o starší tankery, které často plují bez standardního odvětvového pojištění, často mění názvy a registrace vlajek, což Rusku umožňuje prodávat značnou část své ropy nad úrovní cenového stropu a oslabuje schopnost vlád pohnat majitele tankerů k odpovědnosti za odstranění ropných skvrn v případě úniku ropy do moře; vzhledem k tomu, že tyto lodě jsou obecně nezpůsobilé k provozu a přispívají k rostoucímu riziku námořních kolizí na mezinárodních </w:t>
      </w:r>
      <w:r w:rsidRPr="006C1BCF">
        <w:lastRenderedPageBreak/>
        <w:t>obchodních trasách, a představují tedy vážné ohrožení životního prostředí v důsledku vysokého rizika úniků ropy poškozujících mořské ekosystémy a pobřežní oblasti, včetně chráněných mořských oblastí s obzvláště citlivými volně žijícími a planě rostoucími druhy, kde by ropné úniky měly katastrofální důsledky; vzhledem k tomu, že zkušenosti s úniky ropy způsobenými tankery v minulosti ukazují, že poškození pobřežních a podmořských ekosystémů, jakož i živočichů žijících v blízkosti vodní hladiny a mořských ptáků, může trvat desetiletí; vzhledem k tomu, že rozšíření loďstva Evropské agentury pro námořní bezpečnost (EMSA) o další zásahová plavidla by bylo v souladu se závazkem EU v oblasti ochrany životního prostředí, odolnosti v rámci Zelené dohody pro Evropu a s cíli mechanismu civilní ochrany EU za účelem posílení schopnosti rychlé reakce a připravenosti na katastrofy;</w:t>
      </w:r>
    </w:p>
    <w:p w:rsidR="00007776" w:rsidRPr="006C1BCF" w:rsidRDefault="00007776" w:rsidP="00007776">
      <w:pPr>
        <w:pStyle w:val="NormalHanging12a"/>
      </w:pPr>
      <w:r w:rsidRPr="006C1BCF">
        <w:t>H.</w:t>
      </w:r>
      <w:r w:rsidRPr="006C1BCF">
        <w:tab/>
        <w:t>vzhledem k tomu, že ruské „stínové tankery“ pravidelně překládají ruskou ropu a ropné produkty z lodě na loď v teritoriálních vodách, včetně Středozemního moře; vzhledem k tomu, že při těchto operacích překládají a mísí ruskou ropu mezi plavidly, aniž by zakotvily v některém přístavu, s cílem zatajit původ ropy; vzhledem k tomu, že tyto operace probíhají v blízkosti pobřeží, což představuje vysoké riziko poškození životního prostředí; vzhledem k tomu, že tato plavidla mají často vypnuté transpondéry družicového automatického identifikačního systému (AIS), aby se vyhnula monitorování a úředním kontrolám; vzhledem k tomu, že nejvíce zasaženy by byly přímořské země Evropy; vzhledem k tomu, že v případě nehod by úniky ropy z plavidel „stínové flotily“ mohly pro přímořské země a jejich daňové poplatníky vést k nákladům na odstranění ropných skvrn ve výši několika miliard EUR, neboť majitelé těchto plavidel jsou z velké části nedohledatelní; vzhledem k tomu, že úniky ropy mohou rovněž způsobit značné hospodářské ztráty, mimo jiné v důsledku poklesu cestovního ruchu a rybolovných činností; vzhledem k tomu, že ropné úniky významně ohrožují kvalitu vody a místní volně žijící živočichy, poškozují mořské ekosystémy, kontaminují produkty určené spotřebitelům, jako jsou měkkýši, a představují tak hrozbu pro lidské zdraví, rozšiřují kontaminaci a narušují reprodukci ryb;</w:t>
      </w:r>
    </w:p>
    <w:p w:rsidR="00007776" w:rsidRPr="006C1BCF" w:rsidRDefault="00007776" w:rsidP="00007776">
      <w:pPr>
        <w:pStyle w:val="NormalHanging12a"/>
      </w:pPr>
      <w:r w:rsidRPr="006C1BCF">
        <w:t>I.</w:t>
      </w:r>
      <w:r w:rsidRPr="006C1BCF">
        <w:tab/>
        <w:t>vzhledem k tomu, že podle úmluvy MARPOL, mezinárodní úmluvy zaměřené na omezení znečištění z lodní dopravy, je záměrné vypouštění odpadních olejů přes palubu nezákonné; vzhledem k tomu, že Rusko je signatářem této úmluvy; vzhledem k tomu, že existují důkazy o porušování úmluvy MARPOL; vzhledem k tomu, že se osvědčilo ukládání sankcí konkrétním lodím, jelikož lodě, které se dostaly na sankční seznam, měly po své penalizaci omezenější možnost obchodovat s ropou;</w:t>
      </w:r>
    </w:p>
    <w:p w:rsidR="00007776" w:rsidRPr="006C1BCF" w:rsidRDefault="00007776" w:rsidP="00007776">
      <w:pPr>
        <w:pStyle w:val="NormalHanging12a"/>
        <w:rPr>
          <w:bCs/>
        </w:rPr>
      </w:pPr>
      <w:r w:rsidRPr="006C1BCF">
        <w:t>J.</w:t>
      </w:r>
      <w:r w:rsidRPr="006C1BCF">
        <w:tab/>
        <w:t>vzhledem k tomu, že od roku 2009 je v platnosti směrnice 2009/20/ES</w:t>
      </w:r>
      <w:r w:rsidRPr="006C1BCF">
        <w:rPr>
          <w:rStyle w:val="FootnoteReference"/>
        </w:rPr>
        <w:footnoteReference w:id="1"/>
      </w:r>
      <w:r w:rsidRPr="006C1BCF">
        <w:t xml:space="preserve"> o pojištění majitelů lodí pro námořní nároky, která zajišťuje, aby všechny lodě plující pod vlajkou členského státu EU byly pojištěny a měly osvědčení o pojištění; vzhledem k tomu, že jedním z cílů směrnice 2009/20/ES bylo vyřazení lodí nesplňujících normy; vzhledem k tomu, že Mezinárodní úmluva o zásazích na volném moři při nehodách způsobujících znečištění ropou umožňuje dotčeným zemím přijmout opatření, která jsou nezbytná k „zabránění, zmírnění nebo odstranění závažného a bezprostředního nebezpečí pro jejich pobřeží nebo související zájmy způsobeného znečištěním nebo hrozbou znečištění moře ropnými látkami v důsledku námořní nehody nebo jednání v souvislosti s touto </w:t>
      </w:r>
      <w:r w:rsidRPr="006C1BCF">
        <w:lastRenderedPageBreak/>
        <w:t>nehodou“;</w:t>
      </w:r>
    </w:p>
    <w:p w:rsidR="00007776" w:rsidRPr="006C1BCF" w:rsidRDefault="00007776" w:rsidP="00007776">
      <w:pPr>
        <w:pStyle w:val="NormalHanging12a"/>
        <w:rPr>
          <w:rFonts w:eastAsia="Arial Unicode MS"/>
          <w:u w:color="000000"/>
          <w:bdr w:val="nil"/>
        </w:rPr>
      </w:pPr>
      <w:r w:rsidRPr="006C1BCF">
        <w:rPr>
          <w:u w:color="000000"/>
          <w:bdr w:val="nil"/>
        </w:rPr>
        <w:t>K.</w:t>
      </w:r>
      <w:r w:rsidRPr="006C1BCF">
        <w:rPr>
          <w:u w:color="000000"/>
          <w:bdr w:val="nil"/>
        </w:rPr>
        <w:tab/>
        <w:t>vzhledem k tomu, že švédské námořnictvo ve svých nedávných zprávách upozornilo na bezpečnostní rizika spojená s činností „stínové flotily“ a na její možné využití v hybridních operacích proti evropským zemím;</w:t>
      </w:r>
    </w:p>
    <w:p w:rsidR="00007776" w:rsidRPr="006C1BCF" w:rsidRDefault="00007776" w:rsidP="00007776">
      <w:pPr>
        <w:pStyle w:val="NormalHanging12a"/>
        <w:rPr>
          <w:bCs/>
        </w:rPr>
      </w:pPr>
      <w:r w:rsidRPr="006C1BCF">
        <w:t>L.</w:t>
      </w:r>
      <w:r w:rsidRPr="006C1BCF">
        <w:tab/>
        <w:t>vzhledem k tomu, že navzdory zákazu dovozu ropných produktů rafinovaných v Rusku neexistuje zákaz jejich dovozu z rafinérií ve třetích zemích, které zpracovávají ruskou surovou ropu; vzhledem k tomu, že „stínová flotila“ dodává ruskou surovou ropu rafinériím ve třetích zemích; vzhledem k tomu, že členské státy EU a země skupiny G7 nadále dovážejí ropné produkty získané z ruské ropy, například z rafinérií v Turecku;</w:t>
      </w:r>
    </w:p>
    <w:p w:rsidR="00007776" w:rsidRPr="006C1BCF" w:rsidRDefault="00007776" w:rsidP="00007776">
      <w:pPr>
        <w:pStyle w:val="NormalHanging12a"/>
        <w:rPr>
          <w:bCs/>
        </w:rPr>
      </w:pPr>
      <w:r w:rsidRPr="006C1BCF">
        <w:t>M.</w:t>
      </w:r>
      <w:r w:rsidRPr="006C1BCF">
        <w:tab/>
        <w:t>vzhledem k tomu, že provoz těchto plavidel v průběhu roku 2024 dramaticky vzrostl, přičemž počet cest uskutečněných ruskými „stínovými plavidly“ se více než zdvojnásobil; vzhledem k tomu, že významná část ruské ropy je přepravována po rušných mezinárodních námořních trasách; vzhledem k tomu, že Rusko přepravuje převážnou většinu své ropy z přístavů v Baltském a Černém moři;</w:t>
      </w:r>
    </w:p>
    <w:p w:rsidR="00007776" w:rsidRPr="006C1BCF" w:rsidRDefault="00007776" w:rsidP="00007776">
      <w:pPr>
        <w:pStyle w:val="NormalHanging12a"/>
        <w:rPr>
          <w:bCs/>
        </w:rPr>
      </w:pPr>
      <w:r w:rsidRPr="006C1BCF">
        <w:t>N.</w:t>
      </w:r>
      <w:r w:rsidRPr="006C1BCF">
        <w:tab/>
        <w:t>vzhledem k tomu, že přepravci ropy a správci „stínové flotily“ nepůsobí v izolaci; vzhledem k tomu, že jejich činnost je propojena s finančními transakcemi, které je podporují; vzhledem k tomu, že tyto transakce mohou zahrnovat i subjekty, na něž byly uvaleny finanční sankce; vzhledem k tomu, že dodržování režimu sankcí by mělo být analyzováno komplexním způsobem, aby se zabránilo jejich obcházení;</w:t>
      </w:r>
    </w:p>
    <w:p w:rsidR="00007776" w:rsidRPr="006C1BCF" w:rsidRDefault="00007776" w:rsidP="00007776">
      <w:pPr>
        <w:pStyle w:val="NormalHanging12a"/>
      </w:pPr>
      <w:r w:rsidRPr="006C1BCF">
        <w:t>O.</w:t>
      </w:r>
      <w:r w:rsidRPr="006C1BCF">
        <w:tab/>
        <w:t>vzhledem k tomu, že provozovatelé lodí jsou ochotni obcházet sankce tím, že svá plavidla registrují v zemích, které nejsou stranami dohody o cenovém stropu; vzhledem k tomu, že Rusko využívá k nákupu některých tankerů „stínové flotily“ prostředníky, organizace nebo jednotlivce ze třetích zemí; vzhledem k tomu, že někteří majitelé a správci tankerů a lodí přepravujících plyn, které jsou součástí „stínové flotily“, jsou registrováni i v členských státech EU;</w:t>
      </w:r>
    </w:p>
    <w:p w:rsidR="00007776" w:rsidRPr="006C1BCF" w:rsidRDefault="00007776" w:rsidP="00007776">
      <w:pPr>
        <w:pStyle w:val="NormalHanging12a"/>
      </w:pPr>
      <w:r w:rsidRPr="006C1BCF">
        <w:t>P.</w:t>
      </w:r>
      <w:r w:rsidRPr="006C1BCF">
        <w:tab/>
        <w:t>vzhledem k tomu, že ruská stínová flotila se při obcházení sankcí spoléhá do značné míry na spoluúčast a spolupráci některých zemí, zejména Číny, Indie a Turecka;</w:t>
      </w:r>
    </w:p>
    <w:p w:rsidR="00007776" w:rsidRPr="006C1BCF" w:rsidRDefault="00007776" w:rsidP="00007776">
      <w:pPr>
        <w:pStyle w:val="NormalHanging12a"/>
      </w:pPr>
      <w:r w:rsidRPr="006C1BCF">
        <w:t>1.</w:t>
      </w:r>
      <w:r w:rsidRPr="006C1BCF">
        <w:tab/>
        <w:t>znovu co nejdůrazněji odsuzuje nevyprovokovanou, nezákonnou a neoprávněnou útočnou válku Ruska proti Ukrajině; vyzývá Rusko, aby okamžitě ukončilo veškeré vojenské operace na Ukrajině a aby úplně a bezpodmínečně stáhlo všechny ozbrojené síly, přidružené jednotky a vojenskou techniku z celého mezinárodně uznávaného území Ukrajiny, ukončilo nucené deportace ukrajinských civilistů a propustilo všechny zadržené a deportované Ukrajince, zejména děti;</w:t>
      </w:r>
    </w:p>
    <w:p w:rsidR="00007776" w:rsidRPr="006C1BCF" w:rsidRDefault="00007776" w:rsidP="00007776">
      <w:pPr>
        <w:pStyle w:val="NormalHanging12a"/>
      </w:pPr>
      <w:r w:rsidRPr="006C1BCF">
        <w:t>2.</w:t>
      </w:r>
      <w:r w:rsidRPr="006C1BCF">
        <w:tab/>
        <w:t>znovu opakuje, že jednoznačně podporuje režim sankcí EU, jehož cílem je omezit kapacitu ruského režimu pokračovat v útočné válce proti Ukrajině; zdůrazňuje, že cílem sankcí EU v reakci na útočnou válku Ruska proti Ukrajině je strategicky oslabit ruskou hospodářskou a průmyslovou základnu, zejména vojensko-průmyslový komplex, a omezit tak schopnost Ruské federace pokračovat ve vedení války, útočit na civilní obyvatelstvo a narušovat územní celistvost Ukrajiny, a zároveň zabránit Rusku v přístupu k vojenským technologiím a součástem; konstatuje, že Rusko sankce EU aktivně obchází a hledá k tomu nové způsoby, mimo jiné provozováním „stínové flotily“ ropných tankerů, a proto může být stále schopno zintenzivnit v krátkodobém horizontu svou válečnou aktivitu proti Ukrajině, zejména v nadcházející zimní sezóně;</w:t>
      </w:r>
    </w:p>
    <w:p w:rsidR="00007776" w:rsidRPr="006C1BCF" w:rsidRDefault="00007776" w:rsidP="00007776">
      <w:pPr>
        <w:pStyle w:val="NormalHanging12a"/>
      </w:pPr>
      <w:r w:rsidRPr="006C1BCF">
        <w:lastRenderedPageBreak/>
        <w:t>3.</w:t>
      </w:r>
      <w:r w:rsidRPr="006C1BCF">
        <w:tab/>
        <w:t>považuje „stínovou flotilu“ za klíčový zdroj financování, který Rusku umožňuje vést jeho nezákonnou a neospravedlnitelnou útočnou válku proti Ukrajině, a za významný nástroj vytvořený k obcházení režimu sankcí EU; odsuzuje skutečnost, že tato nebezpečná a nepojištěná ruská plavidla představují riziko pro námořní bezpečnost a pro evropské pobřežní členské státy a mořské ekosystémy; odsuzuje Rusko, že kvůli svému finančnímu zisku záměrně vytváří obrovské riziko a nebere žádný ohled na mezinárodní bezpečnost nebo potenciální nevratné škody na životním prostředí; vyzývá EU a její členské státy, aby se více snažily omezit vyhýbání se sankcím a jejich obcházení ze strany Ruska a aby zavedly konkrétní opatření k zajištění námořní bezpečnosti a předcházení environmentálním rizikům v evropských vodách, zejména v Baltském moři;</w:t>
      </w:r>
      <w:r w:rsidRPr="006C1BCF">
        <w:rPr>
          <w:rStyle w:val="Aucun"/>
          <w:color w:val="000000"/>
        </w:rPr>
        <w:t xml:space="preserve"> </w:t>
      </w:r>
      <w:r w:rsidRPr="006C1BCF">
        <w:t>považuje překládku z lodi na loď na volném moři za rizikovou činnost, která ohrožuje mezinárodní námořní bezpečnost a ochranu životního prostředí;</w:t>
      </w:r>
    </w:p>
    <w:p w:rsidR="00007776" w:rsidRPr="006C1BCF" w:rsidRDefault="00007776" w:rsidP="00007776">
      <w:pPr>
        <w:pStyle w:val="NormalHanging12a"/>
      </w:pPr>
      <w:r w:rsidRPr="006C1BCF">
        <w:t>4.</w:t>
      </w:r>
      <w:r w:rsidRPr="006C1BCF">
        <w:tab/>
        <w:t>vyzývá k tomu, aby v příštích balíčcích sankcí namířených proti Rusku byly vůči „stínové flotile“ přijaty cílenější sankce, jako je určení všech jednotlivých plavidel „stínové flotily“ a jejich vlastníků, provozovatelů, správců, účtů, bank, pojišťovacích společností atd.;</w:t>
      </w:r>
      <w:r w:rsidRPr="006C1BCF">
        <w:rPr>
          <w:rStyle w:val="Aucun"/>
          <w:color w:val="000000"/>
        </w:rPr>
        <w:t xml:space="preserve"> vyzývá k okamžitému zákazu používání západních plavidel k přepravě ruské ropy; </w:t>
      </w:r>
      <w:r w:rsidRPr="006C1BCF">
        <w:t>obecněji vyzývá k tomu, aby příští balíčky sankcí EU zahrnovaly systematické postihování plavidel plujících ve vodách EU bez známého pojištění s cílem chránit naše vody a zabránit finanční zátěži spojené s čištěním ropných skvrn; naléhavě vyzývá Evropskou službu pro vnější činnost a vyslance pro uplatňování sankcí EU, aby se obrátili na vlády zemí, v nichž jsou registrovány společnosti spravující „stínové tankery“, a zemí, jejichž vlajka se od zavedení cenového stropu pro ropu vyskytuje ve vodách EU výrazně častěji; vyzývá EU a její členské státy, aby tyto státy vlajky kontaktovaly a informovaly je o tom, na jakém základě dochází k zařazení na seznam a jaké důsledky by toto případné zařazení mohlo mít, poukázaly na rizika a nepříznivý dopad nezákonných rizikových postupů v oblasti lodní dopravy na životní prostředí a připomněly jim povinnosti států vlajky; naléhavě vyzývá státy vlajky, aby plavidla, na něž se vztahují sankce, vyřadily ze svého námořního rejstříku;</w:t>
      </w:r>
    </w:p>
    <w:p w:rsidR="00007776" w:rsidRPr="006C1BCF" w:rsidRDefault="00007776" w:rsidP="00007776">
      <w:pPr>
        <w:pStyle w:val="NormalHanging12a"/>
      </w:pPr>
      <w:r w:rsidRPr="006C1BCF">
        <w:t>5.</w:t>
      </w:r>
      <w:r w:rsidRPr="006C1BCF">
        <w:tab/>
        <w:t>konstatuje, že státy vlajky, které podporují ruskou „stínovou flotilu“, tímto způsobem také napomáhají ruskému válečnému úsilí; zdůrazňuje, že v případě neúspěchu klasického diplomatického úsilí by EU měla vážně přehodnotit svou dvoustrannou spolupráci s třetími zeměmi, které Rusku pomáhají obcházet sankce EU;</w:t>
      </w:r>
    </w:p>
    <w:p w:rsidR="00007776" w:rsidRPr="006C1BCF" w:rsidRDefault="00007776" w:rsidP="00007776">
      <w:pPr>
        <w:pStyle w:val="NormalHanging12a"/>
        <w:rPr>
          <w:rStyle w:val="Aucun"/>
          <w:color w:val="000000"/>
        </w:rPr>
      </w:pPr>
      <w:r w:rsidRPr="006C1BCF">
        <w:rPr>
          <w:rStyle w:val="Aucun"/>
          <w:color w:val="000000"/>
        </w:rPr>
        <w:t>6.</w:t>
      </w:r>
      <w:r w:rsidRPr="006C1BCF">
        <w:rPr>
          <w:rStyle w:val="Aucun"/>
          <w:color w:val="000000"/>
        </w:rPr>
        <w:tab/>
      </w:r>
      <w:r w:rsidRPr="006C1BCF">
        <w:t xml:space="preserve">odsuzuje zapojení evropských majitelů lodí do vytváření ruské „stínové flotily“; </w:t>
      </w:r>
      <w:r w:rsidRPr="006C1BCF">
        <w:rPr>
          <w:rStyle w:val="Aucun"/>
          <w:color w:val="000000"/>
        </w:rPr>
        <w:t xml:space="preserve">odsuzuje jednání států, poskytovatelů právních služeb a dalších subjektů a jednotlivců, kteří Rusku pomáhají obcházet nebo zmírňovat sankce EU; </w:t>
      </w:r>
      <w:r w:rsidRPr="006C1BCF">
        <w:t>připomíná, že porušení sankcí zakládá trestný čin na úrovni EU a má vážný dopad na finanční zájmy EU; vyzývá k tomu, aby byla rozšířena a vymáhána omezení na prodej plavidel a aby byl zakázán prodej tankerů do zemí zprostředkovávajících obchod s Ruskem;</w:t>
      </w:r>
    </w:p>
    <w:p w:rsidR="00007776" w:rsidRPr="006C1BCF" w:rsidRDefault="00007776" w:rsidP="00007776">
      <w:pPr>
        <w:pStyle w:val="NormalHanging12a"/>
        <w:rPr>
          <w:bCs/>
        </w:rPr>
      </w:pPr>
      <w:r w:rsidRPr="006C1BCF">
        <w:t>7.</w:t>
      </w:r>
      <w:r w:rsidRPr="006C1BCF">
        <w:tab/>
        <w:t>vyzývá k posílení opatření na úrovni EU s cílem zajistit přísnější vymáhání a rozšíření sankcí, včetně okamžitých kontrol plavidel působících ve vodách EU s cílem ověřit jejich pojistné krytí a soulad s požadavky IMO; vyzývá členské státy, aby vyhodnotily a posílily své správní kapacity s cílem zajistit rychlé uplatňování a důsledné vymáhání sankcí EU;</w:t>
      </w:r>
    </w:p>
    <w:p w:rsidR="00007776" w:rsidRPr="006C1BCF" w:rsidRDefault="00007776" w:rsidP="00007776">
      <w:pPr>
        <w:pStyle w:val="NormalHanging12a"/>
      </w:pPr>
      <w:r w:rsidRPr="006C1BCF">
        <w:t>8.</w:t>
      </w:r>
      <w:r w:rsidRPr="006C1BCF">
        <w:tab/>
        <w:t xml:space="preserve">vyzývá Komisi, aby v rámci spolupráce EU s IMO přijala opatření k prevenci a omezení činnosti „stínové flotily“; žádá, aby byla v boji proti nebezpečným námořním operacím důsledně uplatňována rezoluce valného shromáždění IMO A.1192(33) z prosince 2023, </w:t>
      </w:r>
      <w:r w:rsidRPr="006C1BCF">
        <w:lastRenderedPageBreak/>
        <w:t>zejména povinnost plavidel hlásit příslušným státům vlajky všechny překládky z lodi na loď a nutnost provádět přísnější přístavní kontroly podezřelých plavidel; vyzývá EU a její členské státy, aby omezily přístup plavidel, která jsou součástí ruské „stínové flotily“, do vod EU; zdůrazňuje, že je třeba využívat plný potenciál Evropské agentury pro námořní bezpečnost k tomu, aby podporovala členské státy při určování lodí, na něž se vztahují sankce, a při sledování pohybu podezřelých lodí; vyzývá zejména EU, aby sestavila komplexní seznam plavidel patřících k ruské „stínové flotile“, prováděla cílené kontroly, a to i na moři, a uvalovala sankce, jež by vedly také k tomu, že by některá plavidla byla z administrativních důvodů trvale nebo dočasně zablokována;</w:t>
      </w:r>
    </w:p>
    <w:p w:rsidR="00007776" w:rsidRPr="006C1BCF" w:rsidRDefault="00007776" w:rsidP="00007776">
      <w:pPr>
        <w:pStyle w:val="NormalHanging12a"/>
      </w:pPr>
      <w:r w:rsidRPr="006C1BCF">
        <w:t>9.</w:t>
      </w:r>
      <w:r w:rsidRPr="006C1BCF">
        <w:tab/>
        <w:t>vyzývá EU a její členské státy, aby bedlivě sledovaly provádění směrnice 2009/20/ES o pojištění majitelů lodí pro námořní nároky, aby se zabránilo plavbě nepojištěných plavidel ve vodách EU; zdůrazňuje, že je třeba posílit mechanismy vymáhání sankcí, např. umožnit členským státům EU zabránit plavidlům, která nemají pojištění nebo nejsou v souladu s předpisy, v přístupu do přístavů EU nebo ve využívání unijních vod pro doplňování paliva nebo jiných služeb, a posílit monitorování těchto plavidel; vyzývá členské státy, aby přijaly opatření k zajištění toho, aby na trh nebyla dodávána plavidla, která nejsou v souladu s předpisy;</w:t>
      </w:r>
    </w:p>
    <w:p w:rsidR="00007776" w:rsidRPr="006C1BCF" w:rsidRDefault="00007776" w:rsidP="00007776">
      <w:pPr>
        <w:pStyle w:val="NormalHanging12a"/>
      </w:pPr>
      <w:r w:rsidRPr="006C1BCF">
        <w:t>10.</w:t>
      </w:r>
      <w:r w:rsidRPr="006C1BCF">
        <w:tab/>
        <w:t>vybízí členské státy, aby úzce spolupracovaly s Velkou Británií na opatřeních, jejichž cílem je omezit využívání Lamanšského průlivu ruskými plavidly ze „stínové flotily“;</w:t>
      </w:r>
      <w:r w:rsidR="00C72E9E">
        <w:t xml:space="preserve"> </w:t>
      </w:r>
      <w:r w:rsidRPr="006C1BCF">
        <w:t>vyzývá země s průlivy používanými pro mezinárodní plavbu, aby po lodích požadovaly doklady o pojištění odpovědnosti a náhrady škod a důkazy o dodržování minimálních bezpečnostních norem; vyzývá všechny členské státy, aby od všech plavidel plujících v jejich vodách vyžadovaly předložení dokladů o tom, že jsou pojištěny proti úniku ropy, aby byla zajištěna transparentnost pojistných ujednání;</w:t>
      </w:r>
    </w:p>
    <w:p w:rsidR="00007776" w:rsidRPr="006C1BCF" w:rsidRDefault="00007776" w:rsidP="00007776">
      <w:pPr>
        <w:pStyle w:val="NormalHanging12a"/>
      </w:pPr>
      <w:r w:rsidRPr="006C1BCF">
        <w:t>11.</w:t>
      </w:r>
      <w:r w:rsidRPr="006C1BCF">
        <w:tab/>
        <w:t>vybízí EU a její členské státy, aby rozšířily své kapacity v oblasti dohledu, zejména sledování pomocí dronů a satelitů, mj. na základě snímků z družic patřících k systému Sentinel, aby bylo možné vyhledávat plavidla ze „stínové flotily“ ve vodách EU a sledovat jejich činnost, jako je překládka nákladu z lodi na loď v rozporu se směrnicemi EU a s úmluvou MARPOL, a v případě ohrožení pobřežních oblastí a mořských ekosystémů urychleně zahájit vyšetřování;</w:t>
      </w:r>
    </w:p>
    <w:p w:rsidR="00007776" w:rsidRPr="006C1BCF" w:rsidRDefault="00007776" w:rsidP="00007776">
      <w:pPr>
        <w:pStyle w:val="NormalHanging12a"/>
        <w:rPr>
          <w:bCs/>
        </w:rPr>
      </w:pPr>
      <w:r w:rsidRPr="006C1BCF">
        <w:t>12.</w:t>
      </w:r>
      <w:r w:rsidRPr="006C1BCF">
        <w:tab/>
        <w:t>vyzývá k zákazu překládky ruské surové ropy a ropných produktů z lodi na loď ve vodách EU; požaduje, aby byly k vyhledávání těchto operací a k jejich zabránění vynakládány nezbytné zdroje, mj. tím, že se všem těmto plavidlům zakáže kotvit a tankovat ve vodách EU;</w:t>
      </w:r>
    </w:p>
    <w:p w:rsidR="00007776" w:rsidRPr="006C1BCF" w:rsidRDefault="00007776" w:rsidP="00007776">
      <w:pPr>
        <w:pStyle w:val="NormalHanging12a"/>
      </w:pPr>
      <w:r w:rsidRPr="006C1BCF">
        <w:t>13.</w:t>
      </w:r>
      <w:r w:rsidRPr="006C1BCF">
        <w:tab/>
        <w:t>vyzývá členské státy, aby ve svých přístavech a teritoriálních vodách prosazovaly přísná regulační opatření; naléhavě vyzývá členské státy, aby v případě tankerů, které by mohly převážet ruskou ropu, plně využívaly svého práva nechat plavidla vést lodivodem příslušného vnitrostátního orgánu za účelem provádění kontroly původu nákladu, konečného vlastnictví lodi, dokladů o pojištění a dodržování bezpečnostních norem, a aby zajistily, aby byla plavidla podezřelá z obcházení sankcí a nedodržování předpisů v oblasti ochrany životního prostředí označena jako plavidla, která je nutné vyšetřit;</w:t>
      </w:r>
    </w:p>
    <w:p w:rsidR="00007776" w:rsidRPr="006C1BCF" w:rsidRDefault="00007776" w:rsidP="00007776">
      <w:pPr>
        <w:pStyle w:val="NormalHanging12a"/>
        <w:rPr>
          <w:rStyle w:val="s2"/>
          <w:color w:val="000000"/>
        </w:rPr>
      </w:pPr>
      <w:r w:rsidRPr="006C1BCF">
        <w:rPr>
          <w:rStyle w:val="s2"/>
          <w:color w:val="000000"/>
        </w:rPr>
        <w:t>14.</w:t>
      </w:r>
      <w:r w:rsidRPr="006C1BCF">
        <w:rPr>
          <w:rStyle w:val="s2"/>
          <w:color w:val="000000"/>
        </w:rPr>
        <w:tab/>
      </w:r>
      <w:r w:rsidRPr="006C1BCF">
        <w:t>vyzývá členské státy, aby určily přístavy, které by byly schopny odbavovat sankcionovaná plavidla převážející ropu a zkapalněný zemní plyn, a aby nelegální náklad zabavovaly bez náhrady;</w:t>
      </w:r>
    </w:p>
    <w:p w:rsidR="00007776" w:rsidRPr="006C1BCF" w:rsidRDefault="00007776" w:rsidP="00007776">
      <w:pPr>
        <w:pStyle w:val="NormalHanging12a"/>
      </w:pPr>
      <w:r w:rsidRPr="006C1BCF">
        <w:lastRenderedPageBreak/>
        <w:t>15.</w:t>
      </w:r>
      <w:r w:rsidRPr="006C1BCF">
        <w:tab/>
        <w:t>zdůrazňuje, že dokud bude EU i nadále dovážet ruská fosilní paliva, bude dopad stávajících sankcí i finanční a vojenské podpory poskytované Ukrajině dále oslabován; požaduje proto, aby EU a její členské státy zakázaly veškerý dovoz fosilních paliv z Ruska, včetně zkapalněného zemního plynu; vyzývá EU, aby zavedla požadavek, aby plavidla vyvážející ruský zkapalněný zemní plyn byla zařazena na unijní sankční seznam, a zakázala jim tak přístup do svých přístavů nebo ke svým námořním službám; vyzývá EU a její členské státy, aby zakázaly dovoz ruských produktů jaderného průmyslu, a naléhavě vyzývá členské státy, aby s Rosatomem, jeho vedením a dceřinými společnostmi neuzavíraly žádné nové smlouvy;</w:t>
      </w:r>
    </w:p>
    <w:p w:rsidR="00007776" w:rsidRPr="006C1BCF" w:rsidRDefault="00007776" w:rsidP="00007776">
      <w:pPr>
        <w:pStyle w:val="NormalHanging12a"/>
      </w:pPr>
      <w:r w:rsidRPr="006C1BCF">
        <w:t>16.</w:t>
      </w:r>
      <w:r w:rsidRPr="006C1BCF">
        <w:tab/>
        <w:t>vyzývá země skupiny G7, aby účinněji prosazovaly cenový strop uvalený na ruskou ropu přepravovanou po moři a aby tento cenový strop podstatně snížily a odstranily mezery, které Rusko využívá k „přebalení“ a prodeji své ropy a ropných produktů za tržní ceny; vyzývá EU, její členské státy a partnery ze skupiny G7, aby prohloubily spolupráci s obchodními partnery za účelem rychlejšího a účinnějšího vyhledávání subjektů kupujících ruskou ropu a aby od nich přestaly kupovat ropné produkty; vyzývá k tomu, aby byla tato zjištěná zařízení zařazena na seznam cílených sankcí a aby byl zaveden úplný zákaz zpětného vývozu ruských rafinovaných ropných produktů; požaduje harmonizované testování původu dovážených fosilních paliv, zkapalněného zemního plynu a rafinovaných fosilních paliv, aby se zabránilo zpětnému vývozu ruské energie do EU; vyzývá členské státy, aby důkladně prošetřily, zda podniky dodržují omezení vývozu zboží uvedeného na seznamu, a aby ukládaly odrazující sankce;</w:t>
      </w:r>
    </w:p>
    <w:p w:rsidR="00007776" w:rsidRPr="006C1BCF" w:rsidRDefault="00007776" w:rsidP="00007776">
      <w:pPr>
        <w:pStyle w:val="NormalHanging12a"/>
      </w:pPr>
      <w:r w:rsidRPr="006C1BCF">
        <w:t>17.</w:t>
      </w:r>
      <w:r w:rsidRPr="006C1BCF">
        <w:tab/>
        <w:t>důrazně doporučuje, aby EU a její partneři ze skupiny G7 výrazně rozšířily sankční seznamy, tak aby zahrnovaly další plavidla, která obcházejí cenový strop a jsou provozována v rozporu s mezinárodními normami;</w:t>
      </w:r>
      <w:r w:rsidRPr="006C1BCF">
        <w:rPr>
          <w:rStyle w:val="Aucun"/>
          <w:color w:val="000000"/>
        </w:rPr>
        <w:t xml:space="preserve"> </w:t>
      </w:r>
      <w:r w:rsidRPr="006C1BCF">
        <w:t>vyzývá EU a partnerské země, aby při uplatňování sankčního rámce, například při registraci plavidel a prodlužování jejich registrace důkladně ověřovaly přiměřenost pojištění vztahujícího se na únik ropy; požaduje přijetí přísnějších požadavků v oblasti náležité péče při pojišťování plavidel, jako jsou doklady o kupních smlouvách, které by byly v souladu s cenovým stropem, nebo spolehlivé, ověřené bankovní výpisy apod.;</w:t>
      </w:r>
    </w:p>
    <w:p w:rsidR="00007776" w:rsidRPr="006C1BCF" w:rsidRDefault="00007776" w:rsidP="00007776">
      <w:pPr>
        <w:pStyle w:val="NormalHanging12a"/>
      </w:pPr>
      <w:r w:rsidRPr="006C1BCF">
        <w:t>18.</w:t>
      </w:r>
      <w:r w:rsidRPr="006C1BCF">
        <w:tab/>
        <w:t>vyzývá Komisi a členské státy, aby zajistily dostatečnou připravenost na ekologické katastrofy, zejména v případě rozsáhlých úniků ropy, a úzkou spolupráci orgánů členských států jak mezi sebou, tak i s </w:t>
      </w:r>
      <w:r w:rsidR="00BA3965" w:rsidRPr="006C1BCF">
        <w:t>Evropsk</w:t>
      </w:r>
      <w:r w:rsidR="00BA3965">
        <w:t>ou</w:t>
      </w:r>
      <w:r w:rsidR="00BA3965" w:rsidRPr="006C1BCF">
        <w:t xml:space="preserve"> </w:t>
      </w:r>
      <w:r w:rsidRPr="006C1BCF">
        <w:t xml:space="preserve">agenturou </w:t>
      </w:r>
      <w:r w:rsidR="00BA3965" w:rsidRPr="006C1BCF">
        <w:t>pro námořní bezpečnost</w:t>
      </w:r>
      <w:r w:rsidRPr="006C1BCF">
        <w:t xml:space="preserve"> při řešení rozsáhlých případů přeshraničního znečištění životního prostředí, mj. na základě další koordinace soupisu vybavení nutného k odstranění těchto úniků; poukazuje na to, že takovéto nehody vedou k dlouhodobému poškození životního prostředí, což může mít podstatný vliv na cestovní ruch, rybolov a mořské odvětví v členských státech hraničících se zasaženými moři; vyzývá Komisi, aby Evropské agentuře pro námořní bezpečnost poskytla k zajištění dostatečného množství plavidel, která by reagovala na úniky ropy, další prostředky;</w:t>
      </w:r>
    </w:p>
    <w:p w:rsidR="00007776" w:rsidRPr="006C1BCF" w:rsidRDefault="00007776" w:rsidP="00007776">
      <w:pPr>
        <w:pStyle w:val="NormalHanging12a"/>
      </w:pPr>
      <w:r w:rsidRPr="006C1BCF">
        <w:t>19.</w:t>
      </w:r>
      <w:r w:rsidRPr="006C1BCF">
        <w:tab/>
        <w:t>vyzývá Komisi, aby zajistila účinné uplatňování a prosazování směrnice Evropského parlamentu a Rady 2009/123/ES, kterou se mění směrnice 2005/35/ES o znečištění z lodí a o zavedení sankcí za protiprávní jednání</w:t>
      </w:r>
      <w:r w:rsidRPr="006C1BCF">
        <w:rPr>
          <w:rStyle w:val="FootnoteReference"/>
        </w:rPr>
        <w:footnoteReference w:id="2"/>
      </w:r>
      <w:r w:rsidRPr="006C1BCF">
        <w:t xml:space="preserve">; vyzývá členské státy, aby ve svém </w:t>
      </w:r>
      <w:r w:rsidRPr="006C1BCF">
        <w:lastRenderedPageBreak/>
        <w:t>právu urychleně provedly a uplatňovaly směrnici (EU) 2024/1226 o vymezení trestných činů a sankcí za porušení omezujících opatření Unie</w:t>
      </w:r>
      <w:r w:rsidRPr="006C1BCF">
        <w:rPr>
          <w:rStyle w:val="FootnoteReference"/>
        </w:rPr>
        <w:footnoteReference w:id="3"/>
      </w:r>
      <w:r w:rsidRPr="006C1BCF">
        <w:t xml:space="preserve"> a aby zajistily dostatečné finanční, technické a lidské zdroje k řádnému prosazování restriktivních opatření EU;</w:t>
      </w:r>
    </w:p>
    <w:p w:rsidR="00007776" w:rsidRPr="006C1BCF" w:rsidRDefault="00007776" w:rsidP="00007776">
      <w:pPr>
        <w:pStyle w:val="NormalHanging12a"/>
      </w:pPr>
      <w:r w:rsidRPr="006C1BCF">
        <w:t>20.</w:t>
      </w:r>
      <w:r w:rsidRPr="006C1BCF">
        <w:tab/>
        <w:t>vyzývá členské státy a Komisi, aby za účelem stanovení osvědčených postupů při vyhledávání a řešení případů vyhýbání se sankcím a při omezování jejich dopadu na životní prostředí ve vodách EU spolupracovaly s mezinárodními partnery a zúčastněnými stranami, mj. v odvětví lodní přepravy, energetiky, pojišťovnictví a finančnictví;</w:t>
      </w:r>
    </w:p>
    <w:p w:rsidR="00007776" w:rsidRPr="006C1BCF" w:rsidRDefault="00007776" w:rsidP="00007776">
      <w:pPr>
        <w:pStyle w:val="NormalHanging12a"/>
      </w:pPr>
      <w:r w:rsidRPr="006C1BCF">
        <w:t>21.</w:t>
      </w:r>
      <w:r w:rsidRPr="006C1BCF">
        <w:tab/>
        <w:t>vyzývá Komisi, aby pro společnosti a finanční ústavy v EU vypracovala jasnější pokyny a přísnější normy v oblasti náležité péče, tak aby se vyhnuly nechtěné interakci se subjekty spojenými se „stínovou flotilou“;</w:t>
      </w:r>
    </w:p>
    <w:p w:rsidR="00007776" w:rsidRPr="006C1BCF" w:rsidRDefault="00007776" w:rsidP="00007776">
      <w:pPr>
        <w:pStyle w:val="NormalHanging12a"/>
      </w:pPr>
      <w:r w:rsidRPr="006C1BCF">
        <w:t>22.</w:t>
      </w:r>
      <w:r w:rsidRPr="006C1BCF">
        <w:tab/>
        <w:t>vyzývá k podpoře práce vyslance pro uplatňování sankcí EU v boji proti jejich obcházení, aby se zabránilo reexportu sankcionovaného zboží EU do Ruska, který vážně oslabuje účinnost těchto sankcí a brání mezinárodním snahám o ukončení války; vyzývá v této souvislosti všechny kandidátské a potenciální kandidátské země na přistoupení k EU, aby se důsledně připojily k sankcím EU reagujícím na útočnou válku Ruska proti Ukrajině, a prokázaly tak, že jsou připraveny plnit závazky vyplývající z členství v EU; znovu vyzývá Radu, aby rozšířila pravomoci Úřadu evropského veřejného žalobce, tak aby mohl řešit trestné činy porušování restriktivních opatření EU; vyzývá EU a její členské státy, aby na úrovni EU posílily a centralizovaly dohled nad uplatňováním sankcí a vypracovaly mechanismus pro předcházení a sledování obcházení sankcí;</w:t>
      </w:r>
    </w:p>
    <w:p w:rsidR="00007776" w:rsidRPr="006C1BCF" w:rsidRDefault="00007776" w:rsidP="00007776">
      <w:pPr>
        <w:pStyle w:val="NormalHanging12a"/>
      </w:pPr>
      <w:r w:rsidRPr="006C1BCF">
        <w:t>23.</w:t>
      </w:r>
      <w:r w:rsidRPr="006C1BCF">
        <w:tab/>
        <w:t>podporuje uplatňování celosvětových norem transparentnosti týkajících se registrace plavidel, aby se omezilo využívání krycích společností a výhodných vlajek a zvýšila transparentnost vlastnictví plavidel;</w:t>
      </w:r>
    </w:p>
    <w:p w:rsidR="00007776" w:rsidRPr="006C1BCF" w:rsidRDefault="00007776" w:rsidP="00007776">
      <w:pPr>
        <w:pStyle w:val="NormalHanging12a"/>
      </w:pPr>
      <w:r w:rsidRPr="006C1BCF">
        <w:t>24.</w:t>
      </w:r>
      <w:r w:rsidRPr="006C1BCF">
        <w:tab/>
        <w:t>vyzývá Komisi, aby posoudila možnost přijetí podobných nástrojů obchodní politiky, jaké se používají v USA, a aby se soustředila na subjekty, jimž ze sankčních režimů plynou tržní výhody, které jim umožňují nečestně působit na trhu EU;</w:t>
      </w:r>
    </w:p>
    <w:p w:rsidR="00007776" w:rsidRPr="006C1BCF" w:rsidRDefault="00007776" w:rsidP="00007776">
      <w:pPr>
        <w:pStyle w:val="NormalHanging12a"/>
      </w:pPr>
      <w:r w:rsidRPr="006C1BCF">
        <w:t>25.</w:t>
      </w:r>
      <w:r w:rsidRPr="006C1BCF">
        <w:tab/>
        <w:t>vyjadřuje znepokojení nad hlášenou nadměrnou produkcí ruské ropy, která výrazně převyšuje kvótu této země stanovenou Organizací zemí vyvážejících ropu plus (OPEC+), což jí dále umožňuje obcházet stanovený cenový strop a získávat další příjmy; vyzývá EU a její členské státy, aby situaci pozorně sledovaly a přijaly ve spolupráci s mezinárodními partnery EU příslušná opatření;</w:t>
      </w:r>
    </w:p>
    <w:p w:rsidR="00E365E1" w:rsidRPr="006C1BCF" w:rsidRDefault="00007776" w:rsidP="00C72E9E">
      <w:pPr>
        <w:pStyle w:val="NormalHanging12a"/>
      </w:pPr>
      <w:r w:rsidRPr="006C1BCF">
        <w:t>26.</w:t>
      </w:r>
      <w:r w:rsidRPr="006C1BCF">
        <w:tab/>
        <w:t>pověřuje svou předsedkyni, aby předala toto usnesení Radě, Komisi, místopředsedovi Komise, vysokému představiteli Unie pro zahraniční věci a bezpečnostní politiku, prezidentovi, vládě a Nejvyšší radě Ukrajiny, Radě Evropy, Organizaci pro bezpečnost a spolupráci v Evropě, Mezinárodní námořní organizaci a ruským orgánům.</w:t>
      </w:r>
    </w:p>
    <w:sectPr w:rsidR="00E365E1" w:rsidRPr="006C1BCF" w:rsidSect="006C1B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252" w:rsidRPr="006C1BCF" w:rsidRDefault="00E57252">
      <w:r w:rsidRPr="006C1BCF">
        <w:separator/>
      </w:r>
    </w:p>
  </w:endnote>
  <w:endnote w:type="continuationSeparator" w:id="0">
    <w:p w:rsidR="00E57252" w:rsidRPr="006C1BCF" w:rsidRDefault="00E57252">
      <w:r w:rsidRPr="006C1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252" w:rsidRPr="006C1BCF" w:rsidRDefault="00E57252">
      <w:r w:rsidRPr="006C1BCF">
        <w:separator/>
      </w:r>
    </w:p>
  </w:footnote>
  <w:footnote w:type="continuationSeparator" w:id="0">
    <w:p w:rsidR="00E57252" w:rsidRPr="006C1BCF" w:rsidRDefault="00E57252">
      <w:r w:rsidRPr="006C1BCF">
        <w:continuationSeparator/>
      </w:r>
    </w:p>
  </w:footnote>
  <w:footnote w:id="1">
    <w:p w:rsidR="00007776" w:rsidRPr="006C1BCF" w:rsidRDefault="00007776" w:rsidP="006C1BCF">
      <w:pPr>
        <w:pStyle w:val="FootnoteText"/>
        <w:ind w:left="567" w:hanging="567"/>
        <w:rPr>
          <w:sz w:val="24"/>
          <w:lang w:val="cs-CZ"/>
        </w:rPr>
      </w:pPr>
      <w:r w:rsidRPr="006C1BCF">
        <w:rPr>
          <w:rStyle w:val="FootnoteReference"/>
          <w:sz w:val="24"/>
          <w:lang w:val="cs-CZ"/>
        </w:rPr>
        <w:footnoteRef/>
      </w:r>
      <w:r w:rsidR="006C1BCF" w:rsidRPr="006C1BCF">
        <w:rPr>
          <w:sz w:val="24"/>
          <w:lang w:val="cs-CZ"/>
        </w:rPr>
        <w:t xml:space="preserve"> </w:t>
      </w:r>
      <w:r w:rsidR="006C1BCF" w:rsidRPr="006C1BCF">
        <w:rPr>
          <w:sz w:val="24"/>
          <w:lang w:val="cs-CZ"/>
        </w:rPr>
        <w:tab/>
      </w:r>
      <w:r w:rsidRPr="006C1BCF">
        <w:rPr>
          <w:sz w:val="24"/>
          <w:lang w:val="cs-CZ"/>
        </w:rPr>
        <w:t>Směrnice Evropského parlamentu a Rady 2009/20/ES ze dne 23. dubna 2009 o pojištění majitelů lodí pro námořní nároky (Úř. věst. L 131, 28.5.2009, s. 128</w:t>
      </w:r>
      <w:r w:rsidR="006A24F8">
        <w:rPr>
          <w:sz w:val="24"/>
          <w:lang w:val="cs-CZ"/>
        </w:rPr>
        <w:t>, ELI:</w:t>
      </w:r>
      <w:r w:rsidRPr="006C1BCF">
        <w:rPr>
          <w:sz w:val="24"/>
          <w:lang w:val="cs-CZ"/>
        </w:rPr>
        <w:t xml:space="preserve"> </w:t>
      </w:r>
      <w:hyperlink r:id="rId1" w:history="1">
        <w:r w:rsidRPr="006C1BCF">
          <w:rPr>
            <w:rStyle w:val="Hyperlink"/>
            <w:sz w:val="24"/>
            <w:lang w:val="cs-CZ"/>
          </w:rPr>
          <w:t>http://data.europa.eu/eli/dir/2009/20/oj</w:t>
        </w:r>
      </w:hyperlink>
      <w:r w:rsidR="006A24F8">
        <w:rPr>
          <w:rStyle w:val="Hyperlink"/>
          <w:sz w:val="24"/>
          <w:lang w:val="cs-CZ"/>
        </w:rPr>
        <w:t>)</w:t>
      </w:r>
      <w:r w:rsidRPr="006C1BCF">
        <w:rPr>
          <w:sz w:val="24"/>
          <w:lang w:val="cs-CZ"/>
        </w:rPr>
        <w:t>.</w:t>
      </w:r>
    </w:p>
  </w:footnote>
  <w:footnote w:id="2">
    <w:p w:rsidR="00007776" w:rsidRPr="006C1BCF" w:rsidRDefault="00007776" w:rsidP="006C1BCF">
      <w:pPr>
        <w:pStyle w:val="FootnoteText"/>
        <w:ind w:left="567" w:hanging="567"/>
        <w:rPr>
          <w:sz w:val="24"/>
          <w:lang w:val="cs-CZ"/>
        </w:rPr>
      </w:pPr>
      <w:r w:rsidRPr="006C1BCF">
        <w:rPr>
          <w:rStyle w:val="FootnoteReference"/>
          <w:sz w:val="24"/>
          <w:lang w:val="cs-CZ"/>
        </w:rPr>
        <w:footnoteRef/>
      </w:r>
      <w:r w:rsidR="006C1BCF" w:rsidRPr="006C1BCF">
        <w:rPr>
          <w:sz w:val="24"/>
          <w:lang w:val="cs-CZ"/>
        </w:rPr>
        <w:t xml:space="preserve"> </w:t>
      </w:r>
      <w:r w:rsidR="006C1BCF" w:rsidRPr="006C1BCF">
        <w:rPr>
          <w:sz w:val="24"/>
          <w:lang w:val="cs-CZ"/>
        </w:rPr>
        <w:tab/>
      </w:r>
      <w:r w:rsidRPr="006C1BCF">
        <w:rPr>
          <w:sz w:val="24"/>
          <w:lang w:val="cs-CZ"/>
        </w:rPr>
        <w:t xml:space="preserve">Směrnice Evropského parlamentu a Rady 2009/123/ES ze dne 21. října 2009, kterou se mění směrnice 2005/35/ES o znečištění z lodí a o zavedení sankcí za protiprávní jednání </w:t>
      </w:r>
      <w:r w:rsidR="00BA3965">
        <w:rPr>
          <w:sz w:val="24"/>
          <w:lang w:val="cs-CZ"/>
        </w:rPr>
        <w:t>(</w:t>
      </w:r>
      <w:r w:rsidRPr="006C1BCF">
        <w:rPr>
          <w:sz w:val="24"/>
          <w:lang w:val="cs-CZ"/>
        </w:rPr>
        <w:t xml:space="preserve">Úř. věst. L 280, 27.10.2009, s. 52, ELI: </w:t>
      </w:r>
      <w:hyperlink r:id="rId2" w:history="1">
        <w:r w:rsidRPr="006C1BCF">
          <w:rPr>
            <w:rStyle w:val="Hyperlink"/>
            <w:sz w:val="24"/>
            <w:lang w:val="cs-CZ"/>
          </w:rPr>
          <w:t>https://eur-lex.europa.eu/legal-content/CS/TXT/?uri=CELEX:32009L0123</w:t>
        </w:r>
      </w:hyperlink>
      <w:r w:rsidR="00BA3965">
        <w:rPr>
          <w:rStyle w:val="Hyperlink"/>
          <w:sz w:val="24"/>
          <w:lang w:val="cs-CZ"/>
        </w:rPr>
        <w:t>)</w:t>
      </w:r>
      <w:r w:rsidRPr="006C1BCF">
        <w:rPr>
          <w:sz w:val="24"/>
          <w:lang w:val="cs-CZ"/>
        </w:rPr>
        <w:t>.</w:t>
      </w:r>
    </w:p>
  </w:footnote>
  <w:footnote w:id="3">
    <w:p w:rsidR="00007776" w:rsidRPr="006C1BCF" w:rsidRDefault="00007776" w:rsidP="006C1BCF">
      <w:pPr>
        <w:pStyle w:val="FootnoteText"/>
        <w:ind w:left="567" w:hanging="567"/>
        <w:rPr>
          <w:sz w:val="24"/>
          <w:lang w:val="cs-CZ"/>
        </w:rPr>
      </w:pPr>
      <w:r w:rsidRPr="006C1BCF">
        <w:rPr>
          <w:rStyle w:val="FootnoteReference"/>
          <w:sz w:val="24"/>
          <w:lang w:val="cs-CZ"/>
        </w:rPr>
        <w:footnoteRef/>
      </w:r>
      <w:r w:rsidR="006C1BCF" w:rsidRPr="006C1BCF">
        <w:rPr>
          <w:sz w:val="24"/>
          <w:lang w:val="cs-CZ"/>
        </w:rPr>
        <w:t xml:space="preserve"> </w:t>
      </w:r>
      <w:r w:rsidR="006C1BCF" w:rsidRPr="006C1BCF">
        <w:rPr>
          <w:sz w:val="24"/>
          <w:lang w:val="cs-CZ"/>
        </w:rPr>
        <w:tab/>
      </w:r>
      <w:r w:rsidRPr="006C1BCF">
        <w:rPr>
          <w:sz w:val="24"/>
          <w:lang w:val="cs-CZ"/>
        </w:rPr>
        <w:t xml:space="preserve">Směrnice Evropského parlamentu a Rady (EU) 2024/1226 ze dne 24. dubna 2024 o vymezení trestných činů a sankcí za porušení omezujících opatření Unie a změně směrnice (EU) 2018/1673 </w:t>
      </w:r>
      <w:r w:rsidR="00BA3965">
        <w:rPr>
          <w:sz w:val="24"/>
          <w:lang w:val="cs-CZ"/>
        </w:rPr>
        <w:t>(</w:t>
      </w:r>
      <w:r w:rsidRPr="006C1BCF">
        <w:rPr>
          <w:sz w:val="24"/>
          <w:lang w:val="cs-CZ"/>
        </w:rPr>
        <w:t xml:space="preserve">Úř. věst. L, 2024/1226, 29.4.2024, ELI: </w:t>
      </w:r>
      <w:hyperlink r:id="rId3" w:history="1">
        <w:r w:rsidRPr="006C1BCF">
          <w:rPr>
            <w:rStyle w:val="Hyperlink"/>
            <w:sz w:val="24"/>
            <w:lang w:val="cs-CZ"/>
          </w:rPr>
          <w:t>https://eur-lex.europa.eu/legal-content/CS/TXT/?uri=CELEX:32024L1226</w:t>
        </w:r>
      </w:hyperlink>
      <w:r w:rsidR="00BA3965">
        <w:rPr>
          <w:rStyle w:val="Hyperlink"/>
          <w:sz w:val="24"/>
          <w:lang w:val="cs-CZ"/>
        </w:rPr>
        <w:t>)</w:t>
      </w:r>
      <w:r w:rsidRPr="006C1BCF">
        <w:rPr>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CS"/>
    <w:docVar w:name="dvnumam" w:val="0"/>
    <w:docVar w:name="dvpe" w:val="764.162"/>
    <w:docVar w:name="dvtitre" w:val="Usnesení Evropského parlamentu ze dne 14. listopadu 2024 o opatřeních EU vůči ruské „stínové flotile“ a o zajištění vymáhání veškerých sankcí vůči Rusku(2024/2885(RSP))"/>
  </w:docVars>
  <w:rsids>
    <w:rsidRoot w:val="00E57252"/>
    <w:rsid w:val="00002272"/>
    <w:rsid w:val="0000777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9A5"/>
    <w:rsid w:val="00514517"/>
    <w:rsid w:val="00545827"/>
    <w:rsid w:val="00560270"/>
    <w:rsid w:val="005C2568"/>
    <w:rsid w:val="005F1B17"/>
    <w:rsid w:val="005F2ED7"/>
    <w:rsid w:val="006037C0"/>
    <w:rsid w:val="00632753"/>
    <w:rsid w:val="006631B6"/>
    <w:rsid w:val="00680577"/>
    <w:rsid w:val="006A24F8"/>
    <w:rsid w:val="006C1B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965"/>
    <w:rsid w:val="00BD48FE"/>
    <w:rsid w:val="00BD7BD8"/>
    <w:rsid w:val="00BE6ADC"/>
    <w:rsid w:val="00C05BFE"/>
    <w:rsid w:val="00C23CD4"/>
    <w:rsid w:val="00C61C0C"/>
    <w:rsid w:val="00C72E9E"/>
    <w:rsid w:val="00C941CB"/>
    <w:rsid w:val="00CC2357"/>
    <w:rsid w:val="00CF071A"/>
    <w:rsid w:val="00D058B8"/>
    <w:rsid w:val="00D56C11"/>
    <w:rsid w:val="00D834A0"/>
    <w:rsid w:val="00D872DF"/>
    <w:rsid w:val="00D91E21"/>
    <w:rsid w:val="00DA7FCD"/>
    <w:rsid w:val="00E365E1"/>
    <w:rsid w:val="00E5725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CF6B2"/>
  <w15:chartTrackingRefBased/>
  <w15:docId w15:val="{A187C7DA-D58D-4B93-B5C6-BC3CDB13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7776"/>
    <w:pPr>
      <w:spacing w:after="240"/>
      <w:ind w:left="567" w:hanging="567"/>
    </w:pPr>
  </w:style>
  <w:style w:type="paragraph" w:customStyle="1" w:styleId="EPComma">
    <w:name w:val="EPComma"/>
    <w:basedOn w:val="Normal"/>
    <w:rsid w:val="00007776"/>
    <w:pPr>
      <w:spacing w:before="480" w:after="240"/>
    </w:pPr>
  </w:style>
  <w:style w:type="character" w:customStyle="1" w:styleId="Aucun">
    <w:name w:val="Aucun"/>
    <w:rsid w:val="00007776"/>
  </w:style>
  <w:style w:type="character" w:customStyle="1" w:styleId="NormalHanging12aChar">
    <w:name w:val="NormalHanging12a Char"/>
    <w:basedOn w:val="DefaultParagraphFont"/>
    <w:link w:val="NormalHanging12a"/>
    <w:rsid w:val="00007776"/>
    <w:rPr>
      <w:sz w:val="24"/>
      <w:lang w:val="cs-CZ"/>
    </w:rPr>
  </w:style>
  <w:style w:type="character" w:customStyle="1" w:styleId="s2">
    <w:name w:val="s2"/>
    <w:basedOn w:val="DefaultParagraphFont"/>
    <w:rsid w:val="00007776"/>
  </w:style>
  <w:style w:type="character" w:styleId="Hyperlink">
    <w:name w:val="Hyperlink"/>
    <w:basedOn w:val="DefaultParagraphFont"/>
    <w:rsid w:val="00007776"/>
    <w:rPr>
      <w:color w:val="0563C1" w:themeColor="hyperlink"/>
      <w:u w:val="single"/>
    </w:rPr>
  </w:style>
  <w:style w:type="paragraph" w:styleId="BalloonText">
    <w:name w:val="Balloon Text"/>
    <w:basedOn w:val="Normal"/>
    <w:link w:val="BalloonTextChar"/>
    <w:rsid w:val="005F2ED7"/>
    <w:rPr>
      <w:rFonts w:ascii="Segoe UI" w:hAnsi="Segoe UI" w:cs="Segoe UI"/>
      <w:sz w:val="18"/>
      <w:szCs w:val="18"/>
    </w:rPr>
  </w:style>
  <w:style w:type="character" w:customStyle="1" w:styleId="BalloonTextChar">
    <w:name w:val="Balloon Text Char"/>
    <w:basedOn w:val="DefaultParagraphFont"/>
    <w:link w:val="BalloonText"/>
    <w:rsid w:val="005F2ED7"/>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TXT/?uri=CELEX:32024L1226" TargetMode="External"/><Relationship Id="rId2" Type="http://schemas.openxmlformats.org/officeDocument/2006/relationships/hyperlink" Target="https://eur-lex.europa.eu/legal-content/CS/TXT/?uri=CELEX:32009L0123"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6408B-69D7-41D7-97D4-A352B826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3824</Words>
  <Characters>21800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2024-11-14T12:26:00Z</dcterms:created>
  <dcterms:modified xsi:type="dcterms:W3CDTF">2024-11-14T12:26:00Z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B10-0161/2024</vt:lpwstr>
  </property>
  <property fmtid="{D5CDD505-2E9C-101B-9397-08002B2CF9AE}" pid="4" name="&lt;Type&gt;">
    <vt:lpwstr>RR</vt:lpwstr>
  </property>
</Properties>
</file>