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5588" w:rsidTr="0010095E">
        <w:trPr>
          <w:trHeight w:hRule="exact" w:val="1418"/>
        </w:trPr>
        <w:tc>
          <w:tcPr>
            <w:tcW w:w="6804" w:type="dxa"/>
            <w:shd w:val="clear" w:color="auto" w:fill="auto"/>
            <w:vAlign w:val="center"/>
          </w:tcPr>
          <w:p w:rsidR="00751A4A" w:rsidRPr="00825588" w:rsidRDefault="00A56E24" w:rsidP="0010095E">
            <w:pPr>
              <w:pStyle w:val="EPName"/>
            </w:pPr>
            <w:r w:rsidRPr="00825588">
              <w:t>Europa-Parlamentet</w:t>
            </w:r>
          </w:p>
          <w:p w:rsidR="00751A4A" w:rsidRPr="00825588" w:rsidRDefault="005F1B17" w:rsidP="005F1B17">
            <w:pPr>
              <w:pStyle w:val="EPTerm"/>
              <w:rPr>
                <w:rStyle w:val="HideTWBExt"/>
                <w:noProof w:val="0"/>
                <w:vanish w:val="0"/>
                <w:color w:val="auto"/>
              </w:rPr>
            </w:pPr>
            <w:r w:rsidRPr="00825588">
              <w:t>2024</w:t>
            </w:r>
            <w:r w:rsidR="00817416" w:rsidRPr="00825588">
              <w:t>-202</w:t>
            </w:r>
            <w:r w:rsidRPr="00825588">
              <w:t>9</w:t>
            </w:r>
          </w:p>
        </w:tc>
        <w:tc>
          <w:tcPr>
            <w:tcW w:w="2268" w:type="dxa"/>
            <w:shd w:val="clear" w:color="auto" w:fill="auto"/>
          </w:tcPr>
          <w:p w:rsidR="00751A4A" w:rsidRPr="00825588" w:rsidRDefault="00187494" w:rsidP="0010095E">
            <w:pPr>
              <w:pStyle w:val="EPLogo"/>
            </w:pPr>
            <w:r w:rsidRPr="008255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5588" w:rsidRDefault="00D058B8" w:rsidP="004C5D52">
      <w:pPr>
        <w:pStyle w:val="LineTop"/>
      </w:pPr>
    </w:p>
    <w:p w:rsidR="00680577" w:rsidRPr="00825588" w:rsidRDefault="00A56E24" w:rsidP="00680577">
      <w:pPr>
        <w:pStyle w:val="EPBodyTA1"/>
      </w:pPr>
      <w:r w:rsidRPr="00825588">
        <w:t>VEDTAGNE TEKSTER</w:t>
      </w:r>
    </w:p>
    <w:p w:rsidR="00D058B8" w:rsidRPr="00825588" w:rsidRDefault="00D058B8" w:rsidP="00D058B8">
      <w:pPr>
        <w:pStyle w:val="LineBottom"/>
      </w:pPr>
    </w:p>
    <w:p w:rsidR="00A56E24" w:rsidRPr="00825588" w:rsidRDefault="00A56E24" w:rsidP="00A56E24">
      <w:pPr>
        <w:pStyle w:val="ATHeading1"/>
      </w:pPr>
      <w:bookmarkStart w:id="0" w:name="TANumber"/>
      <w:r w:rsidRPr="00825588">
        <w:t>P10_</w:t>
      </w:r>
      <w:proofErr w:type="gramStart"/>
      <w:r w:rsidRPr="00825588">
        <w:t>TA(</w:t>
      </w:r>
      <w:proofErr w:type="gramEnd"/>
      <w:r w:rsidRPr="00825588">
        <w:t>2024)00</w:t>
      </w:r>
      <w:bookmarkEnd w:id="0"/>
      <w:r w:rsidR="009636EA">
        <w:t>36</w:t>
      </w:r>
    </w:p>
    <w:p w:rsidR="00A56E24" w:rsidRPr="00825588" w:rsidRDefault="000772D6" w:rsidP="000772D6">
      <w:pPr>
        <w:pStyle w:val="ATHeading2"/>
      </w:pPr>
      <w:r>
        <w:t>EU's foranstaltninger mod de russiske skyggeflåder og sikring af fuld håndhævelse af sanktionerne mod Rusland</w:t>
      </w:r>
    </w:p>
    <w:p w:rsidR="00A56E24" w:rsidRPr="00825588" w:rsidRDefault="00A56E24" w:rsidP="00A56E24">
      <w:pPr>
        <w:rPr>
          <w:i/>
          <w:vanish/>
        </w:rPr>
      </w:pPr>
      <w:r w:rsidRPr="00825588">
        <w:rPr>
          <w:i/>
        </w:rPr>
        <w:fldChar w:fldCharType="begin"/>
      </w:r>
      <w:r w:rsidRPr="00825588">
        <w:rPr>
          <w:i/>
        </w:rPr>
        <w:instrText xml:space="preserve"> TC"(</w:instrText>
      </w:r>
      <w:bookmarkStart w:id="1" w:name="DocNumber"/>
      <w:r w:rsidRPr="00825588">
        <w:rPr>
          <w:i/>
        </w:rPr>
        <w:instrText>B10-0161</w:instrText>
      </w:r>
      <w:r w:rsidR="000772D6">
        <w:rPr>
          <w:i/>
        </w:rPr>
        <w:instrText>, 0162, 0163, 0164 og 0166</w:instrText>
      </w:r>
      <w:r w:rsidRPr="00825588">
        <w:rPr>
          <w:i/>
        </w:rPr>
        <w:instrText>/2024</w:instrText>
      </w:r>
      <w:bookmarkEnd w:id="1"/>
      <w:r w:rsidRPr="00825588">
        <w:rPr>
          <w:i/>
        </w:rPr>
        <w:instrText xml:space="preserve">)"\l3 \n&gt; \* MERGEFORMAT </w:instrText>
      </w:r>
      <w:r w:rsidRPr="00825588">
        <w:rPr>
          <w:i/>
        </w:rPr>
        <w:fldChar w:fldCharType="end"/>
      </w:r>
    </w:p>
    <w:p w:rsidR="00A56E24" w:rsidRPr="00825588" w:rsidRDefault="00A56E24" w:rsidP="00A56E24">
      <w:pPr>
        <w:rPr>
          <w:vanish/>
        </w:rPr>
      </w:pPr>
      <w:bookmarkStart w:id="2" w:name="PE"/>
      <w:r w:rsidRPr="00825588">
        <w:rPr>
          <w:vanish/>
        </w:rPr>
        <w:t>PE764.162</w:t>
      </w:r>
      <w:bookmarkEnd w:id="2"/>
    </w:p>
    <w:p w:rsidR="00A56E24" w:rsidRPr="00825588" w:rsidRDefault="00A56E24" w:rsidP="00A56E24">
      <w:pPr>
        <w:pStyle w:val="ATHeading3"/>
      </w:pPr>
      <w:bookmarkStart w:id="3" w:name="Sujet"/>
      <w:r w:rsidRPr="00825588">
        <w:t xml:space="preserve">Europa-Parlamentets beslutning af </w:t>
      </w:r>
      <w:r w:rsidR="000772D6">
        <w:t>14. november</w:t>
      </w:r>
      <w:r w:rsidRPr="00825588">
        <w:t xml:space="preserve"> 2024 om EU's foranstaltninger mod de russiske skyggeflåder og sikring af fuld håndhævelse af sanktionerne mod Rusland</w:t>
      </w:r>
      <w:bookmarkEnd w:id="3"/>
      <w:r w:rsidRPr="00825588">
        <w:t xml:space="preserve"> </w:t>
      </w:r>
      <w:bookmarkStart w:id="4" w:name="References"/>
      <w:r w:rsidRPr="00825588">
        <w:t>(2024/2885(RSP))</w:t>
      </w:r>
      <w:bookmarkEnd w:id="4"/>
    </w:p>
    <w:p w:rsidR="001B1779" w:rsidRPr="00825588" w:rsidRDefault="001B1779" w:rsidP="001B1779">
      <w:pPr>
        <w:pStyle w:val="EPComma"/>
      </w:pPr>
      <w:bookmarkStart w:id="5" w:name="TextBodyBegin"/>
      <w:bookmarkEnd w:id="5"/>
      <w:r w:rsidRPr="00825588">
        <w:rPr>
          <w:i/>
        </w:rPr>
        <w:t>Europa-Parlamentet</w:t>
      </w:r>
      <w:r w:rsidRPr="00825588">
        <w:t>,</w:t>
      </w:r>
    </w:p>
    <w:p w:rsidR="001B1779" w:rsidRPr="00825588" w:rsidRDefault="001B1779" w:rsidP="001B1779">
      <w:pPr>
        <w:pStyle w:val="NormalHanging12a"/>
      </w:pPr>
      <w:r w:rsidRPr="00825588">
        <w:t>–</w:t>
      </w:r>
      <w:r w:rsidRPr="00825588">
        <w:tab/>
        <w:t>der henviser til sine tidligere beslutninger om Rusland og Ukraine, navnlig siden eskaleringen af Ruslands angrebskrig mod Ukraine i februar 2022,</w:t>
      </w:r>
    </w:p>
    <w:p w:rsidR="001B1779" w:rsidRPr="00825588" w:rsidRDefault="001B1779" w:rsidP="001B1779">
      <w:pPr>
        <w:pStyle w:val="NormalHanging12a"/>
      </w:pPr>
      <w:r w:rsidRPr="00825588">
        <w:t>–</w:t>
      </w:r>
      <w:r w:rsidRPr="00825588">
        <w:tab/>
        <w:t>der henviser til de 14 på hinanden følgende pakker af sanktioner mod Rusland, som EU har vedtaget siden februar 2022,</w:t>
      </w:r>
    </w:p>
    <w:p w:rsidR="001B1779" w:rsidRPr="00825588" w:rsidRDefault="001B1779" w:rsidP="001B1779">
      <w:pPr>
        <w:pStyle w:val="NormalHanging12a"/>
      </w:pPr>
      <w:r w:rsidRPr="00825588">
        <w:t>–</w:t>
      </w:r>
      <w:r w:rsidRPr="00825588">
        <w:tab/>
        <w:t>der henviser til De Forenede Nationers pagt og til De Forenede Nationers havretskonvention,</w:t>
      </w:r>
    </w:p>
    <w:p w:rsidR="001B1779" w:rsidRPr="00825588" w:rsidRDefault="001B1779" w:rsidP="001B1779">
      <w:pPr>
        <w:pStyle w:val="NormalHanging12a"/>
      </w:pPr>
      <w:r w:rsidRPr="00825588">
        <w:t>–</w:t>
      </w:r>
      <w:r w:rsidRPr="00825588">
        <w:tab/>
        <w:t>der henviser til den internationale konvention om forebyggelse af forurening fra skibe (MARPOL), den internationale konvention om uddannelse af søfarende, om sønæring og om vagthold, den internationale konvention om det privatretlige ansvar for skader ved olieforurening og andre relevante konventioner fra Den Internationale Søfartsorganisation (IMO),</w:t>
      </w:r>
    </w:p>
    <w:p w:rsidR="001B1779" w:rsidRPr="00825588" w:rsidRDefault="001B1779" w:rsidP="001B1779">
      <w:pPr>
        <w:pStyle w:val="NormalHanging12a"/>
      </w:pPr>
      <w:r w:rsidRPr="00825588">
        <w:t>–</w:t>
      </w:r>
      <w:r w:rsidRPr="00825588">
        <w:tab/>
        <w:t>der henviser til IMO-forsamlingens resolution A.1192(33) med titlen "Opfordring til medlemsstater og alle relevante interessenter til at fremme foranstaltninger til forebyggelse af ulovlige operationer i den maritime sektor foretaget af den "mørke flåde" eller "skyggeflåden"" (</w:t>
      </w:r>
      <w:proofErr w:type="spellStart"/>
      <w:r w:rsidRPr="00825588">
        <w:t>Urging</w:t>
      </w:r>
      <w:proofErr w:type="spellEnd"/>
      <w:r w:rsidRPr="00825588">
        <w:t xml:space="preserve"> </w:t>
      </w:r>
      <w:proofErr w:type="spellStart"/>
      <w:r w:rsidRPr="00825588">
        <w:t>member</w:t>
      </w:r>
      <w:proofErr w:type="spellEnd"/>
      <w:r w:rsidRPr="00825588">
        <w:t xml:space="preserve"> </w:t>
      </w:r>
      <w:proofErr w:type="spellStart"/>
      <w:r w:rsidRPr="00825588">
        <w:t>states</w:t>
      </w:r>
      <w:proofErr w:type="spellEnd"/>
      <w:r w:rsidRPr="00825588">
        <w:t xml:space="preserve"> and all relevant </w:t>
      </w:r>
      <w:proofErr w:type="spellStart"/>
      <w:r w:rsidRPr="00825588">
        <w:t>stakeholders</w:t>
      </w:r>
      <w:proofErr w:type="spellEnd"/>
      <w:r w:rsidRPr="00825588">
        <w:t xml:space="preserve"> to promote actions to </w:t>
      </w:r>
      <w:proofErr w:type="spellStart"/>
      <w:r w:rsidRPr="00825588">
        <w:t>prevent</w:t>
      </w:r>
      <w:proofErr w:type="spellEnd"/>
      <w:r w:rsidRPr="00825588">
        <w:t xml:space="preserve"> illegal operations in the maritime </w:t>
      </w:r>
      <w:proofErr w:type="spellStart"/>
      <w:r w:rsidRPr="00825588">
        <w:t>sector</w:t>
      </w:r>
      <w:proofErr w:type="spellEnd"/>
      <w:r w:rsidRPr="00825588">
        <w:t xml:space="preserve"> by the “dark </w:t>
      </w:r>
      <w:proofErr w:type="spellStart"/>
      <w:r w:rsidRPr="00825588">
        <w:t>fleet</w:t>
      </w:r>
      <w:proofErr w:type="spellEnd"/>
      <w:r w:rsidRPr="00825588">
        <w:t>” or “</w:t>
      </w:r>
      <w:proofErr w:type="spellStart"/>
      <w:r w:rsidRPr="00825588">
        <w:t>shadow</w:t>
      </w:r>
      <w:proofErr w:type="spellEnd"/>
      <w:r w:rsidRPr="00825588">
        <w:t xml:space="preserve"> </w:t>
      </w:r>
      <w:proofErr w:type="spellStart"/>
      <w:r w:rsidRPr="00825588">
        <w:t>fleet</w:t>
      </w:r>
      <w:proofErr w:type="spellEnd"/>
      <w:r w:rsidRPr="00825588">
        <w:t>”), der blev vedtaget den 6. december 2023,</w:t>
      </w:r>
    </w:p>
    <w:p w:rsidR="001B1779" w:rsidRPr="00825588" w:rsidRDefault="001B1779" w:rsidP="001B1779">
      <w:pPr>
        <w:pStyle w:val="NormalHanging12a"/>
      </w:pPr>
      <w:r w:rsidRPr="00825588">
        <w:t>–</w:t>
      </w:r>
      <w:r w:rsidRPr="00825588">
        <w:tab/>
        <w:t>der henviser til G7-ledernes erklæring af 6. december 2023,</w:t>
      </w:r>
    </w:p>
    <w:p w:rsidR="001B1779" w:rsidRPr="00825588" w:rsidRDefault="001B1779" w:rsidP="001B1779">
      <w:pPr>
        <w:pStyle w:val="NormalHanging12a"/>
      </w:pPr>
      <w:r w:rsidRPr="00825588">
        <w:t>–</w:t>
      </w:r>
      <w:r w:rsidRPr="00825588">
        <w:tab/>
        <w:t>der henviser til forretningsordenens artikel 136, stk. 2 og 4,</w:t>
      </w:r>
    </w:p>
    <w:p w:rsidR="001B1779" w:rsidRPr="00825588" w:rsidRDefault="001B1779" w:rsidP="001B1779">
      <w:pPr>
        <w:pStyle w:val="NormalHanging12a"/>
      </w:pPr>
      <w:r w:rsidRPr="00825588">
        <w:t>A.</w:t>
      </w:r>
      <w:r w:rsidRPr="00825588">
        <w:tab/>
        <w:t xml:space="preserve">der henviser til, at Rusland siden den 24. februar 2022 har ført en ulovlig, uprovokeret og uberettiget uindskrænket angrebskrig mod Ukraine, som en fortsættelse af den russiske fremfærd siden 2014, hvor Rusland annekterede Krim og efterfølgende besatte dele af regionerne Donetsk og </w:t>
      </w:r>
      <w:proofErr w:type="spellStart"/>
      <w:r w:rsidRPr="00825588">
        <w:t>Luhansk</w:t>
      </w:r>
      <w:proofErr w:type="spellEnd"/>
      <w:r w:rsidRPr="00825588">
        <w:t>;</w:t>
      </w:r>
      <w:r w:rsidRPr="00825588">
        <w:rPr>
          <w:rStyle w:val="Aucun"/>
          <w:color w:val="000000"/>
        </w:rPr>
        <w:t xml:space="preserve"> der henviser til, at EU siden begyndelsen på det kraftigste har fordømt Ruslands angrebskrig mod Ukraine og har opfordret Rusland til </w:t>
      </w:r>
      <w:r w:rsidRPr="00825588">
        <w:rPr>
          <w:rStyle w:val="Aucun"/>
          <w:color w:val="000000"/>
        </w:rPr>
        <w:lastRenderedPageBreak/>
        <w:t>at sætte en stopper for disse aggressioner og respektere Ukraines territoriale integritet;</w:t>
      </w:r>
    </w:p>
    <w:p w:rsidR="001B1779" w:rsidRPr="00825588" w:rsidRDefault="001B1779" w:rsidP="001B1779">
      <w:pPr>
        <w:pStyle w:val="NormalHanging12a"/>
      </w:pPr>
      <w:r w:rsidRPr="00825588">
        <w:t>B.</w:t>
      </w:r>
      <w:r w:rsidRPr="00825588">
        <w:tab/>
        <w:t>der henviser til, at Rusland er en af verdens største olieproducenter; der henviser til, at Rusland er stærkt afhængig af salg af olie med hensyn til eksportindtægter og budgetindtægter, hvilket betyder, at olieproduktion er af stor betydning for finansieringen af dets krig i Ukraine;</w:t>
      </w:r>
    </w:p>
    <w:p w:rsidR="001B1779" w:rsidRPr="00825588" w:rsidRDefault="001B1779" w:rsidP="001B1779">
      <w:pPr>
        <w:pStyle w:val="NormalHanging12a"/>
      </w:pPr>
      <w:r w:rsidRPr="00825588">
        <w:t>C.</w:t>
      </w:r>
      <w:r w:rsidRPr="00825588">
        <w:tab/>
        <w:t xml:space="preserve">der henviser til, at EU og de øvrige medlemmer af G7+-Price </w:t>
      </w:r>
      <w:proofErr w:type="spellStart"/>
      <w:r w:rsidRPr="00825588">
        <w:t>Cap</w:t>
      </w:r>
      <w:proofErr w:type="spellEnd"/>
      <w:r w:rsidRPr="00825588">
        <w:t xml:space="preserve"> </w:t>
      </w:r>
      <w:proofErr w:type="spellStart"/>
      <w:r w:rsidRPr="00825588">
        <w:t>Coalition</w:t>
      </w:r>
      <w:proofErr w:type="spellEnd"/>
      <w:r w:rsidRPr="00825588">
        <w:t xml:space="preserve"> indførte et prisloft for råolie og olieprodukter med oprindelse i Rusland med det formål at opretholde globale forsyninger og samtidig begrænse de indtægtsstrømme, som Rusland anvender til at finansiere sin angrebskrig mod Ukraine; der henviser til, at Rusland som reaktion herpå har brugt ca. 9 mia. EUR på at opbygge sin såkaldte "skyggeflåde"; der henviser til, at olietankskibe fyldt med russisk olie hver dag sejler gennem europæiske farvande som led i Ruslands bestræbelser på at unddrage sig EU's og G7-landenes sanktioner;</w:t>
      </w:r>
    </w:p>
    <w:p w:rsidR="001B1779" w:rsidRPr="00825588" w:rsidRDefault="001B1779" w:rsidP="001B1779">
      <w:pPr>
        <w:pStyle w:val="NormalHanging12a"/>
        <w:rPr>
          <w:bCs/>
        </w:rPr>
      </w:pPr>
      <w:r w:rsidRPr="00825588">
        <w:t>D.</w:t>
      </w:r>
      <w:r w:rsidRPr="00825588">
        <w:tab/>
        <w:t>der henviser til, at EU siden begyndelsen af Ruslands omfattende invasion af Ukraine den 24. februar 2022 har indført massive og hidtil usete restriktive foranstaltninger og sanktioner mod Rusland med det formål at underminere Ruslands økonomiske, finansielle og militære evne til at opretholde sin krigsindsats; der henviser til, at Rådets sjette sanktionspakke bl.a. forbyder køb, import og overførsel af råolie og visse olieprodukter transporteret ad søvejen fra Rusland til EU; der henviser til, at Rådets 11. og 12. sanktionspakke omhandler de omgåelsesrisici, som "skyggeflåden" udgør; der henviser til, at Rådet i sin 14. pakke med sanktioner mod russisk olie indførte en ny foranstaltning rettet mod specifikke fartøjer, der bidrager til Ruslands krig mod Ukraine, og som er omfattet af et forbud mod adgang til havne og et forbud mod levering af tjenesteydelser; der henviser til, at EU indtil videre kun har opført 27 fartøjer på sanktionslisten, bl.a. tankskibe, der transporterer russisk olie og udfører farlig og ulovlig skibsfart; der henviser til, at den britiske regering i oktober 2024 indførte sanktioner mod 18 russiske olietankskibe og 4 tankskibe til flydende naturgas (LNG); der henviser til, at udpegelsen af "skyggeflådens" fartøjer til dato har haft den største indvirkning på "skyggeflådens" operationer;</w:t>
      </w:r>
    </w:p>
    <w:p w:rsidR="001B1779" w:rsidRPr="00825588" w:rsidRDefault="001B1779" w:rsidP="001B1779">
      <w:pPr>
        <w:pStyle w:val="NormalHanging12a"/>
        <w:rPr>
          <w:bCs/>
        </w:rPr>
      </w:pPr>
      <w:r w:rsidRPr="00825588">
        <w:t>E.</w:t>
      </w:r>
      <w:r w:rsidRPr="00825588">
        <w:tab/>
        <w:t>der henviser til, at "skyggeflåder" allerede er blevet benyttet af fjendtlige lande som Iran, Venezuela og Nordkorea; der henviser til, at omfanget og perfektioneringen af Ruslands operationer imidlertid gør dette til et særtilfælde, idet Ruslands "skyggeflåde" anslås at operere med omkring 160-200 tankskibe om måneden til at transportere olie med en anslået samlet flåde på 600 fartøjer, som spiller en central rolle i at opretholde den russiske eksport af råolie;</w:t>
      </w:r>
    </w:p>
    <w:p w:rsidR="001B1779" w:rsidRPr="00825588" w:rsidRDefault="001B1779" w:rsidP="001B1779">
      <w:pPr>
        <w:pStyle w:val="NormalHanging12a"/>
      </w:pPr>
      <w:r w:rsidRPr="00825588">
        <w:t>F.</w:t>
      </w:r>
      <w:r w:rsidRPr="00825588">
        <w:tab/>
        <w:t>der henviser til, at den "skyggeflåde", som Rusland anvender til omgåelse, i væsentlig grad har reduceret sanktionsordningens betydning og har gjort det muligt for Rusland at anvende disse indtægter til at finansiere sin angrebskrig mod Ukraine, og at det tydeliggør behovet for at styrke og udvide den internationale koordination af sanktioner;</w:t>
      </w:r>
    </w:p>
    <w:p w:rsidR="001B1779" w:rsidRPr="00825588" w:rsidRDefault="001B1779" w:rsidP="001B1779">
      <w:pPr>
        <w:pStyle w:val="NormalHanging12a"/>
      </w:pPr>
      <w:r w:rsidRPr="00825588">
        <w:t>G.</w:t>
      </w:r>
      <w:r w:rsidRPr="00825588">
        <w:tab/>
        <w:t xml:space="preserve">der henviser til, at "skyggeflåden" anslås til at bestå af ca. 600 tankskibe på verdensplan; der henviser til, at disse skibe er gamle tankskibe, der ofte sejler uden branchespecifik forsikring og hyppigt skifter navne og flagregistreringer, hvilket gør det muligt for Rusland at sælge en betydelig del af sin olie over prisloftet og undergraver regeringernes mulighed for at holde ejerne af tankskibene ansvarlige for oprydningen i tilfælde af olieudslip; der henviser til, at disse skibe generelt er uegnede til sejlads og </w:t>
      </w:r>
      <w:r w:rsidRPr="00825588">
        <w:lastRenderedPageBreak/>
        <w:t>bidrager til den stigende risiko for maritime kollisioner på internationale handelsruter og dermed udgør en alvorlig miljørisiko på grund af den høje risiko for olieudslip, der skader marine økosystemer og kystområder, herunder i beskyttede havområder med særligt følsomme vilde dyr og planter, hvor olieudslip vil få katastrofale konsekvenser; der henviser til, at erfaringerne med tidligere olieudslip forårsaget af tankskibe viser, at skader på kyst- og undervandsøkosystemer samt på dyr og havfugle, der lever i overfladevand, kan vare i årtier; der henviser til, at en udvidelse af Det Europæiske Agentur for Søfartssikkerheds (EMSA) flåde med yderligere fartøjer til håndtering af olieudslip vil være i overensstemmelse med EU's forpligtelse til miljøbeskyttelse, modstandsdygtighed i henhold til den europæiske grønne pagt og med målene for EU's civilbeskyttelsesmekanisme om at øge kapaciteten til hurtig indsats og katastrofeberedskab;</w:t>
      </w:r>
    </w:p>
    <w:p w:rsidR="001B1779" w:rsidRPr="00825588" w:rsidRDefault="001B1779" w:rsidP="001B1779">
      <w:pPr>
        <w:pStyle w:val="NormalHanging12a"/>
      </w:pPr>
      <w:r w:rsidRPr="00825588">
        <w:t>H.</w:t>
      </w:r>
      <w:r w:rsidRPr="00825588">
        <w:tab/>
        <w:t>der henviser til, at de russiske "skyggetankskibe" regelmæssigt foretager skib-til-skib-omladninger af russisk råolie og russiske olieprodukter i territorialfarvande, herunder i Middelhavet; der henviser til, at de i disse operationer overfører og blander russisk olie mellem fartøjer uden at anløbe nogen havn for at skjule, hvor olien kommer fra; der henviser til, at disse operationers nærhed til kysten udgør en høj risiko for miljøskader; der henviser til, at deres satellitbaserede automatiske identifikationssystemer (SAT-AIS) ofte slukkes for at unddrage sig overvågning og officielle inspektioner; der henviser til, at Europas kystlande ville blive særlig hårdt ramt; der henviser til, at olieudslip fra "skyggeflådens" fartøjer i tilfælde af ulykker kan medføre oprensningsomkostninger på milliarder af euro for kystlandene og deres skatteydere, da ejerne af disse fartøjer sjældent kan spores; der henviser til, at olieudslip også kan medføre betydelige økonomiske tab, herunder som følge af nedgang i turisme og fiskeri; der henviser til, at sådanne udslip udgør en betydelig trussel mod vandkvaliteten og det lokale dyreliv, skader de marine økosystemer, forurener forbrugerprodukter såsom skaldyr og dermed udgør en trussel mod menneskers sundhed, spreder yderligere forurening og forstyrrer fiskenes reproduktion;</w:t>
      </w:r>
    </w:p>
    <w:p w:rsidR="001B1779" w:rsidRPr="00825588" w:rsidRDefault="001B1779" w:rsidP="001B1779">
      <w:pPr>
        <w:pStyle w:val="NormalHanging12a"/>
      </w:pPr>
      <w:r w:rsidRPr="00825588">
        <w:t>I.</w:t>
      </w:r>
      <w:r w:rsidRPr="00825588">
        <w:tab/>
        <w:t xml:space="preserve">der henviser til, at forsætlig udtømning af olieaffald over bord er ulovlig i henhold til MARPOL, der er en international traktat, der har til formål at begrænse forurening fra skibe; der henviser til, at Rusland har undertegnet MARPOL; der henviser til, at der er tegn på overtrædelser af MARPOL; der henviser til, at </w:t>
      </w:r>
      <w:proofErr w:type="spellStart"/>
      <w:r w:rsidRPr="00825588">
        <w:t>pålæggelse</w:t>
      </w:r>
      <w:proofErr w:type="spellEnd"/>
      <w:r w:rsidRPr="00825588">
        <w:t xml:space="preserve"> af sanktioner over for individuelle skibe har vist sig at være effektivt, da mulighederne for at handle med olie for skibe, der allerede er blevet sortlistet, blev forringet, efter at de var blevet straffet;</w:t>
      </w:r>
    </w:p>
    <w:p w:rsidR="001B1779" w:rsidRPr="00825588" w:rsidRDefault="001B1779" w:rsidP="001B1779">
      <w:pPr>
        <w:pStyle w:val="NormalHanging12a"/>
        <w:rPr>
          <w:bCs/>
        </w:rPr>
      </w:pPr>
      <w:r w:rsidRPr="00825588">
        <w:t>J.</w:t>
      </w:r>
      <w:r w:rsidRPr="00825588">
        <w:tab/>
        <w:t>der henviser til, at direktiv 2009/20/EF</w:t>
      </w:r>
      <w:r w:rsidRPr="00825588">
        <w:rPr>
          <w:rStyle w:val="FootnoteReference"/>
        </w:rPr>
        <w:footnoteReference w:id="1"/>
      </w:r>
      <w:r w:rsidRPr="00825588">
        <w:t xml:space="preserve"> om rederes forsikring mod </w:t>
      </w:r>
      <w:proofErr w:type="spellStart"/>
      <w:r w:rsidRPr="00825588">
        <w:t>søretlige</w:t>
      </w:r>
      <w:proofErr w:type="spellEnd"/>
      <w:r w:rsidRPr="00825588">
        <w:t xml:space="preserve"> krav har været gældende siden 2009, hvilket sikrer, at alle skibe, der fører en EU-medlemsstats flag, har en forsikring og er i besiddelse af forsikringscertifikater; der henviser til, at et af målene med direktiv 2009/20/EF var at fjerne skibe, der ikke lever op til standarderne; der henviser til, at den internationale konvention om indgriben på det åbne hav i tilfælde af olieforureningsulykker giver landene mulighed for at forhindre, begrænse eller fjerne alvorlig og overhængende fare for deres kyster eller dermed forbundne interesser forårsaget af olieforurening eller trussel herom som følge af en ulykke til søs eller handlinger i forbindelse hermed;</w:t>
      </w:r>
    </w:p>
    <w:p w:rsidR="001B1779" w:rsidRPr="00825588" w:rsidRDefault="001B1779" w:rsidP="001B1779">
      <w:pPr>
        <w:pStyle w:val="NormalHanging12a"/>
        <w:rPr>
          <w:rFonts w:eastAsia="Arial Unicode MS"/>
          <w:u w:color="000000"/>
          <w:bdr w:val="nil"/>
        </w:rPr>
      </w:pPr>
      <w:r w:rsidRPr="00825588">
        <w:rPr>
          <w:u w:color="000000"/>
        </w:rPr>
        <w:lastRenderedPageBreak/>
        <w:t>K.</w:t>
      </w:r>
      <w:r w:rsidRPr="00825588">
        <w:rPr>
          <w:u w:color="000000"/>
        </w:rPr>
        <w:tab/>
        <w:t>der henviser til, at nylige rapporter fra den svenske flåde har fremhævet de sikkerhedsrisici, der er forbundet med "skyggeflådens" aktiviteter og dens mulige anvendelse i hybride operationer mod europæiske lande;</w:t>
      </w:r>
    </w:p>
    <w:p w:rsidR="001B1779" w:rsidRPr="00825588" w:rsidRDefault="001B1779" w:rsidP="001B1779">
      <w:pPr>
        <w:pStyle w:val="NormalHanging12a"/>
        <w:rPr>
          <w:bCs/>
        </w:rPr>
      </w:pPr>
      <w:r w:rsidRPr="00825588">
        <w:t>L.</w:t>
      </w:r>
      <w:r w:rsidRPr="00825588">
        <w:tab/>
        <w:t>der henviser til, at der på trods af forbuddet mod import af olieprodukter, der er raffineret i Rusland, ikke er noget forbud mod import fra tredjelandsraffinaderier, der forarbejder russisk råolie; der henviser til, at "skyggeflåden" leverer russisk råolie til tredjelandsraffinaderier; der henviser til, at EU og G7-landene fortsat importerer olieprodukter fremstillet af russisk olie, f.eks. fra raffinaderier i Tyrkiet;</w:t>
      </w:r>
    </w:p>
    <w:p w:rsidR="001B1779" w:rsidRPr="00825588" w:rsidRDefault="001B1779" w:rsidP="001B1779">
      <w:pPr>
        <w:pStyle w:val="NormalHanging12a"/>
        <w:rPr>
          <w:bCs/>
        </w:rPr>
      </w:pPr>
      <w:r w:rsidRPr="00825588">
        <w:t>M.</w:t>
      </w:r>
      <w:r w:rsidRPr="00825588">
        <w:tab/>
        <w:t>der henviser til, at trafikken med sådanne fartøjer er steget drastisk i løbet af 2024, og at antallet af sejladser med russiske "skyggefartøjer" er mere end fordoblet; der henviser til, at en betydelig del af den russiske olie transporteres via travle internationale skibsruter; der henviser til, at Rusland transporterer langt størstedelen af sin olie fra havne i Østersøen og Sortehavet;</w:t>
      </w:r>
    </w:p>
    <w:p w:rsidR="001B1779" w:rsidRPr="00825588" w:rsidRDefault="001B1779" w:rsidP="001B1779">
      <w:pPr>
        <w:pStyle w:val="NormalHanging12a"/>
        <w:rPr>
          <w:bCs/>
        </w:rPr>
      </w:pPr>
      <w:r w:rsidRPr="00825588">
        <w:t>N.</w:t>
      </w:r>
      <w:r w:rsidRPr="00825588">
        <w:tab/>
        <w:t>der henviser til, at dem, der transporterer olien og forvalter "skyggeflåden", ikke opererer alene; der henviser til, at deres aktiviteter er forbundet med de finansielle transaktioner, der støtter dem; der henviser til, at disse transaktioner kan omfatte enheder, der er omfattet af finansielle sanktioner; der henviser til, at overholdelsen af sanktionsordningen bør analyseres ud fra et holistisk perspektiv for at undgå omgåelse;</w:t>
      </w:r>
    </w:p>
    <w:p w:rsidR="001B1779" w:rsidRPr="00825588" w:rsidRDefault="001B1779" w:rsidP="001B1779">
      <w:pPr>
        <w:pStyle w:val="NormalHanging12a"/>
      </w:pPr>
      <w:r w:rsidRPr="00825588">
        <w:t>O.</w:t>
      </w:r>
      <w:r w:rsidRPr="00825588">
        <w:tab/>
        <w:t>der henviser til, at skibsoperatører har været villige til at omgå sanktionerne ved at registrere deres fartøjer i lande, der ikke er en del af prisloftsaftalen; der henviser til, at Rusland bruger tredjelandsformidlere, organisationer eller enkeltpersoner til at købe nogle "skyggeflåde"-tankskibe; der henviser til, at nogle ejere og forvaltere af skyggeflådens tankskibe og gastankskibe også er registreret i medlemsstaterne;</w:t>
      </w:r>
    </w:p>
    <w:p w:rsidR="001B1779" w:rsidRPr="00825588" w:rsidRDefault="001B1779" w:rsidP="001B1779">
      <w:pPr>
        <w:pStyle w:val="NormalHanging12a"/>
      </w:pPr>
      <w:r w:rsidRPr="00825588">
        <w:t>P.</w:t>
      </w:r>
      <w:r w:rsidRPr="00825588">
        <w:tab/>
        <w:t>der henviser til, at Ruslands skyggeflåde er stærkt afhængig af flere landes meddelagtighed og samarbejde for at omgå sanktionerne, navnlig Kina, Indien og Tyrkiet;</w:t>
      </w:r>
    </w:p>
    <w:p w:rsidR="001B1779" w:rsidRPr="00825588" w:rsidRDefault="001B1779" w:rsidP="001B1779">
      <w:pPr>
        <w:pStyle w:val="NormalHanging12a"/>
      </w:pPr>
      <w:r w:rsidRPr="00825588">
        <w:t>1.</w:t>
      </w:r>
      <w:r w:rsidRPr="00825588">
        <w:tab/>
        <w:t>fordømmer endnu engang på det kraftigste Ruslands uprovokerede, ulovlige og uberettigede angrebskrig mod Ukraine; opfordrer Rusland til øjeblikkeligt at indstille alle militære aktiviteter i Ukraine og til fuldstændigt og betingelsesløst at trække alle styrker, stedfortrædere og militært udstyr tilbage fra hele det internationalt anerkendte område i Ukraine, til at sætte en stopper for sine tvungne deportationer af ukrainske civile og til at løslade alle tilbageholdte og deporterede ukrainere, navnlig børn;</w:t>
      </w:r>
    </w:p>
    <w:p w:rsidR="001B1779" w:rsidRPr="00825588" w:rsidRDefault="001B1779" w:rsidP="001B1779">
      <w:pPr>
        <w:pStyle w:val="NormalHanging12a"/>
      </w:pPr>
      <w:r w:rsidRPr="00825588">
        <w:t>2.</w:t>
      </w:r>
      <w:r w:rsidRPr="00825588">
        <w:tab/>
        <w:t>gentager sin utvetydige støtte til EU's sanktionsordning, som har til formål at underminere det russiske regimes evne til at fortsætte sin angrebskrig mod Ukraine; understreger, at formålet med EU's sanktioner som reaktion på Ruslands angrebskrig mod Ukraine er strategisk at svække det russiske økonomiske og industrielle grundlag, navnlig det militærindustrielle kompleks, med det formål at underminere Den Russiske Føderations evne til fortsat at føre krigen, angribe civilbefolkningen og krænke Ukraines territoriale integritet samt at hæmme Ruslands adgang til militære teknologier og komponenter; bemærker, at Rusland aktivt omgår EU's sanktioner og søger nye måder at omgå dem på, bl.a. ved at drive en "skyggeflåde" af olietankskibe og derfor stadig kan intensivere sin krigsindsats mod Ukraine på kort sigt, navnlig i den kommende vintersæson;</w:t>
      </w:r>
    </w:p>
    <w:p w:rsidR="001B1779" w:rsidRPr="00825588" w:rsidRDefault="001B1779" w:rsidP="001B1779">
      <w:pPr>
        <w:pStyle w:val="NormalHanging12a"/>
      </w:pPr>
      <w:r w:rsidRPr="00825588">
        <w:lastRenderedPageBreak/>
        <w:t>3.</w:t>
      </w:r>
      <w:r w:rsidRPr="00825588">
        <w:tab/>
        <w:t xml:space="preserve">betragter "skyggeflåden" som en vigtig finansiel livline for Rusland i dets ulovlige og uberettigede angrebskrig mod Ukraine og et vigtigt redskab, der er skabt til at omgå EU-sanktionsordningen; fordømmer de risici, som disse usikre og </w:t>
      </w:r>
      <w:proofErr w:type="spellStart"/>
      <w:r w:rsidRPr="00825588">
        <w:t>uforsikrede</w:t>
      </w:r>
      <w:proofErr w:type="spellEnd"/>
      <w:r w:rsidRPr="00825588">
        <w:t xml:space="preserve"> russiske fartøjer udgør for den maritime sikkerhed og for vores europæiske kystmedlemsstater og marine økosystemer; fordømmer Rusland for bevidst at skabe enorme risici for sin egen økonomiske gevinst og uden at tage hensyn til den internationale sikkerhed eller risikoen for uoprettelige miljøskader; opfordrer EU og dets medlemsstater til at intensivere deres bestræbelser på at dæmme op for Ruslands unddragelse og omgåelse af sanktioner og til at gennemføre konkrete foranstaltninger for at garantere den maritime sikkerhed og forebygge miljørisici i europæiske farvande, navnlig i Østersøen;</w:t>
      </w:r>
      <w:r w:rsidRPr="00825588">
        <w:rPr>
          <w:rStyle w:val="Aucun"/>
          <w:color w:val="000000"/>
        </w:rPr>
        <w:t xml:space="preserve"> </w:t>
      </w:r>
      <w:r w:rsidRPr="00825588">
        <w:t>anser skib-til-skib-omladninger på åbent hav for at være højrisikoaktiviteter, der underminerer den internationale maritime sikkerhed og miljøbeskyttelse;</w:t>
      </w:r>
    </w:p>
    <w:p w:rsidR="001B1779" w:rsidRPr="00825588" w:rsidRDefault="001B1779" w:rsidP="001B1779">
      <w:pPr>
        <w:pStyle w:val="NormalHanging12a"/>
      </w:pPr>
      <w:r w:rsidRPr="00825588">
        <w:t>4.</w:t>
      </w:r>
      <w:r w:rsidRPr="00825588">
        <w:tab/>
        <w:t>opfordrer til mere målrettede sanktioner mod "skyggeflåden" i den næste sanktionspakke mod Rusland, såsom udpegelse af alle tænkelige individuelle "skyggeflådefartøjer" samt deres ejere, operatører, forvaltere, regnskaber, banker, forsikringsselskabers osv.;</w:t>
      </w:r>
      <w:r w:rsidRPr="00825588">
        <w:rPr>
          <w:rStyle w:val="Aucun"/>
          <w:color w:val="000000"/>
        </w:rPr>
        <w:t xml:space="preserve"> opfordrer til et øjeblikkeligt forbud mod anvendelse af vestlige fartøjer til transport af russisk olie; </w:t>
      </w:r>
      <w:r w:rsidRPr="00825588">
        <w:t>opfordrer mere generelt til, at den næste EU-sanktionspakke omfatter systematiske sanktioner mod fartøjer, der uden at have en kendt forsikring sejler gennem EU-farvande, med henblik på at beskytte vores farvande og undgå de finansielle byrder i forbindelse med oprydning af olieudslip; opfordrer indtrængende Tjenesten for EU's Optræden Udadtil og EU's sanktionsudsending til at tage kontakt til regeringerne i de lande, hvor de virksomheder, der forvalter "skyggetankskibe", er registreret, og til de lande, hvis antal af flag er steget betydeligt i EU-farvande siden indførelsen af olieprisloftet; opfordrer EU og dets medlemsstater til at henvende sig til disse flagstater for at informere dem om grundlaget for opførelsen på listen og konsekvenserne af en eventuel opførelse på listen, fremhæve de risici og negative miljøvirkninger, der er forbundet med ulovlig skibsfart og højrisikoskibsfart, og minde dem om flagstaternes ansvar; opfordrer indtrængende flagstaterne til at fjerne sanktionerede fartøjer fra deres skibsregistre;</w:t>
      </w:r>
    </w:p>
    <w:p w:rsidR="001B1779" w:rsidRPr="00825588" w:rsidRDefault="001B1779" w:rsidP="001B1779">
      <w:pPr>
        <w:pStyle w:val="NormalHanging12a"/>
      </w:pPr>
      <w:r w:rsidRPr="00825588">
        <w:t>5.</w:t>
      </w:r>
      <w:r w:rsidRPr="00825588">
        <w:tab/>
        <w:t>bemærker, at de flagstater, der bistår den russiske "skyggeflåde", dermed også hjælper den russiske krigsindsats; understreger, at hvis den klassiske diplomatiske indsats mislykkes, bør EU seriøst revurdere sit bilaterale samarbejde med lande uden for EU, der hjælper Rusland med at omgå EU's sanktioner;</w:t>
      </w:r>
    </w:p>
    <w:p w:rsidR="001B1779" w:rsidRPr="00825588" w:rsidRDefault="001B1779" w:rsidP="001B1779">
      <w:pPr>
        <w:pStyle w:val="NormalHanging12a"/>
        <w:rPr>
          <w:rStyle w:val="Aucun"/>
          <w:color w:val="000000"/>
        </w:rPr>
      </w:pPr>
      <w:r w:rsidRPr="00825588">
        <w:rPr>
          <w:rStyle w:val="Aucun"/>
          <w:color w:val="000000"/>
        </w:rPr>
        <w:t>6.</w:t>
      </w:r>
      <w:r w:rsidRPr="00825588">
        <w:rPr>
          <w:rStyle w:val="Aucun"/>
          <w:color w:val="000000"/>
        </w:rPr>
        <w:tab/>
      </w:r>
      <w:r w:rsidRPr="00825588">
        <w:t xml:space="preserve">fordømmer de europæiske rederes involvering i skabelsen af Ruslands "skyggeflåde"; </w:t>
      </w:r>
      <w:r w:rsidRPr="00825588">
        <w:rPr>
          <w:rStyle w:val="Aucun"/>
          <w:color w:val="000000"/>
        </w:rPr>
        <w:t xml:space="preserve">fordømmer adfærden hos stater, udbydere af juridiske tjenesteydelser, andre enheder og enkeltpersoner, der hjælper Rusland med at omgå eller afbøde EU's sanktioner; </w:t>
      </w:r>
      <w:r w:rsidRPr="00825588">
        <w:t>minder om, at overtrædelse af sanktionerne er en forbrydelse på EU-plan og har en alvorlig indvirkning på EU's finansielle interesser; opfordrer til, at restriktionerne for salg af fartøjer udvides og håndhæves, og til, at salg af tankskibe til lande, der letter handelen med Rusland, forbydes;</w:t>
      </w:r>
    </w:p>
    <w:p w:rsidR="001B1779" w:rsidRPr="00825588" w:rsidRDefault="001B1779" w:rsidP="001B1779">
      <w:pPr>
        <w:pStyle w:val="NormalHanging12a"/>
        <w:rPr>
          <w:bCs/>
        </w:rPr>
      </w:pPr>
      <w:r w:rsidRPr="00825588">
        <w:t>7.</w:t>
      </w:r>
      <w:r w:rsidRPr="00825588">
        <w:tab/>
        <w:t>opfordrer til øgede EU-dækkende foranstaltninger for at sikre strengere håndhævelse og udvidelse af sanktioner, herunder øjeblikkelig inspektion af fartøjer, der opererer i EU-farvande, med henblik på at kontrollere deres forsikringsdækning og overholdelse af IMO-kravene; opfordrer medlemsstaterne til at vurdere og styrke deres administrative kapacitet for at sikre en hurtig gennemførelse og streng håndhævelse af EU's sanktioner;</w:t>
      </w:r>
    </w:p>
    <w:p w:rsidR="001B1779" w:rsidRPr="00825588" w:rsidRDefault="001B1779" w:rsidP="001B1779">
      <w:pPr>
        <w:pStyle w:val="NormalHanging12a"/>
      </w:pPr>
      <w:r w:rsidRPr="00825588">
        <w:t>8.</w:t>
      </w:r>
      <w:r w:rsidRPr="00825588">
        <w:tab/>
        <w:t xml:space="preserve">opfordrer Kommissionen til inden for rammerne af EU's samarbejde med IMO at træffe </w:t>
      </w:r>
      <w:r w:rsidRPr="00825588">
        <w:lastRenderedPageBreak/>
        <w:t>foranstaltninger til at forebygge og begrænse "skyggeflådens" aktiviteter; opfordrer til streng gennemførelse af IMO-forsamlingens resolution A.1192(33), som blev vedtaget i december 2023 for at bekæmpe skadelige maritime operationer, navnlig forpligtelsen for fartøjer til at indberette alle skib-til-skib-omladninger til deres flagstater og skærpede inspektioner i havne af mistænkelige skibe; opfordrer EU og dets medlemsstater til at begrænse russiske "skyggeflådefartøjer" i at få adgang til EU-farvande; understreger, at Det Europæiske Agentur for Søfartssikkerhed skal udnyttes fuldt ud for at hjælpe medlemsstaterne med at identificere skibe, der er omfattet af sanktioner, og overvåge mistænkelige skibes bevægelser; opfordrer navnlig EU til at udarbejde en omfattende liste over fartøjer, der tilhører den russiske "skyggeflåde", til at foretage målrettede inspektioner, herunder til havs, og til at pålægge sanktioner, der også resulterer i, at fartøjer permanent eller midlertidigt blokeres af administrative årsager;</w:t>
      </w:r>
    </w:p>
    <w:p w:rsidR="001B1779" w:rsidRPr="00825588" w:rsidRDefault="001B1779" w:rsidP="001B1779">
      <w:pPr>
        <w:pStyle w:val="NormalHanging12a"/>
      </w:pPr>
      <w:r w:rsidRPr="00825588">
        <w:t>9.</w:t>
      </w:r>
      <w:r w:rsidRPr="00825588">
        <w:tab/>
        <w:t xml:space="preserve">opfordrer EU og dets medlemsstater til nøje at overvåge gennemførelsen af direktiv 2009/20/EF om rederes forsikring mod </w:t>
      </w:r>
      <w:proofErr w:type="spellStart"/>
      <w:r w:rsidRPr="00825588">
        <w:t>søretlige</w:t>
      </w:r>
      <w:proofErr w:type="spellEnd"/>
      <w:r w:rsidRPr="00825588">
        <w:t xml:space="preserve"> krav for at forhindre </w:t>
      </w:r>
      <w:proofErr w:type="spellStart"/>
      <w:r w:rsidRPr="00825588">
        <w:t>uforsikrede</w:t>
      </w:r>
      <w:proofErr w:type="spellEnd"/>
      <w:r w:rsidRPr="00825588">
        <w:t xml:space="preserve"> fartøjer i at sejle gennem EU-farvande; understreger behovet for styrkede håndhævelsesmekanismer såsom at sætte EU's medlemsstater i stand til at forhindre </w:t>
      </w:r>
      <w:proofErr w:type="spellStart"/>
      <w:r w:rsidRPr="00825588">
        <w:t>uforsikrede</w:t>
      </w:r>
      <w:proofErr w:type="spellEnd"/>
      <w:r w:rsidRPr="00825588">
        <w:t xml:space="preserve"> fartøjer eller fartøjer, der ikke opfylder kravene, i at anløbe EU-havne eller anvende EU-farvande til optankning eller andre tjenester og øge overvågningen af sådanne fartøjer; opfordrer medlemsstaterne til at træffe foranstaltninger til at sikre, at fartøjer, der ikke opfylder kravene, ikke gøres tilgængelige på markedet;</w:t>
      </w:r>
    </w:p>
    <w:p w:rsidR="001B1779" w:rsidRPr="00825588" w:rsidRDefault="001B1779" w:rsidP="001B1779">
      <w:pPr>
        <w:pStyle w:val="NormalHanging12a"/>
      </w:pPr>
      <w:r w:rsidRPr="00825588">
        <w:t>10.</w:t>
      </w:r>
      <w:r w:rsidRPr="00825588">
        <w:tab/>
        <w:t>opfordrer medlemsstaterne til at arbejde tæt sammen med Det Forenede Kongerige om foranstaltninger til at begrænse russiske "skyggeflåde" -fartøjers anvendelse af Den Engelske Kanal; opfordrer lande med internationale stræder til at kræve, at skibe dokumenterer, at de har en beskyttelses- og erstatningsforsikring, og at de overholder minimumssikkerhedsstandarderne; opfordrer alle medlemsstater til at kræve fremlæggelse af oplysninger om forsikringsdækning for olieudslip fra alle fartøjer, der passerer gennem deres farvande, for at sikre gennemsigtighed med hensyn til forsikringsordninger;</w:t>
      </w:r>
    </w:p>
    <w:p w:rsidR="001B1779" w:rsidRPr="00825588" w:rsidRDefault="001B1779" w:rsidP="001B1779">
      <w:pPr>
        <w:pStyle w:val="NormalHanging12a"/>
      </w:pPr>
      <w:r w:rsidRPr="00825588">
        <w:t>11.</w:t>
      </w:r>
      <w:r w:rsidRPr="00825588">
        <w:tab/>
        <w:t xml:space="preserve">opfordrer EU og dets medlemsstater til at styrke overvågningskapaciteten, navnlig drone- og satellitovervågning, herunder gennem brug af </w:t>
      </w:r>
      <w:proofErr w:type="spellStart"/>
      <w:r w:rsidRPr="00825588">
        <w:t>Sentinel</w:t>
      </w:r>
      <w:proofErr w:type="spellEnd"/>
      <w:r w:rsidRPr="00825588">
        <w:t>-satellitbilleder, med henblik på at identificere "skyggeflåde" -fartøjer i EU-farvande og overvåge aktiviteter såsom skib-til-skib-omladninger i strid med EU's direktiver og MARPOL, og til straks at indlede undersøgelser, når der opstår risici for kystområder og marine økosystemer;</w:t>
      </w:r>
    </w:p>
    <w:p w:rsidR="001B1779" w:rsidRPr="00825588" w:rsidRDefault="001B1779" w:rsidP="001B1779">
      <w:pPr>
        <w:pStyle w:val="NormalHanging12a"/>
        <w:rPr>
          <w:bCs/>
        </w:rPr>
      </w:pPr>
      <w:r w:rsidRPr="00825588">
        <w:t>12.</w:t>
      </w:r>
      <w:r w:rsidRPr="00825588">
        <w:tab/>
        <w:t>opfordrer til, at skib-til-skib-omladninger af russisk råolie og russiske olieprodukter i EU's farvande forbydes; anmoder om, at de nødvendige ressourcer til at konstatere og hindre disse omladninger anvendes, herunder ved at forbyde opankring og brændstofpåfyldning af alle sådanne skibe i EU-farvande;</w:t>
      </w:r>
    </w:p>
    <w:p w:rsidR="001B1779" w:rsidRPr="00825588" w:rsidRDefault="001B1779" w:rsidP="001B1779">
      <w:pPr>
        <w:pStyle w:val="NormalHanging12a"/>
      </w:pPr>
      <w:r w:rsidRPr="00825588">
        <w:t>13.</w:t>
      </w:r>
      <w:r w:rsidRPr="00825588">
        <w:tab/>
        <w:t>opfordrer medlemsstaterne til at håndhæve strenge lovforanstaltninger i deres havne og i deres territorialfarvande; opfordrer indtrængende medlemsstaterne til i tilfælde af tankskibe, der potentielt transporterer russisk olie, at gøre fuld brug af deres ret til at lade fartøjerne styres af en lods posteret af den relevante nationale myndighed, foretage kontrol af lastens oprindelse, af de bagvedliggende ejerskabsforhold, af forsikringspapirer og af overholdelse af sikkerhedsstandarder og til at sikre, at fartøjer, der mistænkes for at have omgået sanktioner og overtrådt miljøbestemmelser, udtages til undersøgelse;</w:t>
      </w:r>
    </w:p>
    <w:p w:rsidR="001B1779" w:rsidRPr="00825588" w:rsidRDefault="001B1779" w:rsidP="001B1779">
      <w:pPr>
        <w:pStyle w:val="NormalHanging12a"/>
        <w:rPr>
          <w:rStyle w:val="s2"/>
          <w:color w:val="000000"/>
        </w:rPr>
      </w:pPr>
      <w:r w:rsidRPr="00825588">
        <w:rPr>
          <w:rStyle w:val="s2"/>
          <w:color w:val="000000"/>
        </w:rPr>
        <w:lastRenderedPageBreak/>
        <w:t>14.</w:t>
      </w:r>
      <w:r w:rsidRPr="00825588">
        <w:rPr>
          <w:rStyle w:val="s2"/>
          <w:color w:val="000000"/>
        </w:rPr>
        <w:tab/>
      </w:r>
      <w:r w:rsidRPr="00825588">
        <w:t>opfordrer medlemsstaterne til at udpege havne, der er i stand til at håndtere sanktionsomfattede fartøjer, som transporterer råolie og LNG, og til at beslaglægge ulovlig fragt uden kompensation;</w:t>
      </w:r>
    </w:p>
    <w:p w:rsidR="001B1779" w:rsidRPr="00825588" w:rsidRDefault="001B1779" w:rsidP="001B1779">
      <w:pPr>
        <w:pStyle w:val="NormalHanging12a"/>
      </w:pPr>
      <w:r w:rsidRPr="00825588">
        <w:t>15.</w:t>
      </w:r>
      <w:r w:rsidRPr="00825588">
        <w:tab/>
        <w:t xml:space="preserve">understreger, at virkningen af eksisterende sanktioner og af finansiel og militær støtte til Ukraine fortsat vil blive undergravet, så længe EU importerer russiske fossile brændstoffer; opfordrer derfor EU og dets medlemsstater til at forbyde al import af russiske fossile brændstoffer, herunder LNG; opfordrer EU til at indføre et krav om, at fartøjer, der eksporterer russisk LNG, opføres på </w:t>
      </w:r>
      <w:proofErr w:type="spellStart"/>
      <w:r w:rsidRPr="00825588">
        <w:t>OFAC's</w:t>
      </w:r>
      <w:proofErr w:type="spellEnd"/>
      <w:r w:rsidRPr="00825588">
        <w:t xml:space="preserve"> og EU's sanktionslister, således at de nægtes adgang til havne eller vestlige søfartstjenester; opfordrer EU og dets medlemsstater til at forbyde import af russiske nukleare produkter og opfordrer indtrængende medlemsstaterne til ikke at indgå nye aftaler med Rosatom, dets ledelse eller dets datterselskaber;</w:t>
      </w:r>
    </w:p>
    <w:p w:rsidR="001B1779" w:rsidRPr="00825588" w:rsidRDefault="001B1779" w:rsidP="001B1779">
      <w:pPr>
        <w:pStyle w:val="NormalHanging12a"/>
      </w:pPr>
      <w:r w:rsidRPr="00825588">
        <w:t>16.</w:t>
      </w:r>
      <w:r w:rsidRPr="00825588">
        <w:tab/>
        <w:t xml:space="preserve">opfordrer G7-landene til mere effektivt at håndhæve prisloftet for russisk olie, der transporteres ad søvejen, til i væsentlig grad at sænke olieprisloftet og til at slå ned på de smuthuller, som Rusland bruger til at </w:t>
      </w:r>
      <w:proofErr w:type="spellStart"/>
      <w:r w:rsidRPr="00825588">
        <w:t>omemballere</w:t>
      </w:r>
      <w:proofErr w:type="spellEnd"/>
      <w:r w:rsidRPr="00825588">
        <w:t xml:space="preserve"> og sælge sin olie og olieprodukter til markedspriser; opfordrer EU, dets medlemsstater og dets G7-partnere til at styrke deres samarbejde med handelspartnere for hurtigere og mere effektivt at identificere købere af russisk olie og ophøre med at købe olieprodukter fra dem; opfordrer til, at disse udpegede faciliteter opføres på den målrettede sanktionsliste, og til, at der indføres et fuldstændigt forbud mod reeksporterede russiske raffinerede olieprodukter; opfordrer til harmoniseret afprøvning af oprindelsen af import af fossile brændstoffer, LNG og raffinerede fossile brændstoffer for at forhindre reeksport af russisk energi til EU; opfordrer medlemsstaterne til grundigt at undersøge virksomhedernes overholdelse af eksportrestriktioner for opførte varer og til at pålægge afskrækkende sanktioner;</w:t>
      </w:r>
    </w:p>
    <w:p w:rsidR="001B1779" w:rsidRPr="00825588" w:rsidRDefault="001B1779" w:rsidP="001B1779">
      <w:pPr>
        <w:pStyle w:val="NormalHanging12a"/>
      </w:pPr>
      <w:r w:rsidRPr="00825588">
        <w:t>17.</w:t>
      </w:r>
      <w:r w:rsidRPr="00825588">
        <w:tab/>
        <w:t>anbefaler på det kraftigste, at EU og dets G7-partnere udvider sanktionslisten betydeligt til at omfatte yderligere fartøjer, der omgår deres prislofter og opererer uden at overholde internationale standarder;</w:t>
      </w:r>
      <w:r w:rsidRPr="00825588">
        <w:rPr>
          <w:rStyle w:val="Aucun"/>
          <w:color w:val="000000"/>
        </w:rPr>
        <w:t xml:space="preserve"> </w:t>
      </w:r>
      <w:r w:rsidRPr="00825588">
        <w:t>opfordrer EU og partnerlandene til omhyggeligt at kontrollere tilstrækkeligheden af den forsikring, der dækker olieudslip, når sanktionsrammen anvendes, f.eks. i forbindelse med levering eller fornyelse af registreringer; opfordrer til skærpede krav om rettidig omhu i forbindelse med erhvervelse af forsikring for fartøjer, såsom dokumentation for salgsaftaler, der er i overensstemmelse med prisloftet, eller pålidelige, verificerede kontoudtog osv.;</w:t>
      </w:r>
    </w:p>
    <w:p w:rsidR="001B1779" w:rsidRPr="00825588" w:rsidRDefault="001B1779" w:rsidP="001B1779">
      <w:pPr>
        <w:pStyle w:val="NormalHanging12a"/>
      </w:pPr>
      <w:r w:rsidRPr="00825588">
        <w:t>18.</w:t>
      </w:r>
      <w:r w:rsidRPr="00825588">
        <w:tab/>
        <w:t>opfordrer Kommissionen og medlemsstaterne til at sikre et tilstrækkeligt miljøkatastrofeberedskab, navnlig i forbindelse med store olieudslip, og til at sikre, at medlemsstaternes myndigheder arbejder tæt sammen, både indbyrdes og med Det Europæiske Agentur for Søfartssikkerhed, om at håndtere omfattende grænseoverskridende forureningskatastrofer, herunder ved fortsat at koordinere fortegnelser over udstyr, der er nødvendigt til oprydning; fremhæver, at hændelser af denne art vil resultere i en alvorlig langsigtet miljøforringelse, som i væsentlig grad kan påvirke turismen, fiskeriet og den maritime sektor i de medlemsstater, der grænser op til disse berørte have; opfordrer Kommissionen til at yde yderligere finansiering for at sikre Det Europæiske Agentur for Søfartssikkerhed tilstrækkelige fartøjer til håndtering af olieudslip;</w:t>
      </w:r>
    </w:p>
    <w:p w:rsidR="001B1779" w:rsidRPr="00825588" w:rsidRDefault="001B1779" w:rsidP="001B1779">
      <w:pPr>
        <w:pStyle w:val="NormalHanging12a"/>
      </w:pPr>
      <w:r w:rsidRPr="00825588">
        <w:t>19.</w:t>
      </w:r>
      <w:r w:rsidRPr="00825588">
        <w:tab/>
        <w:t xml:space="preserve">opfordrer Kommissionen til at sikre effektiv gennemførelse og håndhævelse af Europa-Parlamentets og Rådets direktiv 2009/123/EF om ændring af direktiv 2005/35/EF om </w:t>
      </w:r>
      <w:r w:rsidRPr="00825588">
        <w:lastRenderedPageBreak/>
        <w:t>forurening fra skibe og om indførelse af san</w:t>
      </w:r>
      <w:bookmarkStart w:id="6" w:name="_GoBack"/>
      <w:bookmarkEnd w:id="6"/>
      <w:r w:rsidRPr="00825588">
        <w:t>ktioner for overtrædelser</w:t>
      </w:r>
      <w:r w:rsidRPr="00825588">
        <w:rPr>
          <w:rStyle w:val="FootnoteReference"/>
        </w:rPr>
        <w:footnoteReference w:id="2"/>
      </w:r>
      <w:r w:rsidRPr="00825588">
        <w:t>; opfordrer medlemsstaterne til straks at omsætte og gennemføre direktiv (EU) 2024/1226 om, hvad der skal anses for strafbare handlinger og for sanktioner for overtrædelse af Unionens restriktive foranstaltninger</w:t>
      </w:r>
      <w:r w:rsidRPr="00825588">
        <w:rPr>
          <w:rStyle w:val="FootnoteReference"/>
        </w:rPr>
        <w:footnoteReference w:id="3"/>
      </w:r>
      <w:r w:rsidRPr="00825588">
        <w:t>, og til at sikre tilstrækkelige finansielle, tekniske og menneskelige ressourcer til korrekt håndhævelse af EU's restriktive foranstaltninger;</w:t>
      </w:r>
    </w:p>
    <w:p w:rsidR="001B1779" w:rsidRPr="00825588" w:rsidRDefault="001B1779" w:rsidP="001B1779">
      <w:pPr>
        <w:pStyle w:val="NormalHanging12a"/>
      </w:pPr>
      <w:r w:rsidRPr="00825588">
        <w:t>20.</w:t>
      </w:r>
      <w:r w:rsidRPr="00825588">
        <w:tab/>
        <w:t>opfordrer medlemsstaterne og Kommissionen til at samarbejde med internationale partnere og interessenter, herunder inden for skibsfart, energi, forsikring og finansielle sektorer, om at indkredse bedste praksis for afsløring og håndtering af sanktionsomgåelse og afbødning af miljøindvirkninger i EU-farvande;</w:t>
      </w:r>
    </w:p>
    <w:p w:rsidR="001B1779" w:rsidRPr="00825588" w:rsidRDefault="001B1779" w:rsidP="001B1779">
      <w:pPr>
        <w:pStyle w:val="NormalHanging12a"/>
      </w:pPr>
      <w:r w:rsidRPr="00825588">
        <w:t>21.</w:t>
      </w:r>
      <w:r w:rsidRPr="00825588">
        <w:tab/>
        <w:t>opfordrer Kommissionen til at udarbejde klarere retningslinjer og mere robuste standarder for rettidig omhu for EU's virksomheder og finansielle institutioner for at undgå utilsigtede interaktioner med enheder, der er knyttet til "skyggeflåder";</w:t>
      </w:r>
    </w:p>
    <w:p w:rsidR="001B1779" w:rsidRPr="00825588" w:rsidRDefault="001B1779" w:rsidP="001B1779">
      <w:pPr>
        <w:pStyle w:val="NormalHanging12a"/>
      </w:pPr>
      <w:r w:rsidRPr="00825588">
        <w:t>22.</w:t>
      </w:r>
      <w:r w:rsidRPr="00825588">
        <w:tab/>
        <w:t>opfordrer til støtte til det arbejde, der udføres af EU's internationale særlige udsending for gennemførelsen af EU's sanktioner mod omgåelse, med henblik på at forhindre systematisk reeksport af sanktionerede EU-varer til Rusland, hvilket i alvorlig grad undergraver effektiviteten af EU's sanktioner og hindrer de internationale bestræbelser på at bringe krigen til ophør; opfordrer i denne henseende indtrængende alle kandidatlande og potentielle kandidatlande til helt at tilslutte sig EU's sanktioner som reaktion på Ruslands angrebskrig mod Ukraine som et tegn på deres beredskab til at påtage sig forpligtelserne ved EU-medlemskab; gentager sin opfordring til Rådet om at udvide Den Europæiske Anklagemyndigheds beføjelser med henblik på at bekæmpe kriminalitet i form af overtrædelse af EU's restriktive foranstaltninger; opfordrer EU og dets medlemsstater til på EU-plan at styrke og centralisere tilsynet med gennemførelsen af sanktioner og til at udvikle en mekanisme til at forhindre og overvåge omgåelse af sanktioner;</w:t>
      </w:r>
    </w:p>
    <w:p w:rsidR="001B1779" w:rsidRPr="00825588" w:rsidRDefault="001B1779" w:rsidP="001B1779">
      <w:pPr>
        <w:pStyle w:val="NormalHanging12a"/>
      </w:pPr>
      <w:r w:rsidRPr="00825588">
        <w:t>23.</w:t>
      </w:r>
      <w:r w:rsidRPr="00825588">
        <w:tab/>
        <w:t>tilskynder til globale gennemsigtighedsstandarder i forbindelse med registrering af fartøjer for at mindske afhængighed af skuffeselskaber og bekvemmelighedsflag med henblik på at forbedre gennemsigtigheden vedrørende ejerskab af fartøjer;</w:t>
      </w:r>
    </w:p>
    <w:p w:rsidR="001B1779" w:rsidRPr="00825588" w:rsidRDefault="001B1779" w:rsidP="001B1779">
      <w:pPr>
        <w:pStyle w:val="NormalHanging12a"/>
      </w:pPr>
      <w:r w:rsidRPr="00825588">
        <w:t>24.</w:t>
      </w:r>
      <w:r w:rsidRPr="00825588">
        <w:tab/>
        <w:t>opfordrer Kommissionen til at undersøge vedtagelsen af handelspolitiske værktøjer svarende til dem, der anvendes af USA, med fokus på aktører, der opnår markedsfordele på grund af sanktionsordninger og som følge heraf kan operere på unfair vis på EU-markedet;</w:t>
      </w:r>
    </w:p>
    <w:p w:rsidR="001B1779" w:rsidRPr="00825588" w:rsidRDefault="001B1779" w:rsidP="001B1779">
      <w:pPr>
        <w:pStyle w:val="NormalHanging12a"/>
      </w:pPr>
      <w:r w:rsidRPr="00825588">
        <w:t>25.</w:t>
      </w:r>
      <w:r w:rsidRPr="00825588">
        <w:tab/>
        <w:t xml:space="preserve">udtrykker bekymring over det rapporterede overskud i den russiske olieproduktion, som i væsentlig grad overstiger Ruslands kvote som fastsat af Organisationen af Olieeksporterende Lande Plus (OPEC+), hvilket yderligere muliggør omgåelse af det fastsatte prisloft og giver Rusland mulighed for at generere yderligere indtægter; opfordrer EU og dets medlemsstater til nøje at overvåge situationen og træffe passende </w:t>
      </w:r>
      <w:r w:rsidRPr="00825588">
        <w:lastRenderedPageBreak/>
        <w:t>foranstaltninger i samarbejde med EU's internationale partnere;</w:t>
      </w:r>
    </w:p>
    <w:p w:rsidR="00E365E1" w:rsidRPr="00825588" w:rsidRDefault="001B1779" w:rsidP="001F3CE6">
      <w:pPr>
        <w:pStyle w:val="NormalHanging12a"/>
      </w:pPr>
      <w:r w:rsidRPr="00825588">
        <w:t>26.</w:t>
      </w:r>
      <w:r w:rsidRPr="00825588">
        <w:tab/>
        <w:t xml:space="preserve">pålægger sin formand at sende denne beslutning til Rådet, Kommissionen, næstformanden for Kommissionen/Unionens højtstående repræsentant for udenrigsanliggender og sikkerhedspolitik, Ukraines præsident, regering og </w:t>
      </w:r>
      <w:proofErr w:type="spellStart"/>
      <w:r w:rsidRPr="00825588">
        <w:t>Verkhovna</w:t>
      </w:r>
      <w:proofErr w:type="spellEnd"/>
      <w:r w:rsidRPr="00825588">
        <w:t xml:space="preserve"> </w:t>
      </w:r>
      <w:proofErr w:type="spellStart"/>
      <w:r w:rsidRPr="00825588">
        <w:t>Rada</w:t>
      </w:r>
      <w:proofErr w:type="spellEnd"/>
      <w:r w:rsidRPr="00825588">
        <w:t>, Europarådet, Organisationen for Sikkerhed og Samarbejde i Europa, Den Internationale Søfartsorganisation og de russiske myndigheder.</w:t>
      </w:r>
    </w:p>
    <w:sectPr w:rsidR="00E365E1" w:rsidRPr="00825588" w:rsidSect="0082558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E24" w:rsidRPr="00825588" w:rsidRDefault="00A56E24">
      <w:r w:rsidRPr="00825588">
        <w:separator/>
      </w:r>
    </w:p>
  </w:endnote>
  <w:endnote w:type="continuationSeparator" w:id="0">
    <w:p w:rsidR="00A56E24" w:rsidRPr="00825588" w:rsidRDefault="00A56E24">
      <w:r w:rsidRPr="008255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58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58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5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E24" w:rsidRPr="00825588" w:rsidRDefault="00A56E24">
      <w:r w:rsidRPr="00825588">
        <w:separator/>
      </w:r>
    </w:p>
  </w:footnote>
  <w:footnote w:type="continuationSeparator" w:id="0">
    <w:p w:rsidR="00A56E24" w:rsidRPr="00825588" w:rsidRDefault="00A56E24">
      <w:r w:rsidRPr="00825588">
        <w:continuationSeparator/>
      </w:r>
    </w:p>
  </w:footnote>
  <w:footnote w:id="1">
    <w:p w:rsidR="001B1779" w:rsidRPr="00825588" w:rsidRDefault="001B1779" w:rsidP="00825588">
      <w:pPr>
        <w:pStyle w:val="FootnoteText"/>
        <w:ind w:left="567" w:hanging="567"/>
        <w:rPr>
          <w:sz w:val="24"/>
          <w:lang w:val="da-DK"/>
        </w:rPr>
      </w:pPr>
      <w:r w:rsidRPr="00825588">
        <w:rPr>
          <w:rStyle w:val="FootnoteReference"/>
          <w:sz w:val="24"/>
          <w:lang w:val="da-DK"/>
        </w:rPr>
        <w:footnoteRef/>
      </w:r>
      <w:r w:rsidR="00825588" w:rsidRPr="00825588">
        <w:rPr>
          <w:sz w:val="24"/>
          <w:lang w:val="da-DK"/>
        </w:rPr>
        <w:t xml:space="preserve"> </w:t>
      </w:r>
      <w:r w:rsidR="00825588" w:rsidRPr="00825588">
        <w:rPr>
          <w:sz w:val="24"/>
          <w:lang w:val="da-DK"/>
        </w:rPr>
        <w:tab/>
      </w:r>
      <w:r w:rsidRPr="00825588">
        <w:rPr>
          <w:sz w:val="24"/>
          <w:lang w:val="da-DK"/>
        </w:rPr>
        <w:t xml:space="preserve">Europa-Parlamentets og Rådets direktiv 2009/20/EF af 23. april 2009 om rederes forsikring mod </w:t>
      </w:r>
      <w:proofErr w:type="spellStart"/>
      <w:r w:rsidRPr="00825588">
        <w:rPr>
          <w:sz w:val="24"/>
          <w:lang w:val="da-DK"/>
        </w:rPr>
        <w:t>søretlige</w:t>
      </w:r>
      <w:proofErr w:type="spellEnd"/>
      <w:r w:rsidRPr="00825588">
        <w:rPr>
          <w:sz w:val="24"/>
          <w:lang w:val="da-DK"/>
        </w:rPr>
        <w:t xml:space="preserve"> krav (EUT L 131 af 28.5.2009, s. 128), ELI: </w:t>
      </w:r>
      <w:hyperlink r:id="rId1" w:history="1">
        <w:r w:rsidRPr="00825588">
          <w:rPr>
            <w:rStyle w:val="Hyperlink"/>
            <w:sz w:val="24"/>
            <w:lang w:val="da-DK"/>
          </w:rPr>
          <w:t>http://data.europa.eu/eli/dir/2009/20/oj</w:t>
        </w:r>
      </w:hyperlink>
      <w:r w:rsidRPr="00825588">
        <w:rPr>
          <w:sz w:val="24"/>
          <w:lang w:val="da-DK"/>
        </w:rPr>
        <w:t>.</w:t>
      </w:r>
    </w:p>
  </w:footnote>
  <w:footnote w:id="2">
    <w:p w:rsidR="001B1779" w:rsidRPr="00825588" w:rsidRDefault="001B1779" w:rsidP="00825588">
      <w:pPr>
        <w:pStyle w:val="FootnoteText"/>
        <w:ind w:left="567" w:hanging="567"/>
        <w:rPr>
          <w:sz w:val="24"/>
          <w:lang w:val="da-DK"/>
        </w:rPr>
      </w:pPr>
      <w:r w:rsidRPr="00825588">
        <w:rPr>
          <w:rStyle w:val="FootnoteReference"/>
          <w:sz w:val="24"/>
          <w:lang w:val="da-DK"/>
        </w:rPr>
        <w:footnoteRef/>
      </w:r>
      <w:r w:rsidR="00825588" w:rsidRPr="00825588">
        <w:rPr>
          <w:sz w:val="24"/>
          <w:lang w:val="da-DK"/>
        </w:rPr>
        <w:t xml:space="preserve"> </w:t>
      </w:r>
      <w:r w:rsidR="00825588" w:rsidRPr="00825588">
        <w:rPr>
          <w:sz w:val="24"/>
          <w:lang w:val="da-DK"/>
        </w:rPr>
        <w:tab/>
      </w:r>
      <w:r w:rsidRPr="00825588">
        <w:rPr>
          <w:sz w:val="24"/>
          <w:lang w:val="da-DK"/>
        </w:rPr>
        <w:t xml:space="preserve">Europa-Parlamentets og Rådets direktiv 2009/123/EF af 21. oktober 2009 om ændring af direktiv 2005/35/EF om forurening fra skibe og om indførelse af sanktioner for overtrædelser EUT L 280 af 27.10.2009, s. 52 ELI: </w:t>
      </w:r>
      <w:hyperlink r:id="rId2" w:history="1">
        <w:r w:rsidRPr="00825588">
          <w:rPr>
            <w:rStyle w:val="Hyperlink"/>
            <w:sz w:val="24"/>
            <w:lang w:val="da-DK"/>
          </w:rPr>
          <w:t>http://data.europa.eu/eli/dir/2009/123/oj</w:t>
        </w:r>
      </w:hyperlink>
      <w:r w:rsidRPr="00825588">
        <w:rPr>
          <w:sz w:val="24"/>
          <w:lang w:val="da-DK"/>
        </w:rPr>
        <w:t>.</w:t>
      </w:r>
    </w:p>
  </w:footnote>
  <w:footnote w:id="3">
    <w:p w:rsidR="001B1779" w:rsidRPr="00825588" w:rsidRDefault="001B1779" w:rsidP="00825588">
      <w:pPr>
        <w:pStyle w:val="FootnoteText"/>
        <w:ind w:left="567" w:hanging="567"/>
        <w:rPr>
          <w:sz w:val="24"/>
          <w:lang w:val="da-DK"/>
        </w:rPr>
      </w:pPr>
      <w:r w:rsidRPr="00825588">
        <w:rPr>
          <w:rStyle w:val="FootnoteReference"/>
          <w:sz w:val="24"/>
          <w:lang w:val="da-DK"/>
        </w:rPr>
        <w:footnoteRef/>
      </w:r>
      <w:r w:rsidR="00825588" w:rsidRPr="00825588">
        <w:rPr>
          <w:sz w:val="24"/>
          <w:lang w:val="da-DK"/>
        </w:rPr>
        <w:t xml:space="preserve"> </w:t>
      </w:r>
      <w:r w:rsidR="00825588" w:rsidRPr="00825588">
        <w:rPr>
          <w:sz w:val="24"/>
          <w:lang w:val="da-DK"/>
        </w:rPr>
        <w:tab/>
      </w:r>
      <w:r w:rsidRPr="00825588">
        <w:rPr>
          <w:sz w:val="24"/>
          <w:lang w:val="da-DK"/>
        </w:rPr>
        <w:t xml:space="preserve">Europa-Parlamentets og Rådets direktiv (EU) 2024/1226 af 24. april 2024 om, hvad der skal anses for strafbare handlinger og for sanktioner for overtrædelse af Unionens restriktive foranstaltninger og om ændring af direktiv (EU) 2018/1673, EUT L, 2024/1226, 29.4.2024, ELI: </w:t>
      </w:r>
      <w:hyperlink r:id="rId3" w:history="1">
        <w:r w:rsidRPr="00825588">
          <w:rPr>
            <w:rStyle w:val="Hyperlink"/>
            <w:sz w:val="24"/>
            <w:lang w:val="da-DK"/>
          </w:rPr>
          <w:t>http://data.europa.eu/eli/dir/2024/1226/oj</w:t>
        </w:r>
      </w:hyperlink>
      <w:r w:rsidRPr="00825588">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5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5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5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2024"/>
    <w:docVar w:name="dvlangue" w:val="DA"/>
    <w:docVar w:name="dvnumam" w:val="0"/>
    <w:docVar w:name="dvpe" w:val="764.162"/>
    <w:docVar w:name="dvtitre" w:val="Europa-Parlamentets beslutning af xx.xx 2024 om EU's foranstaltninger mod de russiske skyggeflåder og sikring af fuld håndhævelse af sanktionerne mod Rusland(2024/2885(RSP))"/>
  </w:docVars>
  <w:rsids>
    <w:rsidRoot w:val="00A56E24"/>
    <w:rsid w:val="00002272"/>
    <w:rsid w:val="00064002"/>
    <w:rsid w:val="000677B9"/>
    <w:rsid w:val="000772D6"/>
    <w:rsid w:val="000831BA"/>
    <w:rsid w:val="000A42CC"/>
    <w:rsid w:val="000E7DD9"/>
    <w:rsid w:val="0010095E"/>
    <w:rsid w:val="00125B37"/>
    <w:rsid w:val="00187494"/>
    <w:rsid w:val="001B1779"/>
    <w:rsid w:val="001F32AE"/>
    <w:rsid w:val="001F3CE6"/>
    <w:rsid w:val="002767FF"/>
    <w:rsid w:val="002B18FE"/>
    <w:rsid w:val="002B5493"/>
    <w:rsid w:val="00343214"/>
    <w:rsid w:val="00361C00"/>
    <w:rsid w:val="00395FA1"/>
    <w:rsid w:val="003E15D4"/>
    <w:rsid w:val="00411CCE"/>
    <w:rsid w:val="0041666E"/>
    <w:rsid w:val="00421060"/>
    <w:rsid w:val="00471C19"/>
    <w:rsid w:val="00472BEC"/>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588"/>
    <w:rsid w:val="00842779"/>
    <w:rsid w:val="00865F67"/>
    <w:rsid w:val="00881A7B"/>
    <w:rsid w:val="008840E5"/>
    <w:rsid w:val="00887B3E"/>
    <w:rsid w:val="008C2AC6"/>
    <w:rsid w:val="00930C23"/>
    <w:rsid w:val="0093193B"/>
    <w:rsid w:val="009509D8"/>
    <w:rsid w:val="00950B64"/>
    <w:rsid w:val="009636EA"/>
    <w:rsid w:val="00981893"/>
    <w:rsid w:val="00A1687D"/>
    <w:rsid w:val="00A43E52"/>
    <w:rsid w:val="00A4678D"/>
    <w:rsid w:val="00A56E2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E5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7662D"/>
  <w15:chartTrackingRefBased/>
  <w15:docId w15:val="{450B7950-AA10-4825-BF5B-C9E95A38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B1779"/>
    <w:pPr>
      <w:spacing w:after="240"/>
      <w:ind w:left="567" w:hanging="567"/>
    </w:pPr>
  </w:style>
  <w:style w:type="paragraph" w:customStyle="1" w:styleId="EPComma">
    <w:name w:val="EPComma"/>
    <w:basedOn w:val="Normal"/>
    <w:link w:val="EPCommaChar"/>
    <w:rsid w:val="001B1779"/>
    <w:pPr>
      <w:spacing w:before="480" w:after="240"/>
    </w:pPr>
  </w:style>
  <w:style w:type="character" w:customStyle="1" w:styleId="EPCommaChar">
    <w:name w:val="EPComma Char"/>
    <w:basedOn w:val="DefaultParagraphFont"/>
    <w:link w:val="EPComma"/>
    <w:rsid w:val="001B1779"/>
    <w:rPr>
      <w:sz w:val="24"/>
      <w:lang w:val="da-DK"/>
    </w:rPr>
  </w:style>
  <w:style w:type="character" w:customStyle="1" w:styleId="Aucun">
    <w:name w:val="Aucun"/>
    <w:rsid w:val="001B1779"/>
  </w:style>
  <w:style w:type="character" w:customStyle="1" w:styleId="NormalHanging12aChar">
    <w:name w:val="NormalHanging12a Char"/>
    <w:basedOn w:val="DefaultParagraphFont"/>
    <w:link w:val="NormalHanging12a"/>
    <w:rsid w:val="001B1779"/>
    <w:rPr>
      <w:sz w:val="24"/>
      <w:lang w:val="da-DK"/>
    </w:rPr>
  </w:style>
  <w:style w:type="character" w:customStyle="1" w:styleId="s2">
    <w:name w:val="s2"/>
    <w:basedOn w:val="DefaultParagraphFont"/>
    <w:rsid w:val="001B1779"/>
  </w:style>
  <w:style w:type="character" w:styleId="Hyperlink">
    <w:name w:val="Hyperlink"/>
    <w:basedOn w:val="DefaultParagraphFont"/>
    <w:rsid w:val="001B1779"/>
    <w:rPr>
      <w:color w:val="0563C1" w:themeColor="hyperlink"/>
      <w:u w:val="single"/>
    </w:rPr>
  </w:style>
  <w:style w:type="paragraph" w:styleId="BalloonText">
    <w:name w:val="Balloon Text"/>
    <w:basedOn w:val="Normal"/>
    <w:link w:val="BalloonTextChar"/>
    <w:rsid w:val="000772D6"/>
    <w:rPr>
      <w:rFonts w:ascii="Segoe UI" w:hAnsi="Segoe UI" w:cs="Segoe UI"/>
      <w:sz w:val="18"/>
      <w:szCs w:val="18"/>
    </w:rPr>
  </w:style>
  <w:style w:type="character" w:customStyle="1" w:styleId="BalloonTextChar">
    <w:name w:val="Balloon Text Char"/>
    <w:basedOn w:val="DefaultParagraphFont"/>
    <w:link w:val="BalloonText"/>
    <w:rsid w:val="000772D6"/>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D8277-EA5E-4805-B9E4-DA6633480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3815</Words>
  <Characters>23551</Characters>
  <Application>Microsoft Office Word</Application>
  <DocSecurity>0</DocSecurity>
  <Lines>785</Lines>
  <Paragraphs>448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JENSEN Pia Gunnersen</cp:lastModifiedBy>
  <cp:revision>2</cp:revision>
  <cp:lastPrinted>2004-11-19T15:42:00Z</cp:lastPrinted>
  <dcterms:created xsi:type="dcterms:W3CDTF">2024-12-09T10:38:00Z</dcterms:created>
  <dcterms:modified xsi:type="dcterms:W3CDTF">2024-12-09T10:38:00Z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P10_TA-PROV(2024)0036_B10-0161_2024_</vt:lpwstr>
  </property>
  <property fmtid="{D5CDD505-2E9C-101B-9397-08002B2CF9AE}" pid="4" name="&lt;Type&gt;">
    <vt:lpwstr>RR</vt:lpwstr>
  </property>
</Properties>
</file>