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715D5" w:rsidTr="0010095E">
        <w:trPr>
          <w:trHeight w:hRule="exact" w:val="1418"/>
        </w:trPr>
        <w:tc>
          <w:tcPr>
            <w:tcW w:w="6804" w:type="dxa"/>
            <w:shd w:val="clear" w:color="auto" w:fill="auto"/>
            <w:vAlign w:val="center"/>
          </w:tcPr>
          <w:p w:rsidR="00751A4A" w:rsidRPr="005715D5" w:rsidRDefault="00BC6D31" w:rsidP="0010095E">
            <w:pPr>
              <w:pStyle w:val="EPName"/>
            </w:pPr>
            <w:r w:rsidRPr="005715D5">
              <w:t>Euroopan parlamentti</w:t>
            </w:r>
          </w:p>
          <w:p w:rsidR="00751A4A" w:rsidRPr="005715D5" w:rsidRDefault="005F1B17" w:rsidP="005F1B17">
            <w:pPr>
              <w:pStyle w:val="EPTerm"/>
              <w:rPr>
                <w:rStyle w:val="HideTWBExt"/>
                <w:noProof w:val="0"/>
                <w:vanish w:val="0"/>
                <w:color w:val="auto"/>
              </w:rPr>
            </w:pPr>
            <w:r w:rsidRPr="005715D5">
              <w:t>2024</w:t>
            </w:r>
            <w:r w:rsidR="00817416" w:rsidRPr="005715D5">
              <w:t>-202</w:t>
            </w:r>
            <w:r w:rsidRPr="005715D5">
              <w:t>9</w:t>
            </w:r>
          </w:p>
        </w:tc>
        <w:tc>
          <w:tcPr>
            <w:tcW w:w="2268" w:type="dxa"/>
            <w:shd w:val="clear" w:color="auto" w:fill="auto"/>
          </w:tcPr>
          <w:p w:rsidR="00751A4A" w:rsidRPr="005715D5" w:rsidRDefault="00187494" w:rsidP="0010095E">
            <w:pPr>
              <w:pStyle w:val="EPLogo"/>
            </w:pPr>
            <w:r w:rsidRPr="005715D5">
              <w:rPr>
                <w:noProof/>
                <w:lang w:eastAsia="fi-FI"/>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5715D5" w:rsidRDefault="00D058B8" w:rsidP="004C5D52">
      <w:pPr>
        <w:pStyle w:val="LineTop"/>
      </w:pPr>
    </w:p>
    <w:p w:rsidR="00680577" w:rsidRPr="005715D5" w:rsidRDefault="00BC6D31" w:rsidP="00680577">
      <w:pPr>
        <w:pStyle w:val="EPBodyTA1"/>
      </w:pPr>
      <w:r w:rsidRPr="005715D5">
        <w:t>HYVÄKSYTYT TEKSTIT</w:t>
      </w:r>
    </w:p>
    <w:p w:rsidR="00D058B8" w:rsidRPr="005715D5" w:rsidRDefault="00D058B8" w:rsidP="00D058B8">
      <w:pPr>
        <w:pStyle w:val="LineBottom"/>
      </w:pPr>
    </w:p>
    <w:p w:rsidR="00BC6D31" w:rsidRPr="005715D5" w:rsidRDefault="00BC6D31" w:rsidP="00BC6D31">
      <w:pPr>
        <w:pStyle w:val="ATHeading1"/>
      </w:pPr>
      <w:bookmarkStart w:id="0" w:name="TANumber"/>
      <w:r w:rsidRPr="005715D5">
        <w:t>P10_</w:t>
      </w:r>
      <w:proofErr w:type="gramStart"/>
      <w:r w:rsidRPr="005715D5">
        <w:t>TA(</w:t>
      </w:r>
      <w:proofErr w:type="gramEnd"/>
      <w:r w:rsidRPr="005715D5">
        <w:t>2024)00</w:t>
      </w:r>
      <w:r w:rsidR="005823BA" w:rsidRPr="005715D5">
        <w:t>36</w:t>
      </w:r>
      <w:bookmarkEnd w:id="0"/>
    </w:p>
    <w:p w:rsidR="00BC6D31" w:rsidRPr="005715D5" w:rsidRDefault="00BC6D31" w:rsidP="00BC6D31">
      <w:pPr>
        <w:pStyle w:val="ATHeading2"/>
      </w:pPr>
      <w:bookmarkStart w:id="1" w:name="title"/>
      <w:r w:rsidRPr="005715D5">
        <w:t>EU:n toim</w:t>
      </w:r>
      <w:r w:rsidR="00ED7224" w:rsidRPr="005715D5">
        <w:t>et</w:t>
      </w:r>
      <w:r w:rsidRPr="005715D5">
        <w:t xml:space="preserve"> Venäjän varjolaivaston torjumiseksi ja Venäjän vastaisten pakotteiden täysimääräisen täytäntöönpanon varmistami</w:t>
      </w:r>
      <w:r w:rsidR="00ED7224" w:rsidRPr="005715D5">
        <w:t>nen</w:t>
      </w:r>
      <w:bookmarkEnd w:id="1"/>
    </w:p>
    <w:p w:rsidR="00BC6D31" w:rsidRPr="005715D5" w:rsidRDefault="00BC6D31" w:rsidP="00BC6D31">
      <w:pPr>
        <w:rPr>
          <w:i/>
          <w:vanish/>
        </w:rPr>
      </w:pPr>
      <w:r w:rsidRPr="005715D5">
        <w:rPr>
          <w:i/>
        </w:rPr>
        <w:fldChar w:fldCharType="begin"/>
      </w:r>
      <w:r w:rsidRPr="005715D5">
        <w:rPr>
          <w:i/>
        </w:rPr>
        <w:instrText xml:space="preserve"> TC"(</w:instrText>
      </w:r>
      <w:bookmarkStart w:id="2" w:name="DocNumber"/>
      <w:r w:rsidRPr="005715D5">
        <w:rPr>
          <w:i/>
        </w:rPr>
        <w:instrText>B10-0161</w:instrText>
      </w:r>
      <w:r w:rsidR="00ED7224" w:rsidRPr="005715D5">
        <w:rPr>
          <w:i/>
        </w:rPr>
        <w:instrText>, 0162, 0163, 0164 ja 0166</w:instrText>
      </w:r>
      <w:r w:rsidRPr="005715D5">
        <w:rPr>
          <w:i/>
        </w:rPr>
        <w:instrText>/2024</w:instrText>
      </w:r>
      <w:bookmarkEnd w:id="2"/>
      <w:r w:rsidRPr="005715D5">
        <w:rPr>
          <w:i/>
        </w:rPr>
        <w:instrText xml:space="preserve">)"\l3 \n&gt; \* MERGEFORMAT </w:instrText>
      </w:r>
      <w:r w:rsidRPr="005715D5">
        <w:rPr>
          <w:i/>
        </w:rPr>
        <w:fldChar w:fldCharType="end"/>
      </w:r>
    </w:p>
    <w:p w:rsidR="00BC6D31" w:rsidRPr="005715D5" w:rsidRDefault="00BC6D31" w:rsidP="00BC6D31">
      <w:pPr>
        <w:rPr>
          <w:vanish/>
        </w:rPr>
      </w:pPr>
      <w:bookmarkStart w:id="3" w:name="PE"/>
      <w:r w:rsidRPr="005715D5">
        <w:rPr>
          <w:vanish/>
        </w:rPr>
        <w:t>PE764.162</w:t>
      </w:r>
      <w:bookmarkEnd w:id="3"/>
    </w:p>
    <w:p w:rsidR="00BC6D31" w:rsidRPr="005715D5" w:rsidRDefault="00BC6D31" w:rsidP="00BC6D31">
      <w:pPr>
        <w:pStyle w:val="ATHeading3"/>
      </w:pPr>
      <w:bookmarkStart w:id="4" w:name="Sujet"/>
      <w:r w:rsidRPr="005715D5">
        <w:t>Euroopan parlamentin päätöslauselma 14. marraskuuta 2024 EU:n toimista Venäjän varjolaivaston torjumiseksi ja Venäjän vastaisten pakotteiden täysimääräisen täytäntöönpanon varmistamisesta</w:t>
      </w:r>
      <w:bookmarkEnd w:id="4"/>
      <w:r w:rsidRPr="005715D5">
        <w:t xml:space="preserve"> </w:t>
      </w:r>
      <w:bookmarkStart w:id="5" w:name="References"/>
      <w:r w:rsidRPr="005715D5">
        <w:t>(2024/2885(RSP))</w:t>
      </w:r>
      <w:bookmarkEnd w:id="5"/>
    </w:p>
    <w:p w:rsidR="00CE3EF8" w:rsidRPr="005715D5" w:rsidRDefault="00CE3EF8" w:rsidP="00CE3EF8">
      <w:pPr>
        <w:pStyle w:val="EPComma"/>
        <w:widowControl/>
      </w:pPr>
      <w:bookmarkStart w:id="6" w:name="TextBodyBegin"/>
      <w:bookmarkEnd w:id="6"/>
      <w:r w:rsidRPr="005715D5">
        <w:rPr>
          <w:i/>
        </w:rPr>
        <w:t>Euroopan parlamentti</w:t>
      </w:r>
      <w:r w:rsidRPr="005715D5">
        <w:t>, joka</w:t>
      </w:r>
    </w:p>
    <w:p w:rsidR="00CE3EF8" w:rsidRPr="005715D5" w:rsidRDefault="00CE3EF8" w:rsidP="00CE3EF8">
      <w:pPr>
        <w:pStyle w:val="NormalHanging12a"/>
        <w:widowControl/>
      </w:pPr>
      <w:r w:rsidRPr="005715D5">
        <w:t>–</w:t>
      </w:r>
      <w:r w:rsidRPr="005715D5">
        <w:tab/>
        <w:t>ottaa huomioon aiemmat päätöslauselmansa Venäjästä ja Ukrainasta ja erityisesti ne, jotka on annettu Venäjän Ukrainaa vastaan käymän hyökkäyssodan kärjistyttyä helmikuussa 2022,</w:t>
      </w:r>
      <w:bookmarkStart w:id="7" w:name="_GoBack"/>
      <w:bookmarkEnd w:id="7"/>
    </w:p>
    <w:p w:rsidR="00CE3EF8" w:rsidRPr="005715D5" w:rsidRDefault="00CE3EF8" w:rsidP="00CE3EF8">
      <w:pPr>
        <w:pStyle w:val="NormalHanging12a"/>
        <w:widowControl/>
      </w:pPr>
      <w:r w:rsidRPr="005715D5">
        <w:t>–</w:t>
      </w:r>
      <w:r w:rsidRPr="005715D5">
        <w:tab/>
        <w:t>ottaa huomioon EU:n helmikuusta 2022 lähtien hyväksymät 14 peräkkäistä Venäjän vastaisten pakotteiden pakettia,</w:t>
      </w:r>
    </w:p>
    <w:p w:rsidR="00CE3EF8" w:rsidRPr="005715D5" w:rsidRDefault="00CE3EF8" w:rsidP="00CE3EF8">
      <w:pPr>
        <w:pStyle w:val="NormalHanging12a"/>
        <w:widowControl/>
      </w:pPr>
      <w:r w:rsidRPr="005715D5">
        <w:t>–</w:t>
      </w:r>
      <w:r w:rsidRPr="005715D5">
        <w:tab/>
        <w:t>ottaa huomioon Yhdistyneiden kansakuntien peruskirjan ja Yhdistyneiden kansakuntien merioikeusyleissopimuksen,</w:t>
      </w:r>
    </w:p>
    <w:p w:rsidR="00CE3EF8" w:rsidRPr="005715D5" w:rsidRDefault="00CE3EF8" w:rsidP="00CE3EF8">
      <w:pPr>
        <w:pStyle w:val="NormalHanging12a"/>
        <w:widowControl/>
      </w:pPr>
      <w:r w:rsidRPr="005715D5">
        <w:t>–</w:t>
      </w:r>
      <w:r w:rsidRPr="005715D5">
        <w:tab/>
        <w:t>ottaa huomioon kansainvälisen yleissopimuksen aluksista aiheutuvan meren pilaantumisen ehkäisemisestä (MARPOL), kansainvälisen merenkulkijoiden koulutusta, pätevyyskirjoja ja vahdinpitoa koskevan yleissopimuksen, kansainvälisen yleissopimuksen öljyn aiheuttamasta pilaantumisvahingosta johtuvasta siviilioikeudellisesta vastuusta sekä muut asiaa koskevat Kansainvälisen merenkulkujärjestön (IMO) yleissopimukset,</w:t>
      </w:r>
    </w:p>
    <w:p w:rsidR="00CE3EF8" w:rsidRPr="005715D5" w:rsidRDefault="00CE3EF8" w:rsidP="00CE3EF8">
      <w:pPr>
        <w:pStyle w:val="NormalHanging12a"/>
        <w:widowControl/>
      </w:pPr>
      <w:r w:rsidRPr="005715D5">
        <w:t>–</w:t>
      </w:r>
      <w:r w:rsidRPr="005715D5">
        <w:tab/>
        <w:t>ottaa huomioon 6. joulukuuta 2023 hyväksytyn IMO:n yleiskokouksen päätöslauselman A.1192(33), jossa kehotetaan jäsenvaltioita ja kaikkia asiaankuuluvia sidosryhmiä edistämään toimia, joilla ehkäistään ”pimeän laivaston” eli ”varjolaivaston” laitonta toimintaa merenkulkualalla,</w:t>
      </w:r>
    </w:p>
    <w:p w:rsidR="00CE3EF8" w:rsidRPr="005715D5" w:rsidRDefault="00CE3EF8" w:rsidP="00CE3EF8">
      <w:pPr>
        <w:pStyle w:val="NormalHanging12a"/>
        <w:widowControl/>
      </w:pPr>
      <w:r w:rsidRPr="005715D5">
        <w:t>–</w:t>
      </w:r>
      <w:r w:rsidRPr="005715D5">
        <w:tab/>
        <w:t>ottaa huomioon 6. joulukuuta 2023 annetun G7-maiden johtajien julkilausuman,</w:t>
      </w:r>
    </w:p>
    <w:p w:rsidR="00CE3EF8" w:rsidRPr="005715D5" w:rsidRDefault="00CE3EF8" w:rsidP="00CE3EF8">
      <w:pPr>
        <w:pStyle w:val="NormalHanging12a"/>
        <w:widowControl/>
      </w:pPr>
      <w:r w:rsidRPr="005715D5">
        <w:t>–</w:t>
      </w:r>
      <w:r w:rsidRPr="005715D5">
        <w:tab/>
        <w:t>ottaa huomioon työjärjestyksen 136 artiklan 2 ja 4 kohdan,</w:t>
      </w:r>
    </w:p>
    <w:p w:rsidR="00CE3EF8" w:rsidRPr="005715D5" w:rsidRDefault="00CE3EF8" w:rsidP="00CE3EF8">
      <w:pPr>
        <w:pStyle w:val="NormalHanging12a"/>
        <w:widowControl/>
      </w:pPr>
      <w:r w:rsidRPr="005715D5">
        <w:t>A.</w:t>
      </w:r>
      <w:r w:rsidRPr="005715D5">
        <w:tab/>
        <w:t xml:space="preserve">ottaa huomioon, että Venäjä on 24. helmikuuta 2022 lähtien käynyt laitonta, provosoimatonta ja perusteetonta täysimittaista hyökkäyssotaa Ukrainaa vastaan ja jatkanut siten toimintaa, jonka se aloitti vuonna 2014 liittäessään alueeseensa Krimin ja </w:t>
      </w:r>
      <w:r w:rsidRPr="005715D5">
        <w:lastRenderedPageBreak/>
        <w:t xml:space="preserve">miehittäessään sen jälkeen osia Donetskin ja </w:t>
      </w:r>
      <w:proofErr w:type="spellStart"/>
      <w:r w:rsidRPr="005715D5">
        <w:t>Luhanskin</w:t>
      </w:r>
      <w:proofErr w:type="spellEnd"/>
      <w:r w:rsidRPr="005715D5">
        <w:t xml:space="preserve"> alueista; ottaa huomioon, että EU on tuominnut jyrkästi Venäjän hyökkäyssodan Ukrainaa vastaan sen alusta lähtien ja kehottanut Venäjää lopettamaan nämä hyökkäykset ja kunnioittamaan Ukrainan alueellista koskemattomuutta;</w:t>
      </w:r>
    </w:p>
    <w:p w:rsidR="00CE3EF8" w:rsidRPr="005715D5" w:rsidRDefault="00CE3EF8" w:rsidP="00CE3EF8">
      <w:pPr>
        <w:pStyle w:val="NormalHanging12a"/>
        <w:widowControl/>
      </w:pPr>
      <w:r w:rsidRPr="005715D5">
        <w:t>B.</w:t>
      </w:r>
      <w:r w:rsidRPr="005715D5">
        <w:tab/>
        <w:t>ottaa huomioon, että Venäjä on yksi maailman suurimmista öljyntuottajista; ottaa huomioon, että Venäjä on vienti- ja talousarviotulojensa suhteen erittäin riippuvainen öljyn myynnistä, joten öljy on keskeinen rahoituslähde sen Ukrainassa käymässä sodassa;</w:t>
      </w:r>
    </w:p>
    <w:p w:rsidR="00CE3EF8" w:rsidRPr="005715D5" w:rsidRDefault="00CE3EF8" w:rsidP="00CE3EF8">
      <w:pPr>
        <w:pStyle w:val="NormalHanging12a"/>
        <w:widowControl/>
      </w:pPr>
      <w:r w:rsidRPr="005715D5">
        <w:t>C.</w:t>
      </w:r>
      <w:r w:rsidRPr="005715D5">
        <w:tab/>
        <w:t>ottaa huomioon, että EU ja G7+-ryhmän hintakattokoalition muut jäsenet ovat asettaneet hintakaton Venäjältä peräisin olevalle raakaöljylle ja öljytuotteille tarkoituksenaan säilyttää maailmanlaajuinen saatavuus ja samalla rajoittaa tulovirtoja, joista Venäjä rahoittaa hyökkäyssotaansa Ukrainaa vastaan; ottaa huomioon, että vastatoimena tähän Venäjä on käyttänyt arviolta 9 miljardia euroa nk. varjolaivastonsa kokoamiseen; toteaa, että Euroopan vesillä purjehtii joka päivä venäläisellä öljyllä lastattuja öljysäiliöaluksia osana Venäjän pyrkimyksiä välttää EU:n ja G7-maiden pakotteet;</w:t>
      </w:r>
    </w:p>
    <w:p w:rsidR="00CE3EF8" w:rsidRPr="005715D5" w:rsidRDefault="00CE3EF8" w:rsidP="00CE3EF8">
      <w:pPr>
        <w:pStyle w:val="NormalHanging12a"/>
        <w:widowControl/>
        <w:rPr>
          <w:bCs/>
        </w:rPr>
      </w:pPr>
      <w:r w:rsidRPr="005715D5">
        <w:t>D.</w:t>
      </w:r>
      <w:r w:rsidRPr="005715D5">
        <w:tab/>
        <w:t>ottaa huomioon, että Venäjän aloitettua täysimittaisen hyökkäyksen Ukrainassa 24. helmikuuta 2022 EU on asettanut Venäjää vastaan laajoja ja ennennäkemättömiä rajoittavia toimenpiteitä ja pakotteita, joiden tarkoituksena on ollut heikentää Venäjän taloudellista, rahoituksellista ja sotilaallista kykyä jatkaa sotatoimia; ottaa huomioon, että neuvoston kuudennessa pakotepaketissa muun muassa kielletään meriteitse toimitettavan raakaöljyn ja tiettyjen öljytuotteiden osto, tuonti ja siirto Venäjältä EU:hun; toteaa, että neuvoston 11. ja 12. pakotepaketilla puututaan varjolaivaston aiheuttamiin pakotteiden kiertämisen riskeihin; ottaa huomioon, että venäläistä öljyä koskevassa 14. pakotepaketissa neuvosto otti käyttöön uuden toimenpiteen, joka kohdistuu tiettyihin aluksiin, jotka edistävät Venäjän Ukrainaa vastaan käymää sotaa ja joihin sovelletaan satamiin pääsyä koskevaa kieltoa ja palvelujen tarjoamisen kieltoa; ottaa huomioon, että EU on tähän mennessä merkinnyt luetteloon vain 27 alusta, joihin kuuluu muun muassa venäläistä öljyä kuljettavia säiliöaluksia, jotka harjoittavat vaarallisia ja laittomia merenkulkukäytäntöjä; ottaa huomioon, että Yhdistyneen kuningaskunnan hallitus määräsi lokakuussa 2024 pakotteita 18 venäläiselle öljysäiliöalukselle ja neljälle nesteytettyä maakaasua (LNG) kuljettavalle säiliöalukselle; toteaa, että varjolaivaston alusten nimeämisellä on ollut tähänastisista toimista suurin vaikutus varjolaivaston toimintaan;</w:t>
      </w:r>
    </w:p>
    <w:p w:rsidR="00CE3EF8" w:rsidRPr="005715D5" w:rsidRDefault="00CE3EF8" w:rsidP="00CE3EF8">
      <w:pPr>
        <w:pStyle w:val="NormalHanging12a"/>
        <w:widowControl/>
        <w:rPr>
          <w:bCs/>
        </w:rPr>
      </w:pPr>
      <w:r w:rsidRPr="005715D5">
        <w:t>E.</w:t>
      </w:r>
      <w:r w:rsidRPr="005715D5">
        <w:tab/>
        <w:t>ottaa huomioon, että vihamieliset maat, kuten Iran, Venezuela ja Pohjois-Korea, ovat jo aiemmin käyttäneet varjolaivastoja; toteaa kuitenkin, että Venäjän toiminta on mittakaavaltaan ja kehittyneisyydeltään omaa luokkaansa, sillä Venäjän varjolaivastossa liikennöi kuukausittain arviolta noin 160–200 öljytankkeria ja se käsittää arvioiden mukaan yhteensä 600 alusta, joilla on keskeinen rooli venäläisen raakaöljyn viennin ylläpitämisessä;</w:t>
      </w:r>
    </w:p>
    <w:p w:rsidR="00CE3EF8" w:rsidRPr="005715D5" w:rsidRDefault="00CE3EF8" w:rsidP="00CE3EF8">
      <w:pPr>
        <w:pStyle w:val="NormalHanging12a"/>
        <w:widowControl/>
      </w:pPr>
      <w:r w:rsidRPr="005715D5">
        <w:t>F.</w:t>
      </w:r>
      <w:r w:rsidRPr="005715D5">
        <w:tab/>
        <w:t>ottaa huomioon, että Venäjän takaporttina käyttämä varjolaivasto on heikentänyt merkittävästi pakotejärjestelmän vipuvaikutusta ja mahdollistanut sen, että Venäjä voi edelleen käyttää näitä tuloja Ukrainaa vastaan käymänsä hyökkäyssodan rahoittamiseen, mikä korostaa tarvetta lujittaa ja laajentaa pakotteiden kansainvälistä koordinointia;</w:t>
      </w:r>
    </w:p>
    <w:p w:rsidR="00CE3EF8" w:rsidRPr="005715D5" w:rsidRDefault="00CE3EF8" w:rsidP="00CE3EF8">
      <w:pPr>
        <w:pStyle w:val="NormalHanging12a"/>
        <w:widowControl/>
      </w:pPr>
      <w:r w:rsidRPr="005715D5">
        <w:t>G.</w:t>
      </w:r>
      <w:r w:rsidRPr="005715D5">
        <w:tab/>
        <w:t xml:space="preserve">ottaa huomioon, että varjolaivastoon arvioidaan kuuluvan ainakin 600 säiliöalusta ympäri maailmaa; ottaa huomioon, että kyse on iäkkäämmistä säiliöaluksista, jotka </w:t>
      </w:r>
      <w:r w:rsidRPr="005715D5">
        <w:lastRenderedPageBreak/>
        <w:t>purjehtivat usein ilman öljynkuljetusalusten vakiovakuutusta ja vaihtavat usein nimeä ja lippuvaltiota, ja että sen vuoksi Venäjä pystyy myymään merkittävän osan öljystään hintakaton ylittävään hintaan ja hallitusten on vaikeampi saattaa säiliöalusten omistajia vastuuseen mahdollisten öljyvuotojen puhdistustöistä; huomauttaa, että nämä alukset eivät yleisesti ottaen ole purjehduskelpoisia ja ne lisäävät merialusten törmäysten riskiä kansainvälisillä kauppareiteillä ja aiheuttavat siten vakavan ympäristövaaran, koska niihin liittyy suuri ekosysteemejä ja rannikkoalueita vahingoittavien öljyvuotojen riski, ja toteaa, että tämä koskee myös merensuojelualueita, joiden luonnonvarainen kasvisto ja eläimistö on erityisen herkkää ja joilla öljyvuotojen seuraukset voivat olla tuhoisia; toteaa, että aiemmista säiliöalusten aiheuttamista öljyvuodoista saadut kokemukset ovat osoittaneet, että rannikkoekosysteemeille ja vedenalaisille ekosysteemeille sekä merilinnuille ja vedenpinnan eläimille aiheutuvien vahinkojen vaikutukset voivat säilyä vuosikymmeniä; toteaa, että Euroopan meriturvallisuusviraston (EMSA) laivaston laajentaminen uusilla öljyntorjunta-aluksilla olisi yhdenmukaista EU:n ympäristönsuojelua koskevan sitoumuksen, Euroopan vihreän kehityksen ohjelman mukaisen selviytymiskyvyn sekä nopean toiminnan valmiuksien ja katastrofivalmiuksien edistämistä koskevien EU:n pelastuspalvelumekanismin tavoitteiden kanssa;</w:t>
      </w:r>
    </w:p>
    <w:p w:rsidR="00CE3EF8" w:rsidRPr="005715D5" w:rsidRDefault="00CE3EF8" w:rsidP="00CE3EF8">
      <w:pPr>
        <w:pStyle w:val="NormalHanging12a"/>
        <w:widowControl/>
      </w:pPr>
      <w:r w:rsidRPr="005715D5">
        <w:t>H.</w:t>
      </w:r>
      <w:r w:rsidRPr="005715D5">
        <w:tab/>
        <w:t xml:space="preserve">ottaa huomioon, että venäläiset varjosäiliöalukset suorittavat jatkuvasti alusten välisiä venäläisen raakaöljyn ja öljytuotteiden siirtoja aluevesillä, esimerkiksi Välimerellä; ottaa huomioon, että näissä operaatioissa ne siirtävät ja sekoittavat venäläistä öljyä alusten välillä käymättä missään satamassa salatakseen öljyn alkuperän; toteaa, että nämä operaatiot toteutetaan rannikon läheisyydessä, mistä aiheutuu suuri ympäristövahinkojen riski; toteaa, että alusten satelliittivälitteisen automaattisen tunnistusjärjestelmän (AIS) </w:t>
      </w:r>
      <w:proofErr w:type="spellStart"/>
      <w:r w:rsidRPr="005715D5">
        <w:t>transponderit</w:t>
      </w:r>
      <w:proofErr w:type="spellEnd"/>
      <w:r w:rsidRPr="005715D5">
        <w:t xml:space="preserve"> kytketään usein pois päältä, jotta ne voivat välttyä valvonnalta ja virallisilta tarkastuksilta; ottaa huomioon, että mahdollinen ympäristövahinko kohdistuisi erityisesti Euroopan rannikkovaltioihin; ottaa huomioon, että onnettomuuden sattuessa varjolaivaston alusten öljyvuodot voisivat aiheuttaa rannikkovaltioille ja niiden veronmaksajille miljardien eurojen puhdistuskustannukset, koska näiden alusten omistajia ei useimmiten pystytä jäljittämään; toteaa, että öljyvuodoista voi aiheutua myös merkittäviä taloudellisia tappioita muun muassa matkailu- ja kalastustoiminnan vähentymisen vuoksi; ottaa huomioon, että öljyvuodot ovat merkittävä uhka veden laadulle ja paikalliselle luonnonvaraiselle kasvistolle ja eläimistölle, sillä ne vahingoittavat meriekosysteemejä, saastuttavat kuluttajatuotteita, esimerkiksi äyriäisiä, ja aiheuttavat siten uhan ihmisten terveydelle, pahentavat entisestään pilaantumista ja häiritsevät kalojen lisääntymistä;</w:t>
      </w:r>
    </w:p>
    <w:p w:rsidR="00CE3EF8" w:rsidRPr="005715D5" w:rsidRDefault="00CE3EF8" w:rsidP="00CE3EF8">
      <w:pPr>
        <w:pStyle w:val="NormalHanging12a"/>
        <w:widowControl/>
      </w:pPr>
      <w:r w:rsidRPr="005715D5">
        <w:t>I.</w:t>
      </w:r>
      <w:r w:rsidRPr="005715D5">
        <w:tab/>
        <w:t>huomauttaa, että jäteöljyn tahallinen tyhjentäminen mereen on MARPOL</w:t>
      </w:r>
      <w:r w:rsidRPr="005715D5">
        <w:noBreakHyphen/>
        <w:t>yleissopimuksen nojalla laitonta ja että tämän kansainvälisen sopimuksen tavoitteena on hillitä laivaliikenteestä aiheutuvaa pilaantumista; toteaa, että Venäjä kuuluu MARPOL-yleissopimuksen allekirjoittaneisiin maihin; ottaa huomioon, että MARPOL-yleissopimuksen rikkomisesta on saatu näyttöä; ottaa huomioon, että seuraamusten määrääminen yksittäisille aluksille näyttää tehonneen, sillä mustalle listalle jo otettujen alusten mahdollisuudet kaupata öljyä ovat rangaistuksen jälkeen heikentyneet;</w:t>
      </w:r>
    </w:p>
    <w:p w:rsidR="00CE3EF8" w:rsidRPr="005715D5" w:rsidRDefault="00CE3EF8" w:rsidP="00CE3EF8">
      <w:pPr>
        <w:pStyle w:val="NormalHanging12a"/>
        <w:widowControl/>
        <w:rPr>
          <w:bCs/>
        </w:rPr>
      </w:pPr>
      <w:r w:rsidRPr="005715D5">
        <w:lastRenderedPageBreak/>
        <w:t>J.</w:t>
      </w:r>
      <w:r w:rsidRPr="005715D5">
        <w:tab/>
        <w:t>ottaa huomioon, että alusten omistajien vakuutuksesta merioikeudellisia vaateita varten annettu direktiivi 2009/20/EY</w:t>
      </w:r>
      <w:r w:rsidRPr="005715D5">
        <w:rPr>
          <w:rStyle w:val="FootnoteReference"/>
        </w:rPr>
        <w:footnoteReference w:id="1"/>
      </w:r>
      <w:r w:rsidRPr="005715D5">
        <w:t xml:space="preserve"> on ollut voimassa vuodesta 2009 ja sillä varmistetaan, että kaikilla EU:n jäsenvaltion lipun alla purjehtivilla aluksilla on vakuutus ja vakuutustodistukset; ottaa huomioon, että yksi direktiivin 2009/20/EY tavoitteista oli päästä eroon alikuntoisista aluksista; huomauttaa, että väliintulosta öljysaastuntaonnettomuuksissa aavalla merellä tehdyn kansainvälisen yleissopimuksen mukaisesti maat voivat ryhtyä ”estämään, lieventämään tai poistamaan niiden rannikkoon tai siihen liittyviin etuihin kohdistuvaa meren öljysaastunnasta tai sellaisen uhasta aiheutuvaa vakavaa vaaraa, joka on johtunut merionnettomuudesta tai sellaiseen onnettomuuteen liittyvistä toimista”;</w:t>
      </w:r>
    </w:p>
    <w:p w:rsidR="00CE3EF8" w:rsidRPr="005715D5" w:rsidRDefault="00CE3EF8" w:rsidP="00CE3EF8">
      <w:pPr>
        <w:pStyle w:val="NormalHanging12a"/>
        <w:widowControl/>
      </w:pPr>
      <w:r w:rsidRPr="005715D5">
        <w:t>K.</w:t>
      </w:r>
      <w:r w:rsidRPr="005715D5">
        <w:tab/>
        <w:t>ottaa huomioon, että Ruotsin laivaston viimeaikaisissa raporteissa on korostettu varjolaivaston toimintaan liittyviä turvallisuusriskejä sekä sen mahdollista käyttöä hybridioperaatioissa Euroopan maita vastaan;</w:t>
      </w:r>
    </w:p>
    <w:p w:rsidR="00CE3EF8" w:rsidRPr="005715D5" w:rsidRDefault="00CE3EF8" w:rsidP="00CE3EF8">
      <w:pPr>
        <w:pStyle w:val="NormalHanging12a"/>
        <w:widowControl/>
        <w:rPr>
          <w:bCs/>
        </w:rPr>
      </w:pPr>
      <w:r w:rsidRPr="005715D5">
        <w:t>L.</w:t>
      </w:r>
      <w:r w:rsidRPr="005715D5">
        <w:tab/>
        <w:t>ottaa huomioon, että Venäjällä jalostettujen öljytuotteiden tuontikiellosta huolimatta venäläistä raakaöljyä jalostavista kolmansien maiden jalostamoista peräisin olevaa tuontia ei ole kielletty; ottaa huomioon, että varjolaivasto toimittaa venäläistä raakaöljyä kolmansien maiden jalostamoihin; toteaa, että EU ja G7-maat tuovat edelleen venäläisestä öljystä johdettuja öljytuotteita esimerkiksi Turkissa sijaitsevista jalostamoista;</w:t>
      </w:r>
    </w:p>
    <w:p w:rsidR="00CE3EF8" w:rsidRPr="005715D5" w:rsidRDefault="00CE3EF8" w:rsidP="00CE3EF8">
      <w:pPr>
        <w:pStyle w:val="NormalHanging12a"/>
        <w:widowControl/>
        <w:rPr>
          <w:bCs/>
        </w:rPr>
      </w:pPr>
      <w:r w:rsidRPr="005715D5">
        <w:t>M.</w:t>
      </w:r>
      <w:r w:rsidRPr="005715D5">
        <w:tab/>
        <w:t>ottaa huomioon, että näiden alusten liikennöinti on vilkastunut merkittävästi vuoden 2024 aikana, jolloin venäläisten varjoalusten tekemien matkojen määrä on yli kaksinkertaistunut; ottaa huomioon, että merkittävä osa venäläisestä öljystä kuljetetaan vilkkaita kansainvälisiä laivareittejä pitkin; ottaa huomioon, että selvästi suurin osa Venäjän öljykuljetuksista lähtee Itämerellä ja Mustallamerellä sijaitsevista satamista;</w:t>
      </w:r>
    </w:p>
    <w:p w:rsidR="00CE3EF8" w:rsidRPr="005715D5" w:rsidRDefault="00CE3EF8" w:rsidP="00CE3EF8">
      <w:pPr>
        <w:pStyle w:val="NormalHanging12a"/>
        <w:widowControl/>
        <w:rPr>
          <w:bCs/>
        </w:rPr>
      </w:pPr>
      <w:r w:rsidRPr="005715D5">
        <w:t>N.</w:t>
      </w:r>
      <w:r w:rsidRPr="005715D5">
        <w:tab/>
        <w:t>ottaa huomioon, että öljyä kuljettavat ja varjolaivastoa hallinnoivat toimijat eivät toimi tyhjiössä; huomauttaa, että niiden toiminta on kytköksissä sitä kannattelevaan rahaliikenteeseen; toteaa, että tähän rahaliikenteeseen saattaa liittyä talouspakotteiden piiriin kuuluvia toimijoita; katsoo, että pakotejärjestelmän noudattamista olisi analysoitava kokonaisvaltaisesta näkökulmasta, jotta vältettäisiin sen kiertäminen;</w:t>
      </w:r>
    </w:p>
    <w:p w:rsidR="00CE3EF8" w:rsidRPr="005715D5" w:rsidRDefault="00CE3EF8" w:rsidP="00CE3EF8">
      <w:pPr>
        <w:pStyle w:val="NormalHanging12a"/>
        <w:widowControl/>
      </w:pPr>
      <w:r w:rsidRPr="005715D5">
        <w:t>O.</w:t>
      </w:r>
      <w:r w:rsidRPr="005715D5">
        <w:tab/>
        <w:t>ottaa huomioon, että laivaliikenteen harjoittajat ovat olleet hanakoita kiertämään pakotteita rekisteröimällä aluksensa maihin, jotka eivät kuulu hintakattosopimukseen; ottaa huomioon, että Venäjä käyttää kolmansien maiden välittäjiä, järjestöjä tai yksityishenkilöitä ostaakseen varjolaivaston säiliöaluksia; ottaa huomioon, että jotkut varjolaivastoon kuuluvien säiliöalusten ja kaasunkuljetusalusten omistajat ja päälliköt ovat rekisteröityneet myös EU:n jäsenvaltioihin;</w:t>
      </w:r>
    </w:p>
    <w:p w:rsidR="00CE3EF8" w:rsidRPr="005715D5" w:rsidRDefault="00CE3EF8" w:rsidP="00CE3EF8">
      <w:pPr>
        <w:pStyle w:val="NormalHanging12a"/>
        <w:widowControl/>
      </w:pPr>
      <w:r w:rsidRPr="005715D5">
        <w:t>P.</w:t>
      </w:r>
      <w:r w:rsidRPr="005715D5">
        <w:tab/>
        <w:t>ottaa huomioon, että Venäjän varjolaivasto on vahvasti riippuvainen useiden maiden, erityisesti Kiinan, Intian ja Turkin, avunannosta ja yhteistyöstä pakotteiden kiertämiseksi;</w:t>
      </w:r>
    </w:p>
    <w:p w:rsidR="00CE3EF8" w:rsidRPr="005715D5" w:rsidRDefault="00CE3EF8" w:rsidP="00CE3EF8">
      <w:pPr>
        <w:pStyle w:val="NormalHanging12a"/>
        <w:widowControl/>
      </w:pPr>
      <w:r w:rsidRPr="005715D5">
        <w:t>1.</w:t>
      </w:r>
      <w:r w:rsidRPr="005715D5">
        <w:tab/>
        <w:t xml:space="preserve">toistaa tuomitsevansa mitä jyrkimmin Venäjän provosoimattoman, laittoman ja perusteettoman hyökkäyssodan Ukrainaa vastaan; kehottaa Venäjää lopettamaan välittömästi kaikki sotatoimet Ukrainassa ja vetämään kokonaan ja ehdoitta pois kaikki </w:t>
      </w:r>
      <w:r w:rsidRPr="005715D5">
        <w:lastRenderedPageBreak/>
        <w:t>joukot ja sijaisjoukot ja kaiken sotilaskaluston Ukrainan koko kansainvälisesti tunnustetulta alueelta, lopettamaan ukrainalaisten siviilien pakkosiirrot ja vapauttamaan kaikki pidätetyt ja pakkosiirretyt ukrainalaiset, erityisesti lapset;</w:t>
      </w:r>
    </w:p>
    <w:p w:rsidR="00CE3EF8" w:rsidRPr="005715D5" w:rsidRDefault="00CE3EF8" w:rsidP="00CE3EF8">
      <w:pPr>
        <w:pStyle w:val="NormalHanging12a"/>
        <w:widowControl/>
      </w:pPr>
      <w:r w:rsidRPr="005715D5">
        <w:t>2.</w:t>
      </w:r>
      <w:r w:rsidRPr="005715D5">
        <w:tab/>
        <w:t>toistaa horjumattoman tukensa EU:n pakotejärjestelmälle, jonka tarkoituksena on heikentää Venäjän hallinnon valmiuksia jatkaa hyökkäyssotaa Ukrainaa vastaan; korostaa, että Venäjän Ukrainaa vastaan käymän hyökkäyssodan johdosta asetettujen EU:n pakotteiden tavoitteena on heikentää strategisesti Venäjän taloudellista ja teollista perustaa ja erityisesti sotateollista kompleksia, jotta voidaan heikentää Venäjän federaation kykyä jatkaa sodankäyntiä, hyökätä siviiliväestöä vastaan ja loukata Ukrainan alueellista koskemattomuutta sekä haitata Venäjän mahdollisuuksia hankkia sotilasteknologiaa ja -komponentteja; huomauttaa, että Venäjä kiertää aktiivisesti EU:n pakotteita ja pyrkii löytämään uusia keinoja kiertää niitä, muun muassa käyttämällä öljysäiliöalusten muodostamaa varjolaivastoa, ja saattaa siksi vielä pystyä kiihdyttämään sotatoimiaan Ukrainaa vastaan lyhyellä aikavälillä, erityisesti tulevana talvena;</w:t>
      </w:r>
    </w:p>
    <w:p w:rsidR="00CE3EF8" w:rsidRPr="005715D5" w:rsidRDefault="00CE3EF8" w:rsidP="00CE3EF8">
      <w:pPr>
        <w:pStyle w:val="NormalHanging12a"/>
        <w:widowControl/>
      </w:pPr>
      <w:r w:rsidRPr="005715D5">
        <w:t>3.</w:t>
      </w:r>
      <w:r w:rsidRPr="005715D5">
        <w:tab/>
        <w:t>katsoo, että varjolaivasto on Venäjälle taloudellinen elinehto sen Ukrainaa vastaan käymässä laittomassa ja perusteettomassa hyökkäyssodassa sekä merkittävä väline, jonka se on luonut EU:n pakotejärjestelmän kiertämiseksi; tuomitsee riskin, jonka nämä vaaralliset ja vakuuttamattomat venäläisalukset aiheuttavat meriturvallisuudelle sekä Euroopan rannikkojäsenvaltioille ja meriekosysteemeille; tuomitsee Venäjän toiminnan, jolla se ottaa tarkoituksellisesti valtavia riskejä saadakseen itselleen taloudellista hyötyä ja kansainvälisestä turvallisuudesta tai mahdollisesta peruuttamattomien ympäristövahinkojen riskistä lainkaan piittaamatta; kehottaa EU:ta ja sen jäsenvaltioita tehostamaan toimia, jotta saadaan kuriin Venäjän harjoittama pakotteiden välttäminen ja kiertäminen, ja toteuttamaan konkreettisia toimenpiteitä, joilla varmistetaan meriturvallisuus ja ehkäistään ympäristövaaroja Euroopan vesillä, etenkin Itämerellä; katsoo, että alusten väliset lastin siirrot avomerellä ovat riskialtista toimintaa, joka heikentää kansainvälistä meriturvallisuutta ja ympäristönsuojelua;</w:t>
      </w:r>
    </w:p>
    <w:p w:rsidR="00CE3EF8" w:rsidRPr="005715D5" w:rsidRDefault="00CE3EF8" w:rsidP="00CE3EF8">
      <w:pPr>
        <w:pStyle w:val="NormalHanging12a"/>
        <w:widowControl/>
      </w:pPr>
      <w:r w:rsidRPr="005715D5">
        <w:t>4.</w:t>
      </w:r>
      <w:r w:rsidRPr="005715D5">
        <w:tab/>
        <w:t>kehottaa määräämään seuraavissa Venäjän vastaisissa pakotepaketeissa enemmän varjolaivastoon kohdennettuja pakotteita, esimerkiksi nimeämään kaikki yksittäiset varjolaivaston alukset sekä niiden omistajat, toiminnanharjoittajat, johtajat, tilit, pankit, vakuutusyhtiöt ja niin edelleen; kehottaa kieltämään välittömästi länsimaisten alusten käytön venäläisen öljyn kuljetukseen; kehottaa yleisemmin sisällyttämään seuraaviin EU:n pakotepaketteihin järjestelmällisiä seuraamuksia EU:n vesien kautta ilman tiedossa olevaa vakuutusta purjehtiville aluksille, jotta voidaan suojella vesiämme ja välttää öljyvuotojen puhdistamisesta aiheutuvat taloudelliset rasitteet; kehottaa Euroopan ulkosuhdehallintoa ja EU:n pakotelähettilästä tekemään tunnusteluja hallitusten suuntaan niissä maissa, joihin varjotankkereita hallinnoivat yhtiöt ovat rekisteröityneet ja joiden suosio lippuvaltiona on kasvanut huomattavasti EU:n vesillä sitten öljyn hintakaton käyttöönoton; kehottaa EU:ta ja sen jäsenvaltioita lähestymään näitä lippuvaltioita ja tiedottamaan niille luettelointiperusteista ja mahdollisen luetteloon merkitsemisen seurauksista, tuomaan esiin sääntöjenvastaisten ja suuririskisten merenkulkukäytäntöjen riskit ja haitalliset ympäristövaikutukset ja muistuttamaan niitä lippuvaltioiden velvollisuuksista; kehottaa lippuvaltioita poistamaan pakotteiden kohteena olevat alukset alusrekistereistään;</w:t>
      </w:r>
    </w:p>
    <w:p w:rsidR="00CE3EF8" w:rsidRPr="005715D5" w:rsidRDefault="00CE3EF8" w:rsidP="00CE3EF8">
      <w:pPr>
        <w:pStyle w:val="NormalHanging12a"/>
        <w:widowControl/>
      </w:pPr>
      <w:r w:rsidRPr="005715D5">
        <w:t>5.</w:t>
      </w:r>
      <w:r w:rsidRPr="005715D5">
        <w:tab/>
        <w:t xml:space="preserve">toteaa, että Venäjän varjolaivastoa auttavat lippuvaltiot edesauttavat siten myös Venäjän sotatoimia; korostaa, että jos perinteiset diplomaattiset ponnistelut epäonnistuvat, EU:n </w:t>
      </w:r>
      <w:r w:rsidRPr="005715D5">
        <w:lastRenderedPageBreak/>
        <w:t>olisi arvioitava vakavasti uudelleen kahdenvälistä yhteistyötään sellaisten EU:n ulkopuolisten maiden kanssa, jotka auttavat Venäjää kiertämään EU:n pakotteita;</w:t>
      </w:r>
    </w:p>
    <w:p w:rsidR="00CE3EF8" w:rsidRPr="005715D5" w:rsidRDefault="00CE3EF8" w:rsidP="00CE3EF8">
      <w:pPr>
        <w:pStyle w:val="NormalHanging12a"/>
        <w:widowControl/>
      </w:pPr>
      <w:r w:rsidRPr="005715D5">
        <w:t>6.</w:t>
      </w:r>
      <w:r w:rsidRPr="005715D5">
        <w:tab/>
        <w:t>tuomitsee EU:n laivanvarustajien osallistumisen Venäjän varjolaivaston luomiseen; tuomitsee niiden valtioiden, oikeudellisten palvelujen tarjoajien sekä muiden yhteisöjen ja yksityishenkilöiden toiminnan, jotka auttavat Venäjää välttämään EU:n pakotteita ja suojautumaan niiden vaikutuksilta; palauttaa mieliin, että pakotteiden rikkominen on rikos EU:n tasolla ja että sillä on vakava vaikutus EU:n taloudellisiin etuihin; kehottaa laajentamaan ja panemaan täytäntöön alusten myyntiä koskevia rajoituksia sekä kieltämään säiliöalusten myynnin maihin, jotka edesauttavat kauppaa Venäjän kanssa;</w:t>
      </w:r>
    </w:p>
    <w:p w:rsidR="00CE3EF8" w:rsidRPr="005715D5" w:rsidRDefault="00CE3EF8" w:rsidP="00CE3EF8">
      <w:pPr>
        <w:pStyle w:val="NormalHanging12a"/>
        <w:widowControl/>
        <w:rPr>
          <w:bCs/>
        </w:rPr>
      </w:pPr>
      <w:r w:rsidRPr="005715D5">
        <w:t>7.</w:t>
      </w:r>
      <w:r w:rsidRPr="005715D5">
        <w:tab/>
        <w:t>kehottaa lisäämään EU:n laajuisia toimenpiteitä, joilla varmistetaan pakotteiden tiukempi valvonta ja niiden laajentaminen, mukaan lukien EU:n vesillä toimivien alusten välitön tarkastus niiden vakuutusturvan ja IMO:n vaatimustenmukaisuuden varmentamiseksi; kehottaa jäsenvaltioita arvioimaan ja vahvistamaan hallinnollisia valmiuksiaan, jotta voidaan varmistaa EU:n pakotteiden nopea täytäntöönpano ja niiden tiukka valvonta;</w:t>
      </w:r>
    </w:p>
    <w:p w:rsidR="00CE3EF8" w:rsidRPr="005715D5" w:rsidRDefault="00CE3EF8" w:rsidP="00CE3EF8">
      <w:pPr>
        <w:pStyle w:val="NormalHanging12a"/>
        <w:widowControl/>
      </w:pPr>
      <w:r w:rsidRPr="005715D5">
        <w:t>8.</w:t>
      </w:r>
      <w:r w:rsidRPr="005715D5">
        <w:tab/>
        <w:t>kehottaa komissiota toteuttamaan EU:n IMO:n kanssa tekemän yhteistyön puitteissa toimia varjolaivaston toiminnan estämiseksi ja rajoittamiseksi; kehottaa panemaan tiukasti täytäntöön IMO:n yleiskokouksen päätöslauselman A.1192(33), joka hyväksyttiin joulukuussa 2023 merialusten haitallisen toiminnan torjumiseksi, ja varsinkin alusten velvoitteen ilmoittaa kaikista alusten välisistä lastinsiirroista lippuvaltioilleen ja tehostetut tarkastukset satamissa epäilyttävien alusten varalta; kehottaa EU:ta ja sen jäsenvaltioita rajoittamaan Venäjän varjolaivaston alusten pääsyä EU:n vesille; korostaa, että Euroopan meriturvallisuusviraston koko potentiaali on hyödynnettävä niin, että voidaan tukea jäsenvaltioita pakotteiden kohteena olevien alusten tunnistamisessa ja epäilyttävien alusten liikkeiden seurannassa; kehottaa EU:ta erityisesti laatimaan kattavan luettelon Venäjän varjolaivastoon kuuluvista aluksista, aloittamaan kohdennetut tarkastukset, myös merellä, ja asettamaan pakotteita, joiden perusteella alusten käyttö voidaan myös estää joko pysyvästi tai väliaikaisesti hallinnollisista syistä;</w:t>
      </w:r>
    </w:p>
    <w:p w:rsidR="00CE3EF8" w:rsidRPr="005715D5" w:rsidRDefault="00CE3EF8" w:rsidP="00CE3EF8">
      <w:pPr>
        <w:pStyle w:val="NormalHanging12a"/>
        <w:widowControl/>
      </w:pPr>
      <w:r w:rsidRPr="005715D5">
        <w:t>9.</w:t>
      </w:r>
      <w:r w:rsidRPr="005715D5">
        <w:tab/>
        <w:t>kehottaa EU:ta ja sen jäsenvaltioita seuraamaan tiiviisti alusten omistajien vakuutuksesta merioikeudellisia vaateita varten annetun direktiivin 2009/20/EY täytäntöönpanoa, jotta estetään vakuuttamattomien alusten kulku EU:n vesien kautta; korostaa, että on vahvistettava täytäntöönpanomekanismeja, mukaan lukien EU:n jäsenvaltioiden mahdollisuus estää vakuuttamattomia tai vaatimustenvastaisia aluksia pääsemästä EU:n satamiin tai käyttämästä EU:n vesiä tankkausta tai muita palveluja varten, ja lisättävä tällaisten alusten seurantaa; kehottaa jäsenvaltioita ryhtymään toimiin sen varmistamiseksi, ettei markkinoilla aseteta saataville vaatimustenvastaisia aluksia;</w:t>
      </w:r>
    </w:p>
    <w:p w:rsidR="00CE3EF8" w:rsidRPr="005715D5" w:rsidRDefault="00CE3EF8" w:rsidP="00CE3EF8">
      <w:pPr>
        <w:pStyle w:val="NormalHanging12a"/>
        <w:widowControl/>
      </w:pPr>
      <w:r w:rsidRPr="005715D5">
        <w:t>10.</w:t>
      </w:r>
      <w:r w:rsidRPr="005715D5">
        <w:tab/>
        <w:t>kannustaa jäsenvaltioita tekemään tiivistä yhteistyötä Yhdistyneen kuningaskunnan kanssa toimenpiteissä, joilla rajoitetaan Englannin kanaalin käyttöä Venäjän varjolaivaston alusten ollessa kyseessä; kehottaa niitä maita, joissa on kansainvälisiä salmia, vaatimaan aluksilta näyttöä P&amp;I-vakuutuksesta (</w:t>
      </w:r>
      <w:proofErr w:type="spellStart"/>
      <w:r w:rsidRPr="005715D5">
        <w:t>Protection</w:t>
      </w:r>
      <w:proofErr w:type="spellEnd"/>
      <w:r w:rsidRPr="005715D5">
        <w:t xml:space="preserve"> &amp; </w:t>
      </w:r>
      <w:proofErr w:type="spellStart"/>
      <w:r w:rsidRPr="005715D5">
        <w:t>Indemnity</w:t>
      </w:r>
      <w:proofErr w:type="spellEnd"/>
      <w:r w:rsidRPr="005715D5">
        <w:t>) ja vähimmäistason turvallisuusstandardien noudattamisesta; kehottaa kaikkia jäsenvaltioita vaatimaan kaikilta niiden vesien kautta kulkevilta aluksilta ilmoitusta niiden öljyvuotovakuutussuojan kattavuudesta, jotta varmistetaan vakuutusjärjestelyjä koskeva avoimuus;</w:t>
      </w:r>
    </w:p>
    <w:p w:rsidR="00CE3EF8" w:rsidRPr="005715D5" w:rsidRDefault="00CE3EF8" w:rsidP="00CE3EF8">
      <w:pPr>
        <w:pStyle w:val="NormalHanging12a"/>
        <w:widowControl/>
      </w:pPr>
      <w:r w:rsidRPr="005715D5">
        <w:lastRenderedPageBreak/>
        <w:t>11.</w:t>
      </w:r>
      <w:r w:rsidRPr="005715D5">
        <w:tab/>
        <w:t xml:space="preserve">kannustaa EU:ta ja sen jäsenvaltioita tehostamaan valvontavalmiuksiaan, erityisesti miehittämättömillä ilma-aluksilla ja satelliiteilla toteutettavaa seurantaa, ja myös hyödyntämään </w:t>
      </w:r>
      <w:proofErr w:type="spellStart"/>
      <w:r w:rsidRPr="005715D5">
        <w:t>Sentinel</w:t>
      </w:r>
      <w:proofErr w:type="spellEnd"/>
      <w:r w:rsidRPr="005715D5">
        <w:t>-satelliittikuvia, jotta voidaan tunnistaa EU:n vesillä liikkuvia varjolaivaston aluksia ja seurata niiden toimintaa, kuten EU:n direktiivien ja MARPOL</w:t>
      </w:r>
      <w:r w:rsidRPr="005715D5">
        <w:noBreakHyphen/>
        <w:t>yleissopimuksen vastaisia alusten välisiä lastinsiirtoja, ja toteuttaa viipymättä tutkintatoimia, jos rannikkoalueet ja meriekosysteemit ovat uhattuina;</w:t>
      </w:r>
    </w:p>
    <w:p w:rsidR="00CE3EF8" w:rsidRPr="005715D5" w:rsidRDefault="00CE3EF8" w:rsidP="00CE3EF8">
      <w:pPr>
        <w:pStyle w:val="NormalHanging12a"/>
        <w:widowControl/>
        <w:rPr>
          <w:bCs/>
        </w:rPr>
      </w:pPr>
      <w:r w:rsidRPr="005715D5">
        <w:t>12.</w:t>
      </w:r>
      <w:r w:rsidRPr="005715D5">
        <w:tab/>
        <w:t>kehottaa kieltämään venäläisen raakaöljyn ja öljytuotteiden siirrot alusten välillä EU:n vesillä; pyytää ottamaan käyttöön tarvittavat resurssit näiden siirtojen havaitsemiseksi ja estämiseksi muun muassa kieltämällä kaikkien tällaisten alusten ankkurointi ja tankkaus EU:n vesillä;</w:t>
      </w:r>
    </w:p>
    <w:p w:rsidR="00CE3EF8" w:rsidRPr="005715D5" w:rsidRDefault="00CE3EF8" w:rsidP="00CE3EF8">
      <w:pPr>
        <w:pStyle w:val="NormalHanging12a"/>
        <w:widowControl/>
      </w:pPr>
      <w:r w:rsidRPr="005715D5">
        <w:t>13.</w:t>
      </w:r>
      <w:r w:rsidRPr="005715D5">
        <w:tab/>
        <w:t>kehottaa jäsenvaltioita valvomaan tiukkojen sääntelytoimenpiteiden noudattamista satamissaan ja aluevesillään; kehottaa jäsenvaltioita käyttämään kaikilta osin oikeuttaan vaatia, että asianomainen kansallinen viranomainen suorittaa luotsauksen aluksella tarkastaakseen lastin alkuperän, selvittääkseen alusten todelliset omistussuhteet ja tarkastaakseen vakuutusasiakirjat ja turvallisuusnormien noudattamisen, jos säiliöaluksen epäillään kuljettavan venäläistä öljyä, ja varmistamaan, että pakotteiden kiertämisestä ja ympäristönormien noudattamatta jättämisestä epäillyt alukset otetaan tutkintaan;</w:t>
      </w:r>
    </w:p>
    <w:p w:rsidR="00CE3EF8" w:rsidRPr="005715D5" w:rsidRDefault="00CE3EF8" w:rsidP="00CE3EF8">
      <w:pPr>
        <w:pStyle w:val="NormalHanging12a"/>
        <w:widowControl/>
      </w:pPr>
      <w:r w:rsidRPr="005715D5">
        <w:t>14.</w:t>
      </w:r>
      <w:r w:rsidRPr="005715D5">
        <w:tab/>
        <w:t xml:space="preserve">kehottaa jäsenvaltioita nimeämään satamat, jotka pystyvät käsittelemään pakotteiden kohteena olevia raakaöljyä tai </w:t>
      </w:r>
      <w:proofErr w:type="spellStart"/>
      <w:r w:rsidRPr="005715D5">
        <w:t>LNG:tä</w:t>
      </w:r>
      <w:proofErr w:type="spellEnd"/>
      <w:r w:rsidRPr="005715D5">
        <w:t xml:space="preserve"> kuljettavia aluksia, ja takavarikoimaan laittomat lastit maksamatta niistä korvausta;</w:t>
      </w:r>
    </w:p>
    <w:p w:rsidR="00CE3EF8" w:rsidRPr="005715D5" w:rsidRDefault="00CE3EF8" w:rsidP="00CE3EF8">
      <w:pPr>
        <w:pStyle w:val="NormalHanging12a"/>
        <w:widowControl/>
      </w:pPr>
      <w:r w:rsidRPr="005715D5">
        <w:t>15.</w:t>
      </w:r>
      <w:r w:rsidRPr="005715D5">
        <w:tab/>
        <w:t xml:space="preserve">korostaa, että nykyisten pakotteiden sekä Ukrainalle annettavan taloudellisen ja sotilaallisen tuen vaikutus pysyy aiottua heikompana niin kauan kuin EU jatkaa fossiilisten polttoaineiden tuontia Venäjältä; kehottaa tästä syystä EU:ta ja sen jäsenvaltioita kieltämään kaikkien venäläisten fossiilisten polttoaineiden, myös </w:t>
      </w:r>
      <w:proofErr w:type="spellStart"/>
      <w:r w:rsidRPr="005715D5">
        <w:t>LNG:n</w:t>
      </w:r>
      <w:proofErr w:type="spellEnd"/>
      <w:r w:rsidRPr="005715D5">
        <w:t xml:space="preserve">, tuonnin; kehottaa EU:ta ottamaan käyttöön vaatimuksen, että venäläistä </w:t>
      </w:r>
      <w:proofErr w:type="spellStart"/>
      <w:r w:rsidRPr="005715D5">
        <w:t>LNG:tä</w:t>
      </w:r>
      <w:proofErr w:type="spellEnd"/>
      <w:r w:rsidRPr="005715D5">
        <w:t xml:space="preserve"> vievät alukset sisällytetään EU:n pakoteluetteloihin, jolloin niiltä evätään pääsy EU:n satamiin ja meriliikennepalveluihin; kehottaa EU:ta ja sen jäsenvaltioita kieltämään venäläisten ydintuotteiden tuonnin ja kehottaa jäsenvaltioita olemaan tekemättä uusia sopimuksia </w:t>
      </w:r>
      <w:proofErr w:type="spellStart"/>
      <w:r w:rsidRPr="005715D5">
        <w:t>Rosatomin</w:t>
      </w:r>
      <w:proofErr w:type="spellEnd"/>
      <w:r w:rsidRPr="005715D5">
        <w:t xml:space="preserve"> tai sen johdon ja tytäryhtiöiden kanssa;</w:t>
      </w:r>
    </w:p>
    <w:p w:rsidR="00CE3EF8" w:rsidRPr="005715D5" w:rsidRDefault="00CE3EF8" w:rsidP="00CE3EF8">
      <w:pPr>
        <w:pStyle w:val="NormalHanging12a"/>
        <w:widowControl/>
      </w:pPr>
      <w:r w:rsidRPr="005715D5">
        <w:t>16.</w:t>
      </w:r>
      <w:r w:rsidRPr="005715D5">
        <w:tab/>
        <w:t xml:space="preserve">kehottaa G7-maita valvomaan tehokkaammin Venäjän meriteitse kuljettamalle öljylle asetettua hintakattoa, alentamaan öljyn hintakattoa merkittävästi ja puuttumaan porsaanreikiin, joita Venäjä hyödyntää voidakseen </w:t>
      </w:r>
      <w:proofErr w:type="spellStart"/>
      <w:r w:rsidRPr="005715D5">
        <w:t>uudelleenpakata</w:t>
      </w:r>
      <w:proofErr w:type="spellEnd"/>
      <w:r w:rsidRPr="005715D5">
        <w:t xml:space="preserve"> ja myydä öljyään ja öljytuotteitaan markkinahintaan; kehottaa EU:ta, sen jäsenvaltioita ja sen G7</w:t>
      </w:r>
      <w:r w:rsidRPr="005715D5">
        <w:noBreakHyphen/>
        <w:t xml:space="preserve">kumppanimaita tehostamaan yhteistyötään kauppakumppaneiden kanssa, jotta venäläisen öljyn ostajat voidaan tunnistaa nopeammin ja tehokkaammin ja öljytuotteiden ostaminen niiltä voidaan lopettaa; kehottaa sisällyttämään nämä nimetyt laitokset kohdennettujen pakotteiden luetteloon ja kieltämään venäläisten jalostettujen öljytuotteiden jälleenviennin kokonaan; kehottaa yhdenmukaistamaan EU:hun tuotavien fossiilisten polttoaineiden, </w:t>
      </w:r>
      <w:proofErr w:type="spellStart"/>
      <w:r w:rsidRPr="005715D5">
        <w:t>LNG:n</w:t>
      </w:r>
      <w:proofErr w:type="spellEnd"/>
      <w:r w:rsidRPr="005715D5">
        <w:t xml:space="preserve"> ja jalostettujen fossiilisten polttoaineiden alkuperän testauksen, jotta voidaan estää venäläisen energian jälleenvienti EU:hun; kehottaa jäsenvaltioita tutkimaan perusteellisesti, noudattavatko yritykset luetteloituja tuotteita koskevia vientirajoituksia, ja määräämään varoittavia seuraamuksia;</w:t>
      </w:r>
    </w:p>
    <w:p w:rsidR="00CE3EF8" w:rsidRPr="005715D5" w:rsidRDefault="00CE3EF8" w:rsidP="00CE3EF8">
      <w:pPr>
        <w:pStyle w:val="NormalHanging12a"/>
        <w:widowControl/>
      </w:pPr>
      <w:r w:rsidRPr="005715D5">
        <w:t>17.</w:t>
      </w:r>
      <w:r w:rsidRPr="005715D5">
        <w:tab/>
        <w:t xml:space="preserve">suosittaa painokkaasti, että EU ja sen G7-kumppanimaat laajentavat pakoteluetteloitaan huomattavasti sisällyttämällä niihin uusia aluksia, jotka kiertävät niiden hintakattoja eivätkä noudata toiminnassaan kansainvälisiä normeja; kehottaa EU:ta ja </w:t>
      </w:r>
      <w:r w:rsidRPr="005715D5">
        <w:lastRenderedPageBreak/>
        <w:t>kumppanimaita tarkistamaan huolellisesti öljyvuotovakuutusten riittävyyden pakotekehystä soveltaessaan, esimerkiksi kun ne myöntävät tai uusivat rekisteröintejä; kehottaa tiukentamaan asianmukaisen huolellisuuden vaatimuksia, joita aluksiin sovelletaan vakuutuksen saamiseksi, ja toteaa, että näihin kuuluvat esimerkiksi todisteet hintakaton mukaisista myyntisopimuksista ja todennetut tiliotteet;</w:t>
      </w:r>
    </w:p>
    <w:p w:rsidR="00CE3EF8" w:rsidRPr="005715D5" w:rsidRDefault="00CE3EF8" w:rsidP="00CE3EF8">
      <w:pPr>
        <w:pStyle w:val="NormalHanging12a"/>
        <w:widowControl/>
      </w:pPr>
      <w:r w:rsidRPr="005715D5">
        <w:t>18.</w:t>
      </w:r>
      <w:r w:rsidRPr="005715D5">
        <w:tab/>
        <w:t>kehottaa komissiota ja jäsenvaltioita varmistamaan riittävän valmistautumisen ympäristökatastrofeihin, erityisesti suuriin öljyvuotoihin, ja huolehtimaan siitä, että jäsenvaltioiden viranomaiset tekevät tiivistä yhteistyötä sekä keskenään että Euroopan meriturvallisuusviraston kanssa laajamittaisten rajat ylittävien pilaantumiskatastrofien varalta muun muassa koordinoimalla edelleen puhdistustöihin tarvittavien varusteiden inventaaria; korostaa, että tällaiset onnettomuudet heikentävät ympäristön tilaa vakavasti ja pitkäksi aikaa, mikä voi puolestaan vaikuttaa merkittävästi matkailu-, kalastus- ja merenkulkualoihin kyseessä oleviin merialueisiin rajoittuvissa jäsenvaltioissa; kehottaa komissiota myöntämään lisärahoitusta, jotta Euroopan meriturvallisuusvirastolle voidaan hankkia riittävästi öljyntorjunta-aluksia;</w:t>
      </w:r>
    </w:p>
    <w:p w:rsidR="00CE3EF8" w:rsidRPr="005715D5" w:rsidRDefault="00CE3EF8" w:rsidP="00CE3EF8">
      <w:pPr>
        <w:pStyle w:val="NormalHanging12a"/>
        <w:widowControl/>
      </w:pPr>
      <w:r w:rsidRPr="005715D5">
        <w:t>19.</w:t>
      </w:r>
      <w:r w:rsidRPr="005715D5">
        <w:tab/>
        <w:t>kehottaa komissiota varmistamaan alusten aiheuttamasta ympäristön pilaantumisesta ja säännösten rikkomisista määrättävistä seuraamuksista annetun direktiivin 2005/35/EY muuttamisesta annetun Euroopan parlamentin ja neuvoston direktiivin 2009/123/EY</w:t>
      </w:r>
      <w:r w:rsidRPr="005715D5">
        <w:rPr>
          <w:rStyle w:val="FootnoteReference"/>
        </w:rPr>
        <w:footnoteReference w:id="2"/>
      </w:r>
      <w:r w:rsidRPr="005715D5">
        <w:t xml:space="preserve"> tehokkaan täytäntöönpanon ja valvonnan; kehottaa jäsenvaltioita saattamaan unionin rajoittavien toimenpiteiden rikkomiseen liittyvien rikosten ja seuraamusten määrittelystä annetun direktiivin (EU) 2024/1226</w:t>
      </w:r>
      <w:r w:rsidRPr="005715D5">
        <w:rPr>
          <w:rStyle w:val="FootnoteReference"/>
        </w:rPr>
        <w:footnoteReference w:id="3"/>
      </w:r>
      <w:r w:rsidRPr="005715D5">
        <w:t xml:space="preserve"> osaksi kansallista lainsäädäntöään ja panemaan sen täytäntöön viipymättä ja varmistamaan riittävät taloudelliset, tekniset ja henkilöresurssit EU:n rajoittavien toimenpiteiden asianmukaista täytäntöönpanoa varten;</w:t>
      </w:r>
    </w:p>
    <w:p w:rsidR="00CE3EF8" w:rsidRPr="005715D5" w:rsidRDefault="00CE3EF8" w:rsidP="00CE3EF8">
      <w:pPr>
        <w:pStyle w:val="NormalHanging12a"/>
        <w:widowControl/>
      </w:pPr>
      <w:r w:rsidRPr="005715D5">
        <w:t>20.</w:t>
      </w:r>
      <w:r w:rsidRPr="005715D5">
        <w:tab/>
        <w:t>kannustaa jäsenvaltioita ja komissiota yhteistyöhön kansainvälisten kumppaneiden ja sidosryhmien kanssa esimerkiksi merenkulku-, energia-, vakuutus- ja rahoitusaloilla, jotta voidaan tunnistaa parhaat käytännöt havaita pakotteiden kiertäminen ja puuttua siihen sekä vähentää ympäristövaikutuksia EU:n vesillä;</w:t>
      </w:r>
    </w:p>
    <w:p w:rsidR="00CE3EF8" w:rsidRPr="005715D5" w:rsidRDefault="00CE3EF8" w:rsidP="00CE3EF8">
      <w:pPr>
        <w:pStyle w:val="NormalHanging12a"/>
        <w:widowControl/>
      </w:pPr>
      <w:r w:rsidRPr="005715D5">
        <w:t>21.</w:t>
      </w:r>
      <w:r w:rsidRPr="005715D5">
        <w:tab/>
        <w:t>kehottaa komissiota laatimaan selkeämmät ohjeet ja tiukemmat huolellisuusvelvollisuutta koskevat normit EU:n yrityksille ja rahoituslaitoksille, jotta vältetään tahaton vuorovaikutus varjolaivastoon liittyvien toimijoiden kanssa;</w:t>
      </w:r>
    </w:p>
    <w:p w:rsidR="00CE3EF8" w:rsidRPr="005715D5" w:rsidRDefault="00CE3EF8" w:rsidP="00CE3EF8">
      <w:pPr>
        <w:pStyle w:val="NormalHanging12a"/>
        <w:widowControl/>
      </w:pPr>
      <w:r w:rsidRPr="005715D5">
        <w:t>22.</w:t>
      </w:r>
      <w:r w:rsidRPr="005715D5">
        <w:tab/>
        <w:t xml:space="preserve">kehottaa tukemaan EU:n pakotelähettilään työtä pakotteiden kiertämisen torjumiseksi, jotta voidaan estää pakotteiden kohteena olevien EU:n tavaroiden järjestelmällinen jälleenvienti Venäjälle, sillä tämä heikentää vakavasti EU:n pakotteiden tehokkuutta ja haittaa kansainvälisiä pyrkimyksiä sodan lopettamiseksi; kehottaa tässä yhteydessä kaikkia EU:n ehdokasmaita ja mahdollisia ehdokasmaita yhtymään tiukasti pakotteisiin, jotka EU on asettanut Venäjän Ukrainaa vastaan käymän hyökkäyssodan johdosta, osoituksena niiden valmiudesta täyttää EU:n jäsenyysvelvoitteet; kehottaa uudelleen neuvostoa laajentamaan Euroopan syyttäjänviraston toimivaltaa, jotta se voi puuttua </w:t>
      </w:r>
      <w:r w:rsidRPr="005715D5">
        <w:lastRenderedPageBreak/>
        <w:t>EU:n rajoittavien toimenpiteiden rikkomista koskevaan rikokseen; kehottaa EU:ta ja sen jäsenvaltioita vahvistamaan ja keskittämään pakotteiden täytäntöönpanon valvontaa EU:n tasolla ja kehittämään mekanismin pakotteiden kiertämisen estämiseksi ja seuraamiseksi;</w:t>
      </w:r>
    </w:p>
    <w:p w:rsidR="00CE3EF8" w:rsidRPr="005715D5" w:rsidRDefault="00CE3EF8" w:rsidP="00CE3EF8">
      <w:pPr>
        <w:pStyle w:val="NormalHanging12a"/>
        <w:widowControl/>
      </w:pPr>
      <w:r w:rsidRPr="005715D5">
        <w:t>23.</w:t>
      </w:r>
      <w:r w:rsidRPr="005715D5">
        <w:tab/>
        <w:t>kannustaa alusten rekisteröintiä koskevien maailmanlaajuisten avoimuusnormien käyttöön, jotta voidaan vähentää riippuvuutta peiteyhtiöistä ja mukavuuslipuista ja parantaa siten avoimuutta alusten omistuksen suhteen;</w:t>
      </w:r>
    </w:p>
    <w:p w:rsidR="00CE3EF8" w:rsidRPr="005715D5" w:rsidRDefault="00CE3EF8" w:rsidP="00CE3EF8">
      <w:pPr>
        <w:pStyle w:val="NormalHanging12a"/>
        <w:widowControl/>
      </w:pPr>
      <w:r w:rsidRPr="005715D5">
        <w:t>24.</w:t>
      </w:r>
      <w:r w:rsidRPr="005715D5">
        <w:tab/>
        <w:t>kehottaa komissiota tarkastelemaan Yhdysvaltojen käyttämien kauppapoliittisten välineiden kaltaisten välineiden käyttöönottoa keskittyen niihin toimijoihin, jotka saavat pakotejärjestelyjen ansiosta markkinaetuja ja saattavat sen seurauksena toimia epäreilusti EU:n markkinoilla;</w:t>
      </w:r>
    </w:p>
    <w:p w:rsidR="00CE3EF8" w:rsidRPr="005715D5" w:rsidRDefault="00CE3EF8" w:rsidP="00CE3EF8">
      <w:pPr>
        <w:pStyle w:val="NormalHanging12a"/>
        <w:widowControl/>
      </w:pPr>
      <w:r w:rsidRPr="005715D5">
        <w:t>25.</w:t>
      </w:r>
      <w:r w:rsidRPr="005715D5">
        <w:tab/>
        <w:t>on huolissaan Venäjän öljyntuotannon raportoidusta ylijäämästä, joka ylittää huomattavasti öljynviejämaiden järjestön laajennetun kokoonpanon (Opec+) Venäjälle asettaman kiintiön, mikä helpottaa vahvistetun hintakaton kiertämistä entisestään ja tarjoaa Venäjälle tilaisuuden lisätulojen saamiseen; kehottaa EU:ta ja sen jäsenvaltioita seuraamaan tilannetta tiiviisti ja ryhtymään asianmukaisiin toimiin yhteistyössä EU:n kansainvälisten kumppaneiden kanssa;</w:t>
      </w:r>
    </w:p>
    <w:p w:rsidR="00E365E1" w:rsidRPr="005715D5" w:rsidRDefault="00CE3EF8" w:rsidP="00ED7224">
      <w:pPr>
        <w:pStyle w:val="NormalHanging12a"/>
        <w:widowControl/>
      </w:pPr>
      <w:r w:rsidRPr="005715D5">
        <w:t>26.</w:t>
      </w:r>
      <w:r w:rsidRPr="005715D5">
        <w:tab/>
        <w:t xml:space="preserve">kehottaa puhemiestä välittämään tämän päätöslauselman neuvostolle, komissiolle, komission varapuheenjohtajalle / unionin ulkoasioiden ja turvallisuuspolitiikan korkealle edustajalle, Ukrainan presidentille, hallitukselle ja </w:t>
      </w:r>
      <w:proofErr w:type="spellStart"/>
      <w:r w:rsidRPr="005715D5">
        <w:t>Verhovna</w:t>
      </w:r>
      <w:proofErr w:type="spellEnd"/>
      <w:r w:rsidRPr="005715D5">
        <w:t xml:space="preserve"> Radalle, Euroopan neuvostolle, Euroopan turvallisuus- ja yhteistyöjärjestölle, Kansainväliselle merenkulkujärjestölle ja Venäjän viranomaisille.</w:t>
      </w:r>
    </w:p>
    <w:sectPr w:rsidR="00E365E1" w:rsidRPr="005715D5" w:rsidSect="009062A0">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C6D31" w:rsidRPr="009062A0" w:rsidRDefault="00BC6D31">
      <w:r w:rsidRPr="009062A0">
        <w:separator/>
      </w:r>
    </w:p>
  </w:endnote>
  <w:endnote w:type="continuationSeparator" w:id="0">
    <w:p w:rsidR="00BC6D31" w:rsidRPr="009062A0" w:rsidRDefault="00BC6D31">
      <w:r w:rsidRPr="009062A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C6D31" w:rsidRPr="009062A0" w:rsidRDefault="00BC6D31">
      <w:r w:rsidRPr="009062A0">
        <w:separator/>
      </w:r>
    </w:p>
  </w:footnote>
  <w:footnote w:type="continuationSeparator" w:id="0">
    <w:p w:rsidR="00BC6D31" w:rsidRPr="009062A0" w:rsidRDefault="00BC6D31">
      <w:r w:rsidRPr="009062A0">
        <w:continuationSeparator/>
      </w:r>
    </w:p>
  </w:footnote>
  <w:footnote w:id="1">
    <w:p w:rsidR="00CE3EF8" w:rsidRPr="009062A0" w:rsidRDefault="00CE3EF8" w:rsidP="009062A0">
      <w:pPr>
        <w:pStyle w:val="FootnoteText"/>
        <w:ind w:left="567" w:hanging="567"/>
        <w:rPr>
          <w:sz w:val="24"/>
          <w:lang w:val="fi-FI"/>
        </w:rPr>
      </w:pPr>
      <w:r w:rsidRPr="009062A0">
        <w:rPr>
          <w:rStyle w:val="FootnoteReference"/>
          <w:sz w:val="24"/>
          <w:lang w:val="fi-FI"/>
        </w:rPr>
        <w:footnoteRef/>
      </w:r>
      <w:r w:rsidR="009062A0" w:rsidRPr="009062A0">
        <w:rPr>
          <w:sz w:val="24"/>
          <w:lang w:val="fi-FI"/>
        </w:rPr>
        <w:t xml:space="preserve"> </w:t>
      </w:r>
      <w:r w:rsidR="009062A0" w:rsidRPr="009062A0">
        <w:rPr>
          <w:sz w:val="24"/>
          <w:lang w:val="fi-FI"/>
        </w:rPr>
        <w:tab/>
      </w:r>
      <w:r w:rsidRPr="009062A0">
        <w:rPr>
          <w:sz w:val="24"/>
          <w:lang w:val="fi-FI"/>
        </w:rPr>
        <w:t xml:space="preserve">Euroopan parlamentin ja neuvoston direktiivi 2009/20/EY, annettu 23 päivänä huhtikuuta 2009, alusten omistajien vakuutuksesta merioikeudellisia vaateita varten, EUVL L 131, 28.5.2009, s. 128, ELI: </w:t>
      </w:r>
      <w:hyperlink r:id="rId1" w:history="1">
        <w:r w:rsidRPr="009062A0">
          <w:rPr>
            <w:rStyle w:val="Hyperlink"/>
            <w:sz w:val="24"/>
            <w:lang w:val="fi-FI"/>
          </w:rPr>
          <w:t>http://data.europa.eu/eli/dir/2009/20/oj</w:t>
        </w:r>
      </w:hyperlink>
      <w:r w:rsidRPr="009062A0">
        <w:rPr>
          <w:sz w:val="24"/>
          <w:lang w:val="fi-FI"/>
        </w:rPr>
        <w:t>.</w:t>
      </w:r>
    </w:p>
  </w:footnote>
  <w:footnote w:id="2">
    <w:p w:rsidR="00CE3EF8" w:rsidRPr="009062A0" w:rsidRDefault="00CE3EF8" w:rsidP="009062A0">
      <w:pPr>
        <w:pStyle w:val="FootnoteText"/>
        <w:ind w:left="567" w:hanging="567"/>
        <w:rPr>
          <w:sz w:val="24"/>
          <w:lang w:val="fi-FI"/>
        </w:rPr>
      </w:pPr>
      <w:r w:rsidRPr="009062A0">
        <w:rPr>
          <w:rStyle w:val="FootnoteReference"/>
          <w:sz w:val="24"/>
          <w:lang w:val="fi-FI"/>
        </w:rPr>
        <w:footnoteRef/>
      </w:r>
      <w:r w:rsidR="009062A0" w:rsidRPr="009062A0">
        <w:rPr>
          <w:sz w:val="24"/>
          <w:lang w:val="fi-FI"/>
        </w:rPr>
        <w:t xml:space="preserve"> </w:t>
      </w:r>
      <w:r w:rsidR="009062A0" w:rsidRPr="009062A0">
        <w:rPr>
          <w:sz w:val="24"/>
          <w:lang w:val="fi-FI"/>
        </w:rPr>
        <w:tab/>
      </w:r>
      <w:r w:rsidRPr="009062A0">
        <w:rPr>
          <w:sz w:val="24"/>
          <w:lang w:val="fi-FI"/>
        </w:rPr>
        <w:t xml:space="preserve">Euroopan parlamentin ja neuvoston direktiivi 2009/123/EY, annettu 21. lokakuuta 2009, alusten aiheuttamasta ympäristön pilaantumisesta ja säännösten rikkomisista määrättävistä seuraamuksista annetun direktiivin 2005/35/EY muuttamisesta, EUVL L 280, 27.10.2009, s. 52, ELI: </w:t>
      </w:r>
      <w:hyperlink r:id="rId2" w:history="1">
        <w:r w:rsidRPr="009062A0">
          <w:rPr>
            <w:rStyle w:val="Hyperlink"/>
            <w:sz w:val="24"/>
            <w:lang w:val="fi-FI"/>
          </w:rPr>
          <w:t>http://data.europa.eu/eli/dir/2009/123/oj</w:t>
        </w:r>
      </w:hyperlink>
      <w:r w:rsidRPr="009062A0">
        <w:rPr>
          <w:sz w:val="24"/>
          <w:lang w:val="fi-FI"/>
        </w:rPr>
        <w:t>.</w:t>
      </w:r>
    </w:p>
  </w:footnote>
  <w:footnote w:id="3">
    <w:p w:rsidR="00CE3EF8" w:rsidRPr="009062A0" w:rsidRDefault="00CE3EF8" w:rsidP="009062A0">
      <w:pPr>
        <w:pStyle w:val="FootnoteText"/>
        <w:ind w:left="567" w:hanging="567"/>
        <w:rPr>
          <w:sz w:val="24"/>
          <w:lang w:val="fi-FI"/>
        </w:rPr>
      </w:pPr>
      <w:r w:rsidRPr="009062A0">
        <w:rPr>
          <w:rStyle w:val="FootnoteReference"/>
          <w:sz w:val="24"/>
          <w:lang w:val="fi-FI"/>
        </w:rPr>
        <w:footnoteRef/>
      </w:r>
      <w:r w:rsidR="009062A0" w:rsidRPr="009062A0">
        <w:rPr>
          <w:sz w:val="24"/>
          <w:lang w:val="fi-FI"/>
        </w:rPr>
        <w:t xml:space="preserve"> </w:t>
      </w:r>
      <w:r w:rsidR="009062A0" w:rsidRPr="009062A0">
        <w:rPr>
          <w:sz w:val="24"/>
          <w:lang w:val="fi-FI"/>
        </w:rPr>
        <w:tab/>
      </w:r>
      <w:r w:rsidRPr="009062A0">
        <w:rPr>
          <w:sz w:val="24"/>
          <w:lang w:val="fi-FI"/>
        </w:rPr>
        <w:t xml:space="preserve">Euroopan parlamentin ja neuvoston direktiivi (EU) 2024/1226, annettu 24. huhtikuuta 2024, unionin rajoittavien toimenpiteiden rikkomiseen liittyvien rikosten ja seuraamusten määrittelystä ja direktiivin (EU) 2018/1673 muuttamisesta, EUVL L 2024/1226, 29.4.2024, ELI: </w:t>
      </w:r>
      <w:hyperlink r:id="rId3" w:history="1">
        <w:r w:rsidRPr="009062A0">
          <w:rPr>
            <w:rStyle w:val="Hyperlink"/>
            <w:sz w:val="24"/>
            <w:lang w:val="fi-FI"/>
          </w:rPr>
          <w:t>http://data.europa.eu/eli/dir/2024/1226/oj</w:t>
        </w:r>
      </w:hyperlink>
      <w:r w:rsidRPr="009062A0">
        <w:rPr>
          <w:sz w:val="24"/>
          <w:lang w:val="fi-FI"/>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161/2024"/>
    <w:docVar w:name="dvlangue" w:val="FI"/>
    <w:docVar w:name="dvnumam" w:val="0"/>
    <w:docVar w:name="dvpe" w:val="764.162"/>
    <w:docVar w:name="dvtitre" w:val="Euroopan parlamentin päätöslauselma 14. marraskuuta 2024 EU:n toimista Venäjän varjolaivaston torjumiseksi ja Venäjän vastaisten pakotteiden täysimääräisen täytäntöönpanon varmistamisesta(2024/2885(RSP))"/>
  </w:docVars>
  <w:rsids>
    <w:rsidRoot w:val="00BC6D31"/>
    <w:rsid w:val="00002272"/>
    <w:rsid w:val="00064002"/>
    <w:rsid w:val="000677B9"/>
    <w:rsid w:val="000831BA"/>
    <w:rsid w:val="000A42CC"/>
    <w:rsid w:val="000E7DD9"/>
    <w:rsid w:val="0010095E"/>
    <w:rsid w:val="00125B37"/>
    <w:rsid w:val="00187494"/>
    <w:rsid w:val="001B50A6"/>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715D5"/>
    <w:rsid w:val="005823BA"/>
    <w:rsid w:val="005C2568"/>
    <w:rsid w:val="005F1B17"/>
    <w:rsid w:val="006037C0"/>
    <w:rsid w:val="006631B6"/>
    <w:rsid w:val="00680577"/>
    <w:rsid w:val="006F74FA"/>
    <w:rsid w:val="00714F42"/>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062A0"/>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C6D31"/>
    <w:rsid w:val="00BD48FE"/>
    <w:rsid w:val="00BD7BD8"/>
    <w:rsid w:val="00BE6ADC"/>
    <w:rsid w:val="00C05BFE"/>
    <w:rsid w:val="00C23CD4"/>
    <w:rsid w:val="00C61C0C"/>
    <w:rsid w:val="00C941CB"/>
    <w:rsid w:val="00CC2357"/>
    <w:rsid w:val="00CE3EF8"/>
    <w:rsid w:val="00CF071A"/>
    <w:rsid w:val="00D058B8"/>
    <w:rsid w:val="00D56C11"/>
    <w:rsid w:val="00D834A0"/>
    <w:rsid w:val="00D872DF"/>
    <w:rsid w:val="00D91E21"/>
    <w:rsid w:val="00DA7FCD"/>
    <w:rsid w:val="00E365E1"/>
    <w:rsid w:val="00E820A4"/>
    <w:rsid w:val="00EB006A"/>
    <w:rsid w:val="00EB4772"/>
    <w:rsid w:val="00ED169E"/>
    <w:rsid w:val="00ED4235"/>
    <w:rsid w:val="00ED7224"/>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121854AF-8A4D-4F49-97DD-972D0AFF5C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14F42"/>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CE3EF8"/>
    <w:pPr>
      <w:spacing w:after="240"/>
      <w:ind w:left="567" w:hanging="567"/>
    </w:pPr>
  </w:style>
  <w:style w:type="paragraph" w:customStyle="1" w:styleId="EPComma">
    <w:name w:val="EPComma"/>
    <w:basedOn w:val="Normal"/>
    <w:link w:val="EPCommaChar"/>
    <w:rsid w:val="00CE3EF8"/>
    <w:pPr>
      <w:spacing w:before="480" w:after="240"/>
    </w:pPr>
  </w:style>
  <w:style w:type="character" w:customStyle="1" w:styleId="EPCommaChar">
    <w:name w:val="EPComma Char"/>
    <w:basedOn w:val="DefaultParagraphFont"/>
    <w:link w:val="EPComma"/>
    <w:rsid w:val="00CE3EF8"/>
    <w:rPr>
      <w:sz w:val="24"/>
      <w:lang w:val="fi-FI"/>
    </w:rPr>
  </w:style>
  <w:style w:type="character" w:customStyle="1" w:styleId="Aucun">
    <w:name w:val="Aucun"/>
    <w:rsid w:val="00CE3EF8"/>
  </w:style>
  <w:style w:type="character" w:customStyle="1" w:styleId="NormalHanging12aChar">
    <w:name w:val="NormalHanging12a Char"/>
    <w:basedOn w:val="DefaultParagraphFont"/>
    <w:link w:val="NormalHanging12a"/>
    <w:rsid w:val="00CE3EF8"/>
    <w:rPr>
      <w:sz w:val="24"/>
      <w:lang w:val="fi-FI"/>
    </w:rPr>
  </w:style>
  <w:style w:type="character" w:customStyle="1" w:styleId="s2">
    <w:name w:val="s2"/>
    <w:basedOn w:val="DefaultParagraphFont"/>
    <w:rsid w:val="00CE3EF8"/>
  </w:style>
  <w:style w:type="character" w:styleId="Hyperlink">
    <w:name w:val="Hyperlink"/>
    <w:basedOn w:val="DefaultParagraphFont"/>
    <w:rsid w:val="00CE3EF8"/>
    <w:rPr>
      <w:color w:val="0563C1" w:themeColor="hyperlink"/>
      <w:u w:val="single"/>
    </w:rPr>
  </w:style>
  <w:style w:type="paragraph" w:styleId="Footer">
    <w:name w:val="footer"/>
    <w:basedOn w:val="Normal"/>
    <w:link w:val="FooterChar"/>
    <w:rsid w:val="00ED7224"/>
    <w:pPr>
      <w:tabs>
        <w:tab w:val="center" w:pos="4513"/>
        <w:tab w:val="right" w:pos="9026"/>
      </w:tabs>
    </w:pPr>
  </w:style>
  <w:style w:type="character" w:customStyle="1" w:styleId="FooterChar">
    <w:name w:val="Footer Char"/>
    <w:basedOn w:val="DefaultParagraphFont"/>
    <w:link w:val="Footer"/>
    <w:rsid w:val="00ED7224"/>
    <w:rPr>
      <w:sz w:val="24"/>
      <w:lang w:val="fi-F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dir/2024/1226/oj" TargetMode="External"/><Relationship Id="rId2" Type="http://schemas.openxmlformats.org/officeDocument/2006/relationships/hyperlink" Target="http://data.europa.eu/eli/dir/2009/123/oj" TargetMode="External"/><Relationship Id="rId1" Type="http://schemas.openxmlformats.org/officeDocument/2006/relationships/hyperlink" Target="http://data.europa.eu/eli/dir/2009/20/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6FE1CA1-F1D5-4109-908E-596437ADCC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2908</Words>
  <Characters>25148</Characters>
  <Application>Microsoft Office Word</Application>
  <DocSecurity>0</DocSecurity>
  <Lines>209</Lines>
  <Paragraphs>55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28001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KINNUNEN Hannele</dc:creator>
  <cp:keywords/>
  <cp:lastModifiedBy>KINNUNEN Hannele</cp:lastModifiedBy>
  <cp:revision>2</cp:revision>
  <cp:lastPrinted>2004-11-19T15:42:00Z</cp:lastPrinted>
  <dcterms:created xsi:type="dcterms:W3CDTF">2024-11-14T12:28:00Z</dcterms:created>
  <dcterms:modified xsi:type="dcterms:W3CDTF">2024-11-14T12:28:00Z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B10-0161/2024</vt:lpwstr>
  </property>
  <property fmtid="{D5CDD505-2E9C-101B-9397-08002B2CF9AE}" pid="4" name="&lt;Type&gt;">
    <vt:lpwstr>RR</vt:lpwstr>
  </property>
</Properties>
</file>