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3E5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3E57" w:rsidRDefault="006B241E" w:rsidP="0010095E">
            <w:pPr>
              <w:pStyle w:val="EPName"/>
            </w:pPr>
            <w:r w:rsidRPr="00803E57">
              <w:t>Europski parlament</w:t>
            </w:r>
          </w:p>
          <w:p w:rsidR="00751A4A" w:rsidRPr="00803E5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3E57">
              <w:t>2024</w:t>
            </w:r>
            <w:r w:rsidR="00817416" w:rsidRPr="00803E57">
              <w:t>-202</w:t>
            </w:r>
            <w:r w:rsidRPr="00803E5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03E57" w:rsidRDefault="00187494" w:rsidP="0010095E">
            <w:pPr>
              <w:pStyle w:val="EPLogo"/>
            </w:pPr>
            <w:r w:rsidRPr="00803E57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3E57" w:rsidRDefault="00D058B8" w:rsidP="004C5D52">
      <w:pPr>
        <w:pStyle w:val="LineTop"/>
      </w:pPr>
    </w:p>
    <w:p w:rsidR="00680577" w:rsidRPr="00803E57" w:rsidRDefault="006B241E" w:rsidP="00680577">
      <w:pPr>
        <w:pStyle w:val="EPBodyTA1"/>
      </w:pPr>
      <w:r w:rsidRPr="00803E57">
        <w:t>USVOJENI TEKSTOVI</w:t>
      </w:r>
    </w:p>
    <w:p w:rsidR="00D058B8" w:rsidRPr="00803E57" w:rsidRDefault="00D058B8" w:rsidP="00D058B8">
      <w:pPr>
        <w:pStyle w:val="LineBottom"/>
      </w:pPr>
    </w:p>
    <w:p w:rsidR="006B241E" w:rsidRPr="00803E57" w:rsidRDefault="006B241E" w:rsidP="006B241E">
      <w:pPr>
        <w:pStyle w:val="ATHeading1"/>
      </w:pPr>
      <w:bookmarkStart w:id="0" w:name="TANumber"/>
      <w:r w:rsidRPr="00803E57">
        <w:t>P10_TA(2024)00</w:t>
      </w:r>
      <w:r w:rsidR="001F297C">
        <w:t>36</w:t>
      </w:r>
      <w:bookmarkEnd w:id="0"/>
    </w:p>
    <w:p w:rsidR="006B241E" w:rsidRPr="00803E57" w:rsidRDefault="006B241E" w:rsidP="006B241E">
      <w:pPr>
        <w:pStyle w:val="ATHeading2"/>
      </w:pPr>
      <w:bookmarkStart w:id="1" w:name="title"/>
      <w:r w:rsidRPr="00803E57">
        <w:t>Mjere EU-a protiv ruskih „flota u sjeni” i osiguravanje potpune provedbe sankcija protiv Rusije</w:t>
      </w:r>
      <w:bookmarkEnd w:id="1"/>
    </w:p>
    <w:p w:rsidR="006B241E" w:rsidRPr="00803E57" w:rsidRDefault="006B241E" w:rsidP="006B241E">
      <w:pPr>
        <w:rPr>
          <w:i/>
          <w:vanish/>
        </w:rPr>
      </w:pPr>
      <w:r w:rsidRPr="00803E57">
        <w:rPr>
          <w:i/>
        </w:rPr>
        <w:fldChar w:fldCharType="begin"/>
      </w:r>
      <w:r w:rsidRPr="00803E57">
        <w:rPr>
          <w:i/>
        </w:rPr>
        <w:instrText xml:space="preserve"> TC"(</w:instrText>
      </w:r>
      <w:bookmarkStart w:id="2" w:name="DocNumber"/>
      <w:r w:rsidRPr="00803E57">
        <w:rPr>
          <w:i/>
        </w:rPr>
        <w:instrText>B10-0161</w:instrText>
      </w:r>
      <w:r w:rsidR="00803E57">
        <w:rPr>
          <w:i/>
        </w:rPr>
        <w:instrText>, 0162, 0163, 0164 i 0166</w:instrText>
      </w:r>
      <w:r w:rsidRPr="00803E57">
        <w:rPr>
          <w:i/>
        </w:rPr>
        <w:instrText>/2024</w:instrText>
      </w:r>
      <w:bookmarkEnd w:id="2"/>
      <w:r w:rsidRPr="00803E57">
        <w:rPr>
          <w:i/>
        </w:rPr>
        <w:instrText xml:space="preserve">)"\l3 \n&gt; \* MERGEFORMAT </w:instrText>
      </w:r>
      <w:r w:rsidRPr="00803E57">
        <w:rPr>
          <w:i/>
        </w:rPr>
        <w:fldChar w:fldCharType="end"/>
      </w:r>
    </w:p>
    <w:p w:rsidR="006B241E" w:rsidRPr="00803E57" w:rsidRDefault="006B241E" w:rsidP="006B241E">
      <w:pPr>
        <w:rPr>
          <w:vanish/>
        </w:rPr>
      </w:pPr>
      <w:bookmarkStart w:id="3" w:name="PE"/>
      <w:r w:rsidRPr="00803E57">
        <w:rPr>
          <w:vanish/>
        </w:rPr>
        <w:t>PE764.162</w:t>
      </w:r>
      <w:bookmarkEnd w:id="3"/>
    </w:p>
    <w:p w:rsidR="006B241E" w:rsidRPr="00803E57" w:rsidRDefault="006B241E" w:rsidP="006B241E">
      <w:pPr>
        <w:pStyle w:val="ATHeading3"/>
      </w:pPr>
      <w:bookmarkStart w:id="4" w:name="Sujet"/>
      <w:r w:rsidRPr="00803E57">
        <w:t>Rezolu</w:t>
      </w:r>
      <w:r w:rsidR="00803E57">
        <w:t>cija Europskog parlamenta od 14</w:t>
      </w:r>
      <w:r w:rsidRPr="00803E57">
        <w:t xml:space="preserve">. </w:t>
      </w:r>
      <w:r w:rsidR="00803E57">
        <w:t xml:space="preserve">studenoga </w:t>
      </w:r>
      <w:r w:rsidRPr="00803E57">
        <w:t>2024. o mjerama EU-a protiv ruske flote u sjeni i osiguravanju potpune provedbe sankcija protiv Rusije</w:t>
      </w:r>
      <w:bookmarkEnd w:id="4"/>
      <w:r w:rsidRPr="00803E57">
        <w:t xml:space="preserve"> </w:t>
      </w:r>
      <w:bookmarkStart w:id="5" w:name="References"/>
      <w:r w:rsidRPr="00803E57">
        <w:t>(2024/2885(RSP))</w:t>
      </w:r>
      <w:bookmarkEnd w:id="5"/>
    </w:p>
    <w:p w:rsidR="002C69F1" w:rsidRPr="00803E57" w:rsidRDefault="002C69F1" w:rsidP="002C69F1">
      <w:pPr>
        <w:pStyle w:val="EPComma"/>
      </w:pPr>
      <w:bookmarkStart w:id="6" w:name="TextBodyBegin"/>
      <w:bookmarkEnd w:id="6"/>
      <w:r w:rsidRPr="00803E57">
        <w:rPr>
          <w:i/>
          <w:iCs/>
        </w:rPr>
        <w:t>Europski parlament</w:t>
      </w:r>
      <w:r w:rsidRPr="00803E57">
        <w:t>,</w:t>
      </w:r>
    </w:p>
    <w:p w:rsidR="002C69F1" w:rsidRPr="00803E57" w:rsidRDefault="002C69F1" w:rsidP="002C69F1">
      <w:pPr>
        <w:pStyle w:val="NormalHanging12a"/>
      </w:pPr>
      <w:r w:rsidRPr="00803E57">
        <w:t>–</w:t>
      </w:r>
      <w:r w:rsidRPr="00803E57">
        <w:tab/>
        <w:t>uzimajući u obzir svoje prethodne rezolucije o Rusiji i Ukrajini, posebno nakon eskalacije ruske ratne agresije na Ukrajinu u veljači 2022.,</w:t>
      </w:r>
    </w:p>
    <w:p w:rsidR="002C69F1" w:rsidRPr="00803E57" w:rsidRDefault="002C69F1" w:rsidP="002C69F1">
      <w:pPr>
        <w:pStyle w:val="NormalHanging12a"/>
      </w:pPr>
      <w:r w:rsidRPr="00803E57">
        <w:t>–</w:t>
      </w:r>
      <w:r w:rsidRPr="00803E57">
        <w:tab/>
        <w:t>uzimajući u obzir 14 uzastopnih paketa sankcija protiv Rusije koje je EU donio od veljače 2022.,</w:t>
      </w:r>
    </w:p>
    <w:p w:rsidR="002C69F1" w:rsidRPr="00803E57" w:rsidRDefault="002C69F1" w:rsidP="002C69F1">
      <w:pPr>
        <w:pStyle w:val="NormalHanging12a"/>
      </w:pPr>
      <w:r w:rsidRPr="00803E57">
        <w:t>–</w:t>
      </w:r>
      <w:r w:rsidRPr="00803E57">
        <w:tab/>
        <w:t>uzimajući u obzir Povelju Ujedinjenih naroda i Konvenciju Ujedinjenih naroda o pravu mora,</w:t>
      </w:r>
    </w:p>
    <w:p w:rsidR="002C69F1" w:rsidRPr="00803E57" w:rsidRDefault="002C69F1" w:rsidP="002C69F1">
      <w:pPr>
        <w:pStyle w:val="NormalHanging12a"/>
      </w:pPr>
      <w:r w:rsidRPr="00803E57">
        <w:t>–</w:t>
      </w:r>
      <w:r w:rsidRPr="00803E57">
        <w:tab/>
        <w:t>uzimajući u obzir Međunarodnu konvenciju o sprečavanju onečišćenja s brodova (MARPOL), Međunarodnu konvenciju o standardima izobrazbe, izdavanju svjedodžbi i držanju straže pomoraca, Međunarodnu konvenciju o građanskopravnoj odgovornosti za štetu zbog onečišćenja naftom („Konvencija o građanskopravnoj odgovornosti”) i druge relevantne konvencije Međunarodne pomorske organizacije (IMO),</w:t>
      </w:r>
    </w:p>
    <w:p w:rsidR="002C69F1" w:rsidRPr="00803E57" w:rsidRDefault="002C69F1" w:rsidP="002C69F1">
      <w:pPr>
        <w:pStyle w:val="NormalHanging12a"/>
      </w:pPr>
      <w:r w:rsidRPr="00803E57">
        <w:t>–</w:t>
      </w:r>
      <w:r w:rsidRPr="00803E57">
        <w:tab/>
        <w:t>uzimajući u obzir Rezoluciju Opće skupštine IMO-a A.1192(33) naslovljenu „Apel državama članicama i svim relevantnim dionicima radi promicanja mjera za sprečavanje nezakonitih operacija ‘mračne flote’ ili ‘flote u sjeni’ u pomorskom sektoru”, koja je donesena 6. </w:t>
      </w:r>
      <w:r w:rsidR="00803E57">
        <w:t>prosinca 2023.</w:t>
      </w:r>
      <w:r w:rsidRPr="00803E57">
        <w:t>,</w:t>
      </w:r>
    </w:p>
    <w:p w:rsidR="002C69F1" w:rsidRPr="00803E57" w:rsidRDefault="002C69F1" w:rsidP="002C69F1">
      <w:pPr>
        <w:pStyle w:val="NormalHanging12a"/>
      </w:pPr>
      <w:r w:rsidRPr="00803E57">
        <w:t>–</w:t>
      </w:r>
      <w:r w:rsidRPr="00803E57">
        <w:tab/>
        <w:t>uzimajući u obzir izjavu čelnika skupine G7 od 6. prosinca 2023.,</w:t>
      </w:r>
    </w:p>
    <w:p w:rsidR="002C69F1" w:rsidRPr="00803E57" w:rsidRDefault="002C69F1" w:rsidP="002C69F1">
      <w:pPr>
        <w:pStyle w:val="NormalHanging12a"/>
      </w:pPr>
      <w:r w:rsidRPr="00803E57">
        <w:t>–</w:t>
      </w:r>
      <w:r w:rsidRPr="00803E57">
        <w:tab/>
        <w:t>uzimajući u obzir članak 136. stavke 2. i 4. Poslovnika,</w:t>
      </w:r>
    </w:p>
    <w:p w:rsidR="002C69F1" w:rsidRPr="00803E57" w:rsidRDefault="002C69F1" w:rsidP="002C69F1">
      <w:pPr>
        <w:pStyle w:val="NormalHanging12a"/>
      </w:pPr>
      <w:r w:rsidRPr="00803E57">
        <w:t>A.</w:t>
      </w:r>
      <w:r w:rsidRPr="00803E57">
        <w:tab/>
        <w:t xml:space="preserve">budući da Rusija od 24. veljače 2022. provodi nezakonitu, ničim izazvanu i neopravdanu opću ratnu agresiju na Ukrajinu, kojom nastavlja ono što je započela 2014. kad je pripojila Krim i zatim okupirala dijelove regija Doneck i </w:t>
      </w:r>
      <w:proofErr w:type="spellStart"/>
      <w:r w:rsidRPr="00803E57">
        <w:t>Luhansk</w:t>
      </w:r>
      <w:proofErr w:type="spellEnd"/>
      <w:r w:rsidRPr="00803E57">
        <w:t>;</w:t>
      </w:r>
      <w:r w:rsidRPr="00803E57">
        <w:rPr>
          <w:rStyle w:val="Aucun"/>
          <w:color w:val="000000"/>
        </w:rPr>
        <w:t xml:space="preserve"> budući da EU od samog početka snažno osuđuje rusku ratnu agresiju na Ukrajinu i da je pozvao Rusiju da okonča tu agresiju i poštuje teritorijalnu cjelovitost Ukrajine;</w:t>
      </w:r>
    </w:p>
    <w:p w:rsidR="002C69F1" w:rsidRPr="00803E57" w:rsidRDefault="002C69F1" w:rsidP="002C69F1">
      <w:pPr>
        <w:pStyle w:val="NormalHanging12a"/>
      </w:pPr>
      <w:r w:rsidRPr="00803E57">
        <w:lastRenderedPageBreak/>
        <w:t>B.</w:t>
      </w:r>
      <w:r w:rsidRPr="00803E57">
        <w:tab/>
        <w:t>budući da je Rusija jedan od najvećih svjetskih proizvođača nafte; budući da ruski prihodi od izvoza i proračunski prihodi uvelike ovise o prodaji nafte, što naftu čini ključnim izvorom financiranja rata u Ukrajini;</w:t>
      </w:r>
    </w:p>
    <w:p w:rsidR="002C69F1" w:rsidRPr="00803E57" w:rsidRDefault="002C69F1" w:rsidP="002C69F1">
      <w:pPr>
        <w:pStyle w:val="NormalHanging12a"/>
      </w:pPr>
      <w:r w:rsidRPr="00803E57">
        <w:t>C.</w:t>
      </w:r>
      <w:r w:rsidRPr="00803E57">
        <w:tab/>
        <w:t>budući da su EU i drugi članovi Koalicije za ograničavanje cijena skupine G7+ utvrdili gornju granicu cijena sirove nafte i naftnih derivata ruskog podrijetla u cilju održavanja globalne opskrbe, uz istodobno ograničavanje tokova prihoda koje Rusija upotrebljava za financiranje ratne agresije na Ukrajinu; budući da je Rusija, kao odgovor na to, uložila oko 9 milijardi EUR u uspostavu svoje „flote u sjeni”; budući da naftni tankeri koji prevoze rusku naftu svakodnevno plove europskim vodama, što Rusiji omogućuje da izbjegava sankcije EU-a i skupine G7;</w:t>
      </w:r>
    </w:p>
    <w:p w:rsidR="002C69F1" w:rsidRPr="00803E57" w:rsidRDefault="002C69F1" w:rsidP="002C69F1">
      <w:pPr>
        <w:pStyle w:val="NormalHanging12a"/>
        <w:rPr>
          <w:bCs/>
        </w:rPr>
      </w:pPr>
      <w:r w:rsidRPr="00803E57">
        <w:t>D.</w:t>
      </w:r>
      <w:r w:rsidRPr="00803E57">
        <w:tab/>
        <w:t>budući da je od početka opće ruske invazije na Ukrajinu 24. veljače 2022. EU uveo masovne i dosad nezabilježene mjere ograničavanja i sankcije protiv Rusije u cilju potkopavanja ekonomskog, financijskog i vojnog kapaciteta Rusije za nastavak rata; budući da se šestim paketom sankcija Vijeća zabranjuju, među ostalim, kupnja, uvoz i prijenos sirove nafte i određenih naftnih derivata koji se morskim putem prevoze iz Rusije u EU; budući da se 11. i 12. paket sankcija Vijeća bave rizicima od zaobilaženja sankcija s pomoću „flote u sjeni”; budući da u je okviru 14. paketa sankcija usmjerenih na rusku naftu Vijeće uvelo novu mjeru za određena plovila koja doprinose ratu Rusije protiv Ukrajine i da je u skladu s navedenom mjerom tim plovilima zabranjen pristup lukama i pružanje usluga; budući da je EU na taj popis dosad uvrstio tek 27 plovila, među kojima su i tankeri koji prevoze rusku naftu i provode opasne i nezakonite brodarske prakse; budući da je u listopadu 2024. vlada Ujedinjene Kraljevine uvela sankcije protiv 18 ruskih tankera za naftu i četiri tankera za ukapljeni prirodni plin; budući da je izrada popisa „plovila u sjeni” zasad imala najveći učinak na djelovanje „flote u sjeni”;</w:t>
      </w:r>
    </w:p>
    <w:p w:rsidR="002C69F1" w:rsidRPr="00803E57" w:rsidRDefault="002C69F1" w:rsidP="002C69F1">
      <w:pPr>
        <w:pStyle w:val="NormalHanging12a"/>
        <w:rPr>
          <w:bCs/>
        </w:rPr>
      </w:pPr>
      <w:r w:rsidRPr="00803E57">
        <w:t>E.</w:t>
      </w:r>
      <w:r w:rsidRPr="00803E57">
        <w:tab/>
        <w:t>budući da se „flotama u sjeni” već koriste neprijateljske zemlje kao što su Iran, Venezuela i Sjeverna Koreja; međutim, budući da je ta situacija drugačija zbog razmjera i sofisticiranosti ruskih operacija jer se procjenjuje da ruska „flota u sjeni” mjesečno upravlja s oko 160 – 200 tankera za prijevoz nafte, pri čemu se procjenjuje da ukupna flota obuhvaća 600 plovila koja imaju ključnu ulogu u omogućavanju ruskog izvoza sirove nafte;</w:t>
      </w:r>
    </w:p>
    <w:p w:rsidR="002C69F1" w:rsidRPr="00803E57" w:rsidRDefault="002C69F1" w:rsidP="002C69F1">
      <w:pPr>
        <w:pStyle w:val="NormalHanging12a"/>
      </w:pPr>
      <w:r w:rsidRPr="00803E57">
        <w:t>F.</w:t>
      </w:r>
      <w:r w:rsidRPr="00803E57">
        <w:tab/>
        <w:t>budući da je „flota u sjeni” koju Rusija upotrebljava kako bi zaobišla sankcije znatno smanjila učinak samih sankcija i omogućila Rusiji da te prihode dodatno iskoristi za financiranje svoje ratne agresije na Ukrajinu te budući da se naglašava potreba za jačanjem i proširenjem međunarodne koordinacije sankcija;</w:t>
      </w:r>
    </w:p>
    <w:p w:rsidR="002C69F1" w:rsidRPr="00803E57" w:rsidRDefault="002C69F1" w:rsidP="002C69F1">
      <w:pPr>
        <w:pStyle w:val="NormalHanging12a"/>
      </w:pPr>
      <w:r w:rsidRPr="00803E57">
        <w:t>G.</w:t>
      </w:r>
      <w:r w:rsidRPr="00803E57">
        <w:tab/>
        <w:t xml:space="preserve">budući da se procjenjuje da se ruska „flota u sjeni” sastoji od oko 600 tankera; budući da su to stariji tankeri koji često plove bez standardnog osiguranja za taj sektor, često mijenjaju ime i zemlju registracije, zahvaljujući čemu </w:t>
      </w:r>
      <w:r w:rsidR="00803E57">
        <w:t>Rusija može</w:t>
      </w:r>
      <w:r w:rsidRPr="00803E57">
        <w:t xml:space="preserve"> prodavati znatan dio svoje nafte iznad gornje granice cijena i čime ugrožavaju sposobnost vlada da </w:t>
      </w:r>
      <w:r w:rsidR="00803E57">
        <w:t>vlasnike tankera</w:t>
      </w:r>
      <w:r w:rsidRPr="00803E57">
        <w:t xml:space="preserve"> pozovu na odgovornost za čišćenje u slučaju izlijevanja nafte; budući da ti brodovi općenito nisu prikladni za uporabu i doprinose sve većem riziku od sudara na moru na međunarodnim trgovinskim rutama i predstavljaju ozbiljnu opasnost za okoliš zbog visokog rizika od izlijevanja nafte koje šteti morskim ekosustavima i obalnim područjima, među ostalim u zaštićenim morskim područjima s posebno osjetljivim divljim vrstama, u kojima bi izlijevanje nafte imalo katastrofalne posljedice; budući da iskustvo s prethodnim izlijevanjem nafte iz tankera pokazuje da šteta za obalne i </w:t>
      </w:r>
      <w:r w:rsidRPr="00803E57">
        <w:lastRenderedPageBreak/>
        <w:t>podvodne ekosustave, kao i za površinske životinje i morske ptice, može trajati desetljećima; budući da bi proširenje flote Europske agencije za pomorsku sigurnost (EMSA) dodatnim plovilima za sanaciju bilo razumljivo s obzirom na predanost EU-a zaštiti okoliša, otpornosti u okviru europskog zelenog plana i ciljevima Mehanizma EU-a za civilnu zaštitu u pogledu povećanja kapaciteta za brzi odgovor i pripravnost na katastrofe;</w:t>
      </w:r>
    </w:p>
    <w:p w:rsidR="002C69F1" w:rsidRPr="00803E57" w:rsidRDefault="002C69F1" w:rsidP="002C69F1">
      <w:pPr>
        <w:pStyle w:val="NormalHanging12a"/>
      </w:pPr>
      <w:r w:rsidRPr="00803E57">
        <w:t>H.</w:t>
      </w:r>
      <w:r w:rsidRPr="00803E57">
        <w:tab/>
        <w:t xml:space="preserve">budući da ruski „tankeri u sjeni” redovito pretovaruju rusku sirovu naftu i naftne proizvode s broda na brod u teritorijalnim vodama, uključujući Sredozemno more; budući da u tim operacijama rusku naftu pretovaruju s jednog plovila na drugo i miješaju bez pristajanja ni u jednoj luci kako bi se prikrilo podrijetlo nafte; budući da se to odvija u blizini obale, što predstavlja visok rizik od štete u okolišu; budući da se </w:t>
      </w:r>
      <w:r w:rsidR="00803E57">
        <w:t xml:space="preserve">njihovi </w:t>
      </w:r>
      <w:proofErr w:type="spellStart"/>
      <w:r w:rsidRPr="00803E57">
        <w:t>transponderi</w:t>
      </w:r>
      <w:proofErr w:type="spellEnd"/>
      <w:r w:rsidRPr="00803E57">
        <w:t xml:space="preserve"> satelitskog sustava automatske identifikacije (AIS) često isključuju kako bi se izbjeglo praćenje i službene inspekcije; budući da bi europske obalne zemlje snosile posebno teške posljedice; budući da bi, u slučaju nesreća, izlijevanje nafte s plovila u sjeni moglo dovesti do toga da obalne zemlje i njihovi porezni obveznici moraju snositi troškove čišćenja u milijardama eura jer se vlasnicima tih plovila većinom ne može ući u trag; budući da izlijevanje nafte može dovesti i do znatnih ekonomskih gubitaka, među ostalim zbog smanjenja turizma i ribolovnih aktivnosti; budući da takvo izlijevanje predstavlja znatnu prijetnju kvaliteti vode i lokalnim divljim vrstama, šteti morskim ekosustavima, kontaminira potrošačke proizvode kao što su školjkaši, čime ugrožava ljudsko zdravlje, širi daljnju kontaminaciju i ometa razmnožavanje ribe;</w:t>
      </w:r>
    </w:p>
    <w:p w:rsidR="002C69F1" w:rsidRPr="00803E57" w:rsidRDefault="002C69F1" w:rsidP="002C69F1">
      <w:pPr>
        <w:pStyle w:val="NormalHanging12a"/>
      </w:pPr>
      <w:r w:rsidRPr="00803E57">
        <w:t>I.</w:t>
      </w:r>
      <w:r w:rsidRPr="00803E57">
        <w:tab/>
        <w:t>budući da je namjerno ispuštanje otpadnog ulja s broda nezakonito prema konvenciji MARPOL, međunarodnom ugovoru čiji je cilj suzbiti onečišćenje iz pomorskog prometa; budući da je Rusija potpisnica konvencije MARPOL; budući da postoje dokazi o kršenju konvencije MARPOL; budući da se sankcioniranje pojedinačnih brodova pokazalo učinkovitim jer se sposobnost trgovanja naftom za brodove koji su već uvršteni na crnu listu smanjila nakon što su kažnjeni;</w:t>
      </w:r>
    </w:p>
    <w:p w:rsidR="002C69F1" w:rsidRPr="00803E57" w:rsidRDefault="002C69F1" w:rsidP="002C69F1">
      <w:pPr>
        <w:pStyle w:val="NormalHanging12a"/>
        <w:rPr>
          <w:bCs/>
        </w:rPr>
      </w:pPr>
      <w:r w:rsidRPr="00803E57">
        <w:t>J.</w:t>
      </w:r>
      <w:r w:rsidRPr="00803E57">
        <w:tab/>
        <w:t>budući da je Direktiva 2009/20/EZ</w:t>
      </w:r>
      <w:r w:rsidRPr="00803E57">
        <w:rPr>
          <w:rStyle w:val="FootnoteReference"/>
        </w:rPr>
        <w:footnoteReference w:id="1"/>
      </w:r>
      <w:r w:rsidRPr="00803E57">
        <w:t xml:space="preserve"> o osiguranju brodovlasnika za pomorske tražbine na snazi od 2009. i da se njome osigurava da svi brodovi koji plove pod zastavom države članice EU-a imaju osiguranje i potvrde o osiguranju; budući da je jedan od ciljeva Direktive 2009/20/EZ bio eliminirati brodove koji ne zadovoljavaju standarde; budući da Međunarodna konvencija o intervenciji na otvorenome moru u slučaju nezgode koja uzrokuje ili bi mogla uzrokovati onečišćenje naftom dopušta zemljama „da spriječe, ublaže ili uklone ozbiljnu i neposrednu opasnost za svoju obalu ili povezane interese od onečišćenja mora ili opasnosti od onečišćenja mora naftom nakon pomorske nezgode ili djela povezanih s takvom nezgodom”;</w:t>
      </w:r>
    </w:p>
    <w:p w:rsidR="002C69F1" w:rsidRPr="00803E57" w:rsidRDefault="002C69F1" w:rsidP="002C69F1">
      <w:pPr>
        <w:pStyle w:val="NormalHanging12a"/>
        <w:rPr>
          <w:rFonts w:eastAsia="Arial Unicode MS"/>
          <w:u w:color="000000"/>
          <w:bdr w:val="nil"/>
        </w:rPr>
      </w:pPr>
      <w:r w:rsidRPr="00803E57">
        <w:rPr>
          <w:u w:color="000000"/>
          <w:bdr w:val="nil"/>
        </w:rPr>
        <w:t>K.</w:t>
      </w:r>
      <w:r w:rsidRPr="00803E57">
        <w:rPr>
          <w:u w:color="000000"/>
          <w:bdr w:val="nil"/>
        </w:rPr>
        <w:tab/>
        <w:t>budući da su u nedavnim izvješćima švedske mornarice istaknuti sigurnosni rizici povezani s aktivnostima „flote u sjeni” i njezinom mogućom upotrebom u hibridnim operacijama protiv europskih zemalja;</w:t>
      </w:r>
    </w:p>
    <w:p w:rsidR="002C69F1" w:rsidRPr="00803E57" w:rsidRDefault="002C69F1" w:rsidP="002C69F1">
      <w:pPr>
        <w:pStyle w:val="NormalHanging12a"/>
        <w:rPr>
          <w:bCs/>
        </w:rPr>
      </w:pPr>
      <w:r w:rsidRPr="00803E57">
        <w:t>L.</w:t>
      </w:r>
      <w:r w:rsidRPr="00803E57">
        <w:tab/>
        <w:t xml:space="preserve">budući da, unatoč zabrani uvoza naftnih proizvoda rafiniranih u Rusiji, ne postoji zabrana uvoza iz rafinerija u trećim zemljama koje prerađuju rusku sirovu naftu; budući </w:t>
      </w:r>
      <w:r w:rsidRPr="00803E57">
        <w:lastRenderedPageBreak/>
        <w:t>da „flota u sjeni” isporučuje rusku sirovu naftu rafinerijama u trećim zemljama; budući da EU i članice skupine G7 i dalje uvoze naftne proizvode dobivene od ruske nafte, na primjer iz rafinerija u Turskoj;</w:t>
      </w:r>
    </w:p>
    <w:p w:rsidR="002C69F1" w:rsidRPr="00803E57" w:rsidRDefault="002C69F1" w:rsidP="002C69F1">
      <w:pPr>
        <w:pStyle w:val="NormalHanging12a"/>
        <w:rPr>
          <w:bCs/>
        </w:rPr>
      </w:pPr>
      <w:r w:rsidRPr="00803E57">
        <w:t>M.</w:t>
      </w:r>
      <w:r w:rsidRPr="00803E57">
        <w:tab/>
        <w:t>budući da se promet takvih plovila drastično povećao tijekom 2024., a broj putovanja plovila ruske „flote u sjeni” više nego udvostručio; budući da se znatan dio ruske nafte prevozi prometnim međunarodnim pomorskim rutama; budući da Rusija prevozi veliku većinu svoje nafte iz luka na Baltičkom i Crnom moru;</w:t>
      </w:r>
    </w:p>
    <w:p w:rsidR="002C69F1" w:rsidRPr="00803E57" w:rsidRDefault="002C69F1" w:rsidP="002C69F1">
      <w:pPr>
        <w:pStyle w:val="NormalHanging12a"/>
        <w:rPr>
          <w:bCs/>
        </w:rPr>
      </w:pPr>
      <w:r w:rsidRPr="00803E57">
        <w:t>N.</w:t>
      </w:r>
      <w:r w:rsidRPr="00803E57">
        <w:tab/>
        <w:t>budući da oni koji prevoze naftu i upravljaju „flotom u sjeni” ne djeluju izolirano; budući da su njihove aktivnosti povezane s financijskim transakcijama koje ih podupiru; budući da te transakcije mogu uključivati subjekte koji podliježu financijskim sankcijama; budući da bi poštovanje sankcija trebalo analizirati sagledavajući potpunu sliku kako bi se izbjeglo njihovo zaobilaženje;</w:t>
      </w:r>
    </w:p>
    <w:p w:rsidR="002C69F1" w:rsidRPr="00803E57" w:rsidRDefault="002C69F1" w:rsidP="002C69F1">
      <w:pPr>
        <w:pStyle w:val="NormalHanging12a"/>
      </w:pPr>
      <w:r w:rsidRPr="00803E57">
        <w:t>O.</w:t>
      </w:r>
      <w:r w:rsidRPr="00803E57">
        <w:tab/>
        <w:t>budući da su brodari pokazali da su voljni izbjeći sankcije registracijom svojih plovila u zemljama koje nisu dio sporazuma o ograničenju cijena; budući da se Rusija koristi posrednicima, organizacijama ili pojedincima iz trećih zemalja za kupnju određenih tankera za „flotu u sjeni”; budući da su neki vlasnici i upravitelji tankera i brodova za prijevoz plina iz „flote u sjeni” registrirani i u državama članicama EU-a;</w:t>
      </w:r>
    </w:p>
    <w:p w:rsidR="002C69F1" w:rsidRPr="00803E57" w:rsidRDefault="002C69F1" w:rsidP="002C69F1">
      <w:pPr>
        <w:pStyle w:val="NormalHanging12a"/>
      </w:pPr>
      <w:r w:rsidRPr="00803E57">
        <w:t>P.</w:t>
      </w:r>
      <w:r w:rsidRPr="00803E57">
        <w:tab/>
        <w:t>budući da se za zaobilaženje sankcija ruska „flota u sjeni” u velikoj mjeri oslanja na sudioništvo i suradnju nekoliko zemalja, posebno Kine, Indije i Turske;</w:t>
      </w:r>
    </w:p>
    <w:p w:rsidR="002C69F1" w:rsidRPr="00803E57" w:rsidRDefault="002C69F1" w:rsidP="002C69F1">
      <w:pPr>
        <w:pStyle w:val="NormalHanging12a"/>
      </w:pPr>
      <w:r w:rsidRPr="00803E57">
        <w:t>1.</w:t>
      </w:r>
      <w:r w:rsidRPr="00803E57">
        <w:tab/>
        <w:t>ponovno najoštrije osuđuje ničim izazvanu, nezakonitu i neopravdanu rusku ratnu agresiju na Ukrajinu; poziva Rusiju da odmah obustavi sve vojne operacije u Ukrajini te da u potpunosti i bezuvjetno povuče sve vojne snage, pomagače i vojnu opremu s cijelog međunarodno priznatog državnog područja Ukrajine, okonča prisilne deportacije ukrajinskih civila i oslobodi sve pritvorene i deportirane Ukrajince, posebno djecu;</w:t>
      </w:r>
    </w:p>
    <w:p w:rsidR="002C69F1" w:rsidRPr="00803E57" w:rsidRDefault="002C69F1" w:rsidP="002C69F1">
      <w:pPr>
        <w:pStyle w:val="NormalHanging12a"/>
      </w:pPr>
      <w:r w:rsidRPr="00803E57">
        <w:t>2.</w:t>
      </w:r>
      <w:r w:rsidRPr="00803E57">
        <w:tab/>
        <w:t>ponovno nedvosmisleno daje potporu režimu sankcija koje je uveo EU, čiji je cilj ugroziti sposobnost ruskog režima da nastavi s ratnom agresijom na Ukrajinu; ističe da se sankcijama EU-a kao odgovorom na rusku ratnu agresiju na Ukrajinu želi strateški oslabiti rusku gospodarsku i industrijsku bazu, posebno vojno-industrijski kompleks, kako Ruska Federacija ne bi mogla nastaviti rat, napadati civilno stanovništvo i narušavati teritorijalnu cjelovitost Ukrajine, te se njima Rusiji želi otežati pristup vojnim tehnologijama i komponentama; primjećuje da Rusija aktivno zaobi</w:t>
      </w:r>
      <w:r w:rsidR="00803E57">
        <w:t>lazi</w:t>
      </w:r>
      <w:r w:rsidRPr="00803E57">
        <w:t xml:space="preserve"> sankcije EU-a</w:t>
      </w:r>
      <w:r w:rsidR="003C72FF">
        <w:t xml:space="preserve"> i traži nove načine da to čini</w:t>
      </w:r>
      <w:r w:rsidRPr="00803E57">
        <w:t xml:space="preserve"> pribjegavajući korištenju flote naftnih tankera „u sjeni” te bi stoga i dalje mogla kratkoročno pojačati svoje ratne napore protiv Ukrajine, posebno u nadolazećoj zimskoj sezoni;</w:t>
      </w:r>
    </w:p>
    <w:p w:rsidR="002C69F1" w:rsidRPr="00803E57" w:rsidRDefault="002C69F1" w:rsidP="002C69F1">
      <w:pPr>
        <w:pStyle w:val="NormalHanging12a"/>
        <w:rPr>
          <w:rStyle w:val="Aucun"/>
          <w:color w:val="000000"/>
        </w:rPr>
      </w:pPr>
      <w:r w:rsidRPr="00803E57">
        <w:t>3.</w:t>
      </w:r>
      <w:r w:rsidRPr="00803E57">
        <w:tab/>
        <w:t xml:space="preserve">smatra da je „flota u sjeni” ključan izvor financija za Rusiju u njezinoj nezakonitoj i neopravdanoj ratnoj agresiji na Ukrajinu te jedan od glavnih načina osmišljenih za zaobilaženje režima sankcija EU-a; osuđuje rizike koje ta nesigurna i neosigurana ruska plovila predstavljaju za pomorsku sigurnost i naše europske obalne države članice i morske ekosustave; osuđuje Rusiju zbog namjernog stvaranja golemih rizika radi vlastite financijske dobiti, pri čemu nije vodila nikakvog računa o međunarodnoj sigurnosti ili potencijalnom riziku od nepopravljive štete za okoliš; </w:t>
      </w:r>
      <w:r w:rsidRPr="00803E57">
        <w:rPr>
          <w:rStyle w:val="Aucun"/>
          <w:color w:val="000000"/>
        </w:rPr>
        <w:t>poziva EU i njegove države članice da pojačaju napore za suzbijanje ruskog izbjegavanja i zaobilaženja sankcija te da provedu konkretne mjere kako bi se zajamčila pomorska sigurnost i spriječile opasnosti za okoliš u europskim vodama,</w:t>
      </w:r>
      <w:r w:rsidRPr="00803E57">
        <w:t xml:space="preserve"> posebno u Baltičkom moru;</w:t>
      </w:r>
      <w:r w:rsidRPr="00803E57">
        <w:rPr>
          <w:rStyle w:val="Aucun"/>
          <w:color w:val="000000"/>
        </w:rPr>
        <w:t xml:space="preserve"> </w:t>
      </w:r>
      <w:r w:rsidRPr="00803E57">
        <w:t xml:space="preserve">smatra </w:t>
      </w:r>
      <w:r w:rsidRPr="00803E57">
        <w:lastRenderedPageBreak/>
        <w:t xml:space="preserve">da su pretovari s broda na brod na otvorenom moru visokorizične aktivnosti koje </w:t>
      </w:r>
      <w:r w:rsidRPr="00803E57">
        <w:rPr>
          <w:rStyle w:val="Aucun"/>
          <w:color w:val="000000"/>
        </w:rPr>
        <w:t>ugrožavaju međunarodnu pomorsku sigurnost i zaštitu okoliša;</w:t>
      </w:r>
    </w:p>
    <w:p w:rsidR="002C69F1" w:rsidRPr="00803E57" w:rsidRDefault="002C69F1" w:rsidP="002C69F1">
      <w:pPr>
        <w:pStyle w:val="NormalHanging12a"/>
        <w:rPr>
          <w:rStyle w:val="Aucun"/>
          <w:color w:val="000000"/>
        </w:rPr>
      </w:pPr>
      <w:r w:rsidRPr="00803E57">
        <w:rPr>
          <w:rStyle w:val="Aucun"/>
          <w:color w:val="000000"/>
        </w:rPr>
        <w:t>4.</w:t>
      </w:r>
      <w:r w:rsidRPr="00803E57">
        <w:rPr>
          <w:rStyle w:val="Aucun"/>
          <w:color w:val="000000"/>
        </w:rPr>
        <w:tab/>
        <w:t>poziva na usmjerenije sankcije za „flotu u sjeni” u sljedećim paketima sankcija protiv Rusije, kao što je označivanje svih pojedinačnih plovila „flote u sjeni”, kao i njihovih vlasnika, operatora, upravitelja, računa, banaka, osiguravajućih društava itd.; traži hitnu zabranu upotrebe zapadnih plovila za prijevoz ruske nafte; u širem smislu traži da se u sljedeće pakete sankcija EU-a uvrsti sustavno sankcioniranje plovila koja plove vodama EU-a bez poznatog osiguranja kako bi se zaštitile naše vode i izbjeglo financijsko opterećenje čišćenja izljeva nafte; potiče Europsku službu za vanjsko djelovanje i izaslanika EU-a za sankcije da stupe u kontakt s vladama zemalja u kojima su registrirana poduzeća koja upravljaju „tankerima u sjeni” i zemalja čija se prisutnost zastava znatno povećala u vodama EU-a od uvođenja ograničenja cijena nafte; poziva EU i njegove države članice da se obrate tim državama zastave kako bi ih obavijestili o osnovi uvrštenja na popis i posljedicama mogućeg uvrštenja na popis, istaknuli rizike i negativne učinke nezakonitih i visokorizičnih pomorskih praksi na okoliš te ih podsjetili na odgovornosti država zastave; apelira na države zastave da iz svojih registara brodova uklone sankcionirana plovila;</w:t>
      </w:r>
    </w:p>
    <w:p w:rsidR="002C69F1" w:rsidRPr="00803E57" w:rsidRDefault="002C69F1" w:rsidP="002C69F1">
      <w:pPr>
        <w:pStyle w:val="NormalHanging12a"/>
      </w:pPr>
      <w:r w:rsidRPr="00803E57">
        <w:t>5.</w:t>
      </w:r>
      <w:r w:rsidRPr="00803E57">
        <w:tab/>
        <w:t>napominje da države zastave koje pomažu ruskoj „floti u sjeni” time pomažu i ruskim ratnim naporima; ističe da bi u slučaju neuspjeha klasičnih diplomatskih napora EU trebao ozbiljno preispitati svoju bilateralnu suradnju sa zemljama izvan EU-a koje pomažu Rusiji da zaobiđe sankcije EU-a;</w:t>
      </w:r>
    </w:p>
    <w:p w:rsidR="002C69F1" w:rsidRPr="00803E57" w:rsidRDefault="002C69F1" w:rsidP="002C69F1">
      <w:pPr>
        <w:pStyle w:val="NormalHanging12a"/>
        <w:rPr>
          <w:rStyle w:val="Aucun"/>
          <w:rFonts w:eastAsiaTheme="majorEastAsia"/>
          <w:color w:val="000000"/>
        </w:rPr>
      </w:pPr>
      <w:r w:rsidRPr="00803E57">
        <w:rPr>
          <w:rStyle w:val="Aucun"/>
          <w:color w:val="000000"/>
        </w:rPr>
        <w:t>6.</w:t>
      </w:r>
      <w:r w:rsidRPr="00803E57">
        <w:rPr>
          <w:rStyle w:val="Aucun"/>
          <w:color w:val="000000"/>
        </w:rPr>
        <w:tab/>
      </w:r>
      <w:r w:rsidRPr="00803E57">
        <w:t xml:space="preserve">osuđuje sudjelovanje europskih brodovlasnika u stvaranju ruske „flote u sjeni”; </w:t>
      </w:r>
      <w:r w:rsidRPr="00803E57">
        <w:rPr>
          <w:rStyle w:val="Aucun"/>
          <w:color w:val="000000"/>
        </w:rPr>
        <w:t xml:space="preserve">osuđuje postupke država, pružatelja pravnih usluga i drugih subjekata te pojedinaca koji pomažu Rusiji da izbjegne ili ublaži sankcije EU-a; </w:t>
      </w:r>
      <w:r w:rsidRPr="00803E57">
        <w:t xml:space="preserve">podsjeća da je kršenje sankcija kazneno djelo na razini EU-a te da ozbiljno utječe na financijske interese EU-a; poziva na proširenje i provedbu ograničenja u pogledu prodaje plovila te </w:t>
      </w:r>
      <w:r w:rsidRPr="00803E57">
        <w:rPr>
          <w:rStyle w:val="Aucun"/>
          <w:color w:val="000000"/>
        </w:rPr>
        <w:t>na zabranu prodaje tankera zemljama koje olakšavaju trgovinu s Rusijom;</w:t>
      </w:r>
    </w:p>
    <w:p w:rsidR="002C69F1" w:rsidRPr="00803E57" w:rsidRDefault="002C69F1" w:rsidP="002C69F1">
      <w:pPr>
        <w:pStyle w:val="NormalHanging12a"/>
        <w:rPr>
          <w:bCs/>
        </w:rPr>
      </w:pPr>
      <w:r w:rsidRPr="00803E57">
        <w:t>7.</w:t>
      </w:r>
      <w:r w:rsidRPr="00803E57">
        <w:tab/>
        <w:t>poziva na pojačane mjere na razini cijelog EU-a kako bi se osigurala stroža provedba i proširenje sankcija, uključujući neposredne inspekcije plovila koja djeluju u vodama EU-a kako bi se provjerilo njihovo osiguranje i usklađenost sa zahtjevima IMO-a; poziva države članice da procijene i ojačaju svoje administrativne kapacitete kako bi osigurale brzu provedbu i strogu primjenu sankcija EU-a;</w:t>
      </w:r>
    </w:p>
    <w:p w:rsidR="002C69F1" w:rsidRPr="00803E57" w:rsidRDefault="002C69F1" w:rsidP="002C69F1">
      <w:pPr>
        <w:pStyle w:val="NormalHanging12a"/>
      </w:pPr>
      <w:r w:rsidRPr="00803E57">
        <w:t>8.</w:t>
      </w:r>
      <w:r w:rsidRPr="00803E57">
        <w:tab/>
        <w:t>poziva Komisiju da u okviru suradnje EU-a s IMO-om poduzme mjere za sprečavanje i ograničavanje aktivnosti „flote u sjeni”; traži strogu provedbu Rezolucije Opće skupštine IMO-a A.1192(33), koja je donesena u prosincu 2023. radi borbe protiv štetnih pomorskih operacija, posebno obveze da plovila prijave sve pretovare s broda na brod svojim državama zastave i obveze pojačanih inspekcijskih pregleda u lukama sumnjivih brodova; poziva EU i njegove države članice da plovilima ruske „flote u sjeni” ograniče pristup vodama EU-a; ističe da se mora iskoristiti puni potencijal Europske agencije za pomorsku sigurnost kako bi se državama članicama pružila potpora u identificiranju brodova na koje se trebaju primijeniti sankcije i praćenju kretanja sumnjivih brodova; posebno traži da EU sastavi sveobuhvatan popis plovila koja pripadaju ruskoj „floti u sjeni”, da provede ciljane inspekcijske preglede, među ostalim na moru, i da uvede sankcije koje također dovode do trajnog ili privremenog blokiranja plovila zbog administrativnih razloga;</w:t>
      </w:r>
    </w:p>
    <w:p w:rsidR="002C69F1" w:rsidRPr="00803E57" w:rsidRDefault="002C69F1" w:rsidP="002C69F1">
      <w:pPr>
        <w:pStyle w:val="NormalHanging12a"/>
      </w:pPr>
      <w:r w:rsidRPr="00803E57">
        <w:lastRenderedPageBreak/>
        <w:t>9.</w:t>
      </w:r>
      <w:r w:rsidRPr="00803E57">
        <w:tab/>
        <w:t>poziva EU i njegove države članice da pomno prate provedbu Direktive 2009/20/EZ o osiguranju brodovlasnika za pomorske tražbine kako bi se spriječila plovidba neosiguranih plovila kroz vode EU-a; naglašava da su potrebni jači provedbeni mehanizmi, kao što su omogućavanje državama članicama EU-a da spriječe pristajanje neosiguranih plovila ili plovila koja ne poštuju propise u lukama EU-a ili korištenje voda EU-a za opskrbu gorivom ili druge usluge te povećanje praćenja takvih plovila; poziva države članice da poduzmu mjere kako bi osigurale da se plovila koja se ne pridržavaju propisa ne stavljaju na raspolaganje na tržištu;</w:t>
      </w:r>
    </w:p>
    <w:p w:rsidR="002C69F1" w:rsidRPr="00803E57" w:rsidRDefault="002C69F1" w:rsidP="002C69F1">
      <w:pPr>
        <w:pStyle w:val="NormalHanging12a"/>
      </w:pPr>
      <w:r w:rsidRPr="00803E57">
        <w:t>10.</w:t>
      </w:r>
      <w:r w:rsidRPr="00803E57">
        <w:tab/>
        <w:t>potiče države članice da blisko surađuju s Ujedinjenom Kraljevinom u pogledu mjera kojima se plovilima ruske „flote u sjeni” ograničava korištenje Engleskim kanalom; poziva zemlje s međunarodnim tjesnacima da od brodova zahtijevaju da dokažu osiguranje za zaštitu i naknadu te da se pridržavaju minimalnih sigurnosnih standarda; poziva sve države članice da od svih plovila koja prolaze kroz njihove vode zahtijevaju objavljivanje osiguranja u slučaju izljeva nafte kako bi se osigurala transparentnost u pogledu osiguranja;</w:t>
      </w:r>
    </w:p>
    <w:p w:rsidR="002C69F1" w:rsidRPr="00803E57" w:rsidRDefault="002C69F1" w:rsidP="002C69F1">
      <w:pPr>
        <w:pStyle w:val="NormalHanging12a"/>
      </w:pPr>
      <w:r w:rsidRPr="00803E57">
        <w:t>11.</w:t>
      </w:r>
      <w:r w:rsidRPr="00803E57">
        <w:tab/>
        <w:t xml:space="preserve">potiče EU i njegove države članice da poboljšaju kapacitete za nadzor, posebno praćenje bespilotnim letjelicama i satelitima, među ostalim upotrebom satelitskih snimaka </w:t>
      </w:r>
      <w:proofErr w:type="spellStart"/>
      <w:r w:rsidRPr="00803E57">
        <w:t>Sentinel</w:t>
      </w:r>
      <w:proofErr w:type="spellEnd"/>
      <w:r w:rsidRPr="00803E57">
        <w:t>, kako bi se identificirala plovila „flote u sjeni” u vodama EU-a i pratile aktivnosti, kao što su pretovari s broda na brod kojima se krše direktive EU-a i konvencija MARPOL, te da brzo provode istrage kada se pojave rizici za obalna područja i morske ekosustave;</w:t>
      </w:r>
    </w:p>
    <w:p w:rsidR="002C69F1" w:rsidRPr="00803E57" w:rsidRDefault="002C69F1" w:rsidP="002C69F1">
      <w:pPr>
        <w:pStyle w:val="NormalHanging12a"/>
        <w:rPr>
          <w:bCs/>
        </w:rPr>
      </w:pPr>
      <w:r w:rsidRPr="00803E57">
        <w:t>12.</w:t>
      </w:r>
      <w:r w:rsidRPr="00803E57">
        <w:tab/>
        <w:t>traži zabranu pretovara ruske sirove nafte i naftnih proizvoda s broda na brod u vodama EU-a; traži da se rasporede potrebna sredstva za utvrđivanje i ometanje tih operacija pretovara, među ostalim zabranom sidrenja i opskrbe gorivom svih takvih brodova u vodama EU-a;</w:t>
      </w:r>
    </w:p>
    <w:p w:rsidR="002C69F1" w:rsidRPr="00803E57" w:rsidRDefault="002C69F1" w:rsidP="002C69F1">
      <w:pPr>
        <w:pStyle w:val="NormalHanging12a"/>
      </w:pPr>
      <w:r w:rsidRPr="00803E57">
        <w:t>13.</w:t>
      </w:r>
      <w:r w:rsidRPr="00803E57">
        <w:tab/>
        <w:t>poziva države članice da provode stroge regulatorne mjere u svojim lukama i teritorijalnim vodama; potiče države članice da, u slučaju tankera koji potencijalno prevoze rusku naftu, u potpunosti iskoriste svoje pravo da plovila vodi fizički prisutan pilot iz relevantnog nacionalnog tijela radi provjere podrijetla tereta, krajnjeg vlasništva nad brodom, dokumentacije o osiguranju i usklađenosti sa sigurnosnim standardima te da osiguraju da plovila za koja se sumnja na izbjegavanje sankcija i neusklađenost s okolišem nose oznaku potrebne istrage;</w:t>
      </w:r>
    </w:p>
    <w:p w:rsidR="002C69F1" w:rsidRPr="00803E57" w:rsidRDefault="002C69F1" w:rsidP="002C69F1">
      <w:pPr>
        <w:pStyle w:val="NormalHanging12a"/>
        <w:rPr>
          <w:rStyle w:val="s2"/>
          <w:color w:val="000000"/>
        </w:rPr>
      </w:pPr>
      <w:r w:rsidRPr="00803E57">
        <w:rPr>
          <w:rStyle w:val="s2"/>
          <w:color w:val="000000"/>
        </w:rPr>
        <w:t>14.</w:t>
      </w:r>
      <w:r w:rsidRPr="00803E57">
        <w:rPr>
          <w:rStyle w:val="s2"/>
          <w:color w:val="000000"/>
        </w:rPr>
        <w:tab/>
      </w:r>
      <w:r w:rsidRPr="00803E57">
        <w:t xml:space="preserve">poziva </w:t>
      </w:r>
      <w:r w:rsidRPr="00803E57">
        <w:rPr>
          <w:rStyle w:val="s2"/>
          <w:color w:val="000000"/>
        </w:rPr>
        <w:t>države članice da odrede luke koje mogu upravljati sankcioniranim plovilima koja prevoze sirovu naftu i ukapljeni prirodni plin te da bez naknade zaplijene nezakonit teret;</w:t>
      </w:r>
    </w:p>
    <w:p w:rsidR="002C69F1" w:rsidRPr="00803E57" w:rsidRDefault="002C69F1" w:rsidP="002C69F1">
      <w:pPr>
        <w:pStyle w:val="NormalHanging12a"/>
      </w:pPr>
      <w:r w:rsidRPr="00803E57">
        <w:t>15.</w:t>
      </w:r>
      <w:r w:rsidRPr="00803E57">
        <w:tab/>
        <w:t xml:space="preserve">naglašava da će učinak postojećih sankcija, kao i financijske i vojne potpore Ukrajini, i dalje biti ugrožen sve dok EU i dalje uvozi ruska fosilna goriva; stoga poziva EU i njegove države članice da zabrane sav uvoz ruskih fosilnih goriva, uključujući ukapljeni prirodni plin; poziva EU da uvede zahtjev da plovila koja izvoze ruski ukapljeni prirodni plin budu uvrštena na popis sankcija EU-a, čime bi im se uskratio pristup lukama ili pomorskim uslugama u EU-u; poziva EU i njegove države članice da zabrane uvoz ruskih nuklearnih proizvoda te apelira na države članice da ne sklapaju nove sporazume s </w:t>
      </w:r>
      <w:proofErr w:type="spellStart"/>
      <w:r w:rsidRPr="00803E57">
        <w:t>Rosatomom</w:t>
      </w:r>
      <w:proofErr w:type="spellEnd"/>
      <w:r w:rsidRPr="00803E57">
        <w:t xml:space="preserve"> ili s njegovim vodstvom i podružnicama;</w:t>
      </w:r>
    </w:p>
    <w:p w:rsidR="002C69F1" w:rsidRPr="00803E57" w:rsidRDefault="002C69F1" w:rsidP="002C69F1">
      <w:pPr>
        <w:pStyle w:val="NormalHanging12a"/>
      </w:pPr>
      <w:r w:rsidRPr="00803E57">
        <w:t>16.</w:t>
      </w:r>
      <w:r w:rsidRPr="00803E57">
        <w:tab/>
        <w:t xml:space="preserve">poziva zemlje skupine G7 da učinkovitije provode ograničenje cijena ruske nafte koja </w:t>
      </w:r>
      <w:r w:rsidRPr="00803E57">
        <w:lastRenderedPageBreak/>
        <w:t xml:space="preserve">se prenosi morskim putem, znatno smanje gornje granice cijena nafte i suzbijaju rupe u zakonu kojima se Rusija koristi za prepakiranje i prodaju svoje nafte i naftnih proizvoda po tržišnim cijenama; poziva EU, njegove države članice i partnere iz skupine G7 da poboljšaju suradnju s trgovinskim partnerima kako bi se brže i učinkovitije identificirali kupci ruske nafte i da prestanu kupovati naftne proizvode od njih; traži da se ti utvrđeni objekti uvrste na popis ciljanih sankcija i da se uvede potpuna zabrana ponovno izvezenih ruskih rafiniranih naftnih proizvoda; traži usklađeno ispitivanje podrijetla uvoza fosilnih goriva, ukapljenog prirodnog plina i rafiniranih fosilnih goriva kako bi se spriječio ponovni izvoz ruske energije u EU; poziva države članice da temeljito istraže poštuju li poduzeća ograničenja izvoza robe uvrštene na popis i da uvedu </w:t>
      </w:r>
      <w:proofErr w:type="spellStart"/>
      <w:r w:rsidRPr="00803E57">
        <w:t>odvraćajuće</w:t>
      </w:r>
      <w:proofErr w:type="spellEnd"/>
      <w:r w:rsidRPr="00803E57">
        <w:t xml:space="preserve"> kazne;</w:t>
      </w:r>
    </w:p>
    <w:p w:rsidR="002C69F1" w:rsidRPr="00803E57" w:rsidRDefault="002C69F1" w:rsidP="002C69F1">
      <w:pPr>
        <w:pStyle w:val="NormalHanging12a"/>
      </w:pPr>
      <w:r w:rsidRPr="00803E57">
        <w:t>17.</w:t>
      </w:r>
      <w:r w:rsidRPr="00803E57">
        <w:tab/>
        <w:t>snažno preporučuje da EU i njegovi partneri iz skupine G7 znatno prošire svoje popise sankcija kako bi uvrstili dodatna plovila koja zaobilaze gornje granice cijena i djeluju bez poštovanja međunarodnih standarda;</w:t>
      </w:r>
      <w:r w:rsidRPr="00803E57">
        <w:rPr>
          <w:rStyle w:val="Aucun"/>
          <w:color w:val="000000"/>
        </w:rPr>
        <w:t xml:space="preserve"> poziva EU i partnerske zemlje </w:t>
      </w:r>
      <w:r w:rsidRPr="00803E57">
        <w:t>da pri primjeni okvira sankcija s dužnom pažnjom provjere primjerenost osiguranja koje pokriva izljeve nafte, primjerice pri pružanju ili obnavljanju registracija; poziva na strože zahtjeve u pogledu dubinske analize za dobivanje osiguranja za plovila, kao što su dokazi o kupoprodajnim ugovorima koji su u skladu s gornjom granicom cijene ili pouzdani, provjereni bankovni izvodi itd.;</w:t>
      </w:r>
    </w:p>
    <w:p w:rsidR="002C69F1" w:rsidRPr="00803E57" w:rsidRDefault="002C69F1" w:rsidP="002C69F1">
      <w:pPr>
        <w:pStyle w:val="NormalHanging12a"/>
      </w:pPr>
      <w:r w:rsidRPr="00803E57">
        <w:t>18.</w:t>
      </w:r>
      <w:r w:rsidRPr="00803E57">
        <w:tab/>
        <w:t>poziva Komisiju i države članice da osiguraju dostatnu pripravnost za ekološke katastrofe, posebno u slučaju velikih izljeva nafte, te da osiguraju blisku suradnju tijela država članica, i međusobno i s Europskom agencijom za pomorsku sigurnost, u rješavanju velikih prekograničnih katastrofa onečišćenja, među ostalim nastavkom koordinacije inventara opreme potrebne za čišćenje; ističe da će takvi incidenti dovesti do ozbiljnog dugoročnog uništavanja okoliša, što bi pak moglo znatno utjecati na turizam, ribarstvo i pomorsku industriju u državama članicama koje graniče s pogođenim morima; poziva Komisiju da osigura dodatno financiranje kako bi se Europskoj agenciji za pomorsku sigurnost osigurao dostatan broj plovila za sanaciju izljeva nafte;</w:t>
      </w:r>
    </w:p>
    <w:p w:rsidR="002C69F1" w:rsidRPr="00803E57" w:rsidRDefault="002C69F1" w:rsidP="002C69F1">
      <w:pPr>
        <w:pStyle w:val="NormalHanging12a"/>
      </w:pPr>
      <w:r w:rsidRPr="00803E57">
        <w:t>19.</w:t>
      </w:r>
      <w:r w:rsidRPr="00803E57">
        <w:tab/>
        <w:t xml:space="preserve">poziva Komisiju da osigura učinkovitu provedbu i primjenu Direktive 2009/123/EZ Europskog parlamenta i Vijeća o izmjeni Direktive 2005/35/EZ o onečišćenju s brodova i uvođenju sankcija za kršenja </w:t>
      </w:r>
      <w:r w:rsidRPr="00803E57">
        <w:rPr>
          <w:rStyle w:val="FootnoteReference"/>
        </w:rPr>
        <w:footnoteReference w:id="2"/>
      </w:r>
      <w:r w:rsidRPr="00803E57">
        <w:t xml:space="preserve">; poziva države članice da brzo prenesu i provedu Direktivu (EU) 2024/1226 o definiciji kaznenih djela i sankcija za kršenje </w:t>
      </w:r>
      <w:proofErr w:type="spellStart"/>
      <w:r w:rsidRPr="00803E57">
        <w:t>Unijinih</w:t>
      </w:r>
      <w:proofErr w:type="spellEnd"/>
      <w:r w:rsidRPr="00803E57">
        <w:t xml:space="preserve"> mjera ograničavanja</w:t>
      </w:r>
      <w:r w:rsidRPr="00803E57">
        <w:rPr>
          <w:rStyle w:val="FootnoteReference"/>
        </w:rPr>
        <w:footnoteReference w:id="3"/>
      </w:r>
      <w:r w:rsidRPr="00803E57">
        <w:t xml:space="preserve"> te da osiguraju uspostavu odgovarajućih financijskih, tehničkih i ljudskih resursa za pravilnu provedbu restriktivnih mjera EU-a;</w:t>
      </w:r>
    </w:p>
    <w:p w:rsidR="002C69F1" w:rsidRPr="00803E57" w:rsidRDefault="002C69F1" w:rsidP="002C69F1">
      <w:pPr>
        <w:pStyle w:val="NormalHanging12a"/>
      </w:pPr>
      <w:r w:rsidRPr="00803E57">
        <w:t>20.</w:t>
      </w:r>
      <w:r w:rsidRPr="00803E57">
        <w:tab/>
        <w:t xml:space="preserve">potiče države članice i Komisiju da surađuju s međunarodnim partnerima i dionicima, među ostalim u sektorima pomorskog prometa, energetike, osiguranja i financija, kako bi se utvrdile najbolje prakse za otkrivanje i rješavanje problema izbjegavanja sankcija i </w:t>
      </w:r>
      <w:r w:rsidRPr="00803E57">
        <w:lastRenderedPageBreak/>
        <w:t>ublažavanja utjecaja na okoliš u vodama EU-a;</w:t>
      </w:r>
    </w:p>
    <w:p w:rsidR="002C69F1" w:rsidRPr="00803E57" w:rsidRDefault="002C69F1" w:rsidP="002C69F1">
      <w:pPr>
        <w:pStyle w:val="NormalHanging12a"/>
      </w:pPr>
      <w:r w:rsidRPr="00803E57">
        <w:t>21.</w:t>
      </w:r>
      <w:r w:rsidRPr="00803E57">
        <w:tab/>
        <w:t>poziva Komisiju da razvije jasnije smjernice i strože standarde dubinske analize za poduzeća i financijske institucije iz EU-a kako bi se izbjegle neželjene interakcije sa subjektima povezanima s „flotama u sjeni”;</w:t>
      </w:r>
    </w:p>
    <w:p w:rsidR="002C69F1" w:rsidRPr="00803E57" w:rsidRDefault="002C69F1" w:rsidP="002C69F1">
      <w:pPr>
        <w:pStyle w:val="NormalHanging12a"/>
      </w:pPr>
      <w:r w:rsidRPr="00803E57">
        <w:t>22.</w:t>
      </w:r>
      <w:r w:rsidRPr="00803E57">
        <w:tab/>
        <w:t>poziva da se podrži rad izaslanika EU-a za sankcije na sprečavanju izbjegavanja mjera kako bi se spriječio sustavan ponovni izvoz sankcionirane robe iz EU-a u Rusiju, čime se ozbiljno ugrožava učinkovitost sankcija EU-a i ometaju međunarodni napori za okončanje rata; u tom pogledu poziva sve zemlje kandidatkinje i potencijalne kandidatkinje za pristupanje EU-u da se strogo pridržavaju sankcija EU-a kao odgovora na rusku ratnu agresiju na Ukrajinu kako bi pokazale spremnost za preuzimanje obveza koje proizlaze iz članstva u EU-u; ponovo poziva Vijeće da proširi ovlasti Ureda europskog javnog tužitelja kako bi se riješio problem kaznenog djela kršenja mjera ograničavanja EU-a; poziva EU i njegove države članice da na razini EU-a ojačaju i centraliziraju nadzor nad provedbom sankcija te da razviju mehanizam za sprečavanje i praćenje zaobilaženja sankcija;</w:t>
      </w:r>
    </w:p>
    <w:p w:rsidR="002C69F1" w:rsidRPr="00803E57" w:rsidRDefault="002C69F1" w:rsidP="002C69F1">
      <w:pPr>
        <w:pStyle w:val="NormalHanging12a"/>
      </w:pPr>
      <w:r w:rsidRPr="00803E57">
        <w:t>23.</w:t>
      </w:r>
      <w:r w:rsidRPr="00803E57">
        <w:tab/>
        <w:t>zalaže se za globalne standarde transparentnosti u pogledu registracije plovila kako bi smanjilo pribjegavanje fiktivnim poduzećima i zastavama pogodnosti i tako povećala transparentnost vlasništva nad plovilima;</w:t>
      </w:r>
    </w:p>
    <w:p w:rsidR="002C69F1" w:rsidRPr="00803E57" w:rsidRDefault="002C69F1" w:rsidP="002C69F1">
      <w:pPr>
        <w:pStyle w:val="NormalHanging12a"/>
      </w:pPr>
      <w:r w:rsidRPr="00803E57">
        <w:t>24.</w:t>
      </w:r>
      <w:r w:rsidRPr="00803E57">
        <w:tab/>
        <w:t>poziva Komisiju da ispita donošenje instrumenata trgovinske politike sličnih onima koje primjenjuju Sjedinjene Američke Države, usredotočujući se na aktere koji ostvaruju tržišne prednosti zbog režima sankcija i koji bi zbog toga mogli nepošteno djelovati na tržištu EU-a;</w:t>
      </w:r>
    </w:p>
    <w:p w:rsidR="002C69F1" w:rsidRPr="00803E57" w:rsidRDefault="002C69F1" w:rsidP="002C69F1">
      <w:pPr>
        <w:pStyle w:val="NormalHanging12a"/>
      </w:pPr>
      <w:r w:rsidRPr="00803E57">
        <w:t>25.</w:t>
      </w:r>
      <w:r w:rsidRPr="00803E57">
        <w:tab/>
        <w:t xml:space="preserve">izražava zabrinutost zbog </w:t>
      </w:r>
      <w:r w:rsidR="00403BFB">
        <w:t>prijavljenog</w:t>
      </w:r>
      <w:r w:rsidRPr="00803E57">
        <w:t xml:space="preserve"> višk</w:t>
      </w:r>
      <w:r w:rsidR="00403BFB">
        <w:t>a</w:t>
      </w:r>
      <w:r w:rsidRPr="00803E57">
        <w:t xml:space="preserve"> u ruskoj proizvodnji nafte, koji znatno premašuje rusku kvotu koju je odredila Organizacija zemalja izvoznica nafte plus (OPEC+), čime se dodatno omogućuje zaobilaženje utvrđene gornje granice cijena i Rusiji omogućuje ostvarivanje dodatnih prihoda; poziva EU i njegove države članice da pomno prate situaciju i poduzmu odgovarajuće mjere u suradnji s međunarodnim partnerima EU-a;</w:t>
      </w:r>
    </w:p>
    <w:p w:rsidR="00E365E1" w:rsidRPr="00803E57" w:rsidRDefault="002C69F1" w:rsidP="00803E57">
      <w:pPr>
        <w:ind w:left="567" w:hanging="567"/>
      </w:pPr>
      <w:r w:rsidRPr="00803E57">
        <w:t>26.</w:t>
      </w:r>
      <w:r w:rsidRPr="00803E57">
        <w:tab/>
        <w:t xml:space="preserve">nalaže svojoj predsjednici da ovu Rezoluciju proslijedi Vijeću, Komisiji, potpredsjedniku Komisije / Visokom predstavniku Unije za vanjske poslove i sigurnosnu politiku, predsjedniku, vladi i </w:t>
      </w:r>
      <w:proofErr w:type="spellStart"/>
      <w:r w:rsidRPr="00803E57">
        <w:t>Verhovnoj</w:t>
      </w:r>
      <w:proofErr w:type="spellEnd"/>
      <w:r w:rsidRPr="00803E57">
        <w:t xml:space="preserve"> radi Ukrajine, Vijeću Europe, Organizaciji za europsku sigurnost i suradnju, Međunarodnoj pomorskoj organizaciji te ruskim vlastima.</w:t>
      </w:r>
    </w:p>
    <w:sectPr w:rsidR="00E365E1" w:rsidRPr="00803E57" w:rsidSect="00C13D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41E" w:rsidRPr="00C13D7D" w:rsidRDefault="006B241E">
      <w:r w:rsidRPr="00C13D7D">
        <w:separator/>
      </w:r>
    </w:p>
  </w:endnote>
  <w:endnote w:type="continuationSeparator" w:id="0">
    <w:p w:rsidR="006B241E" w:rsidRPr="00C13D7D" w:rsidRDefault="006B241E">
      <w:r w:rsidRPr="00C13D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3D7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3D7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3D7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41E" w:rsidRPr="00C13D7D" w:rsidRDefault="006B241E">
      <w:r w:rsidRPr="00C13D7D">
        <w:separator/>
      </w:r>
    </w:p>
  </w:footnote>
  <w:footnote w:type="continuationSeparator" w:id="0">
    <w:p w:rsidR="006B241E" w:rsidRPr="00C13D7D" w:rsidRDefault="006B241E">
      <w:r w:rsidRPr="00C13D7D">
        <w:continuationSeparator/>
      </w:r>
    </w:p>
  </w:footnote>
  <w:footnote w:id="1">
    <w:p w:rsidR="002C69F1" w:rsidRPr="00C13D7D" w:rsidRDefault="002C69F1" w:rsidP="00C13D7D">
      <w:pPr>
        <w:pStyle w:val="FootnoteText"/>
        <w:ind w:left="567" w:hanging="567"/>
        <w:rPr>
          <w:sz w:val="24"/>
          <w:lang w:val="hr-HR"/>
        </w:rPr>
      </w:pPr>
      <w:r w:rsidRPr="00C13D7D">
        <w:rPr>
          <w:rStyle w:val="FootnoteReference"/>
          <w:sz w:val="24"/>
          <w:lang w:val="hr-HR"/>
        </w:rPr>
        <w:footnoteRef/>
      </w:r>
      <w:r w:rsidR="00C13D7D" w:rsidRPr="00C13D7D">
        <w:rPr>
          <w:sz w:val="24"/>
          <w:lang w:val="hr-HR"/>
        </w:rPr>
        <w:t xml:space="preserve"> </w:t>
      </w:r>
      <w:r w:rsidR="00C13D7D" w:rsidRPr="00C13D7D">
        <w:rPr>
          <w:sz w:val="24"/>
          <w:lang w:val="hr-HR"/>
        </w:rPr>
        <w:tab/>
      </w:r>
      <w:r w:rsidRPr="00C13D7D">
        <w:rPr>
          <w:sz w:val="24"/>
          <w:lang w:val="hr-HR"/>
        </w:rPr>
        <w:t xml:space="preserve">Direktiva 2009/20/EZ Europskog parlamenta i Vijeća od 23. travnja 2009. o osiguranju brodovlasnika za pomorske tražbine </w:t>
      </w:r>
      <w:r w:rsidR="003154ED">
        <w:rPr>
          <w:sz w:val="24"/>
          <w:lang w:val="hr-HR"/>
        </w:rPr>
        <w:t>(</w:t>
      </w:r>
      <w:r w:rsidRPr="00C13D7D">
        <w:rPr>
          <w:sz w:val="24"/>
          <w:lang w:val="hr-HR"/>
        </w:rPr>
        <w:t xml:space="preserve">SL L 131, 28.5.2009., str. 128., ELI: </w:t>
      </w:r>
      <w:hyperlink r:id="rId1" w:history="1">
        <w:r w:rsidRPr="00C13D7D">
          <w:rPr>
            <w:rStyle w:val="Hyperlink"/>
            <w:sz w:val="24"/>
            <w:lang w:val="hr-HR"/>
          </w:rPr>
          <w:t>http://data.europa.eu/eli/dir/2009/20/oj</w:t>
        </w:r>
      </w:hyperlink>
      <w:r w:rsidR="003154ED">
        <w:rPr>
          <w:rStyle w:val="Hyperlink"/>
          <w:sz w:val="24"/>
          <w:lang w:val="hr-HR"/>
        </w:rPr>
        <w:t>)</w:t>
      </w:r>
      <w:r w:rsidRPr="00C13D7D">
        <w:rPr>
          <w:sz w:val="24"/>
          <w:lang w:val="hr-HR"/>
        </w:rPr>
        <w:t>.</w:t>
      </w:r>
    </w:p>
  </w:footnote>
  <w:footnote w:id="2">
    <w:p w:rsidR="002C69F1" w:rsidRPr="00C13D7D" w:rsidRDefault="002C69F1" w:rsidP="00C13D7D">
      <w:pPr>
        <w:pStyle w:val="FootnoteText"/>
        <w:ind w:left="567" w:hanging="567"/>
        <w:rPr>
          <w:sz w:val="24"/>
          <w:lang w:val="hr-HR"/>
        </w:rPr>
      </w:pPr>
      <w:r w:rsidRPr="00C13D7D">
        <w:rPr>
          <w:rStyle w:val="FootnoteReference"/>
          <w:sz w:val="24"/>
          <w:lang w:val="hr-HR"/>
        </w:rPr>
        <w:footnoteRef/>
      </w:r>
      <w:r w:rsidR="00C13D7D" w:rsidRPr="00C13D7D">
        <w:rPr>
          <w:sz w:val="24"/>
          <w:lang w:val="hr-HR"/>
        </w:rPr>
        <w:t xml:space="preserve"> </w:t>
      </w:r>
      <w:r w:rsidR="00C13D7D" w:rsidRPr="00C13D7D">
        <w:rPr>
          <w:sz w:val="24"/>
          <w:lang w:val="hr-HR"/>
        </w:rPr>
        <w:tab/>
      </w:r>
      <w:r w:rsidRPr="00C13D7D">
        <w:rPr>
          <w:sz w:val="24"/>
          <w:lang w:val="hr-HR"/>
        </w:rPr>
        <w:t xml:space="preserve">Direktiva 2009/123/EZ Europskog parlamenta i Vijeća od 21. listopada 2009. </w:t>
      </w:r>
      <w:r w:rsidRPr="00C13D7D">
        <w:rPr>
          <w:sz w:val="24"/>
          <w:lang w:val="hr-HR"/>
        </w:rPr>
        <w:t>o izmjeni Direktive 2005/35/EZ o onečišćenju s brodova</w:t>
      </w:r>
      <w:r w:rsidR="003154ED">
        <w:rPr>
          <w:sz w:val="24"/>
          <w:lang w:val="hr-HR"/>
        </w:rPr>
        <w:t xml:space="preserve"> i uvođenju sankcija za kršenja</w:t>
      </w:r>
      <w:r w:rsidRPr="00C13D7D">
        <w:rPr>
          <w:sz w:val="24"/>
          <w:lang w:val="hr-HR"/>
        </w:rPr>
        <w:t xml:space="preserve"> </w:t>
      </w:r>
      <w:r w:rsidR="003154ED">
        <w:rPr>
          <w:sz w:val="24"/>
          <w:lang w:val="hr-HR"/>
        </w:rPr>
        <w:t>(</w:t>
      </w:r>
      <w:r w:rsidRPr="00C13D7D">
        <w:rPr>
          <w:sz w:val="24"/>
          <w:lang w:val="hr-HR"/>
        </w:rPr>
        <w:t xml:space="preserve">SL L 280, 27.10.2009., str. 52., ELI: </w:t>
      </w:r>
      <w:hyperlink r:id="rId2" w:history="1">
        <w:r w:rsidRPr="00C13D7D">
          <w:rPr>
            <w:rStyle w:val="Hyperlink"/>
            <w:sz w:val="24"/>
            <w:lang w:val="hr-HR"/>
          </w:rPr>
          <w:t>http://data.europa.eu/eli/dir/2009/123/oj?locale=hr</w:t>
        </w:r>
      </w:hyperlink>
      <w:r w:rsidR="003154ED">
        <w:rPr>
          <w:rStyle w:val="Hyperlink"/>
          <w:sz w:val="24"/>
          <w:lang w:val="hr-HR"/>
        </w:rPr>
        <w:t>)</w:t>
      </w:r>
      <w:r w:rsidRPr="00C13D7D">
        <w:rPr>
          <w:sz w:val="24"/>
          <w:lang w:val="hr-HR"/>
        </w:rPr>
        <w:t>.</w:t>
      </w:r>
    </w:p>
  </w:footnote>
  <w:footnote w:id="3">
    <w:p w:rsidR="002C69F1" w:rsidRPr="00C13D7D" w:rsidRDefault="002C69F1" w:rsidP="00C13D7D">
      <w:pPr>
        <w:pStyle w:val="FootnoteText"/>
        <w:ind w:left="567" w:hanging="567"/>
        <w:rPr>
          <w:sz w:val="24"/>
          <w:lang w:val="hr-HR"/>
        </w:rPr>
      </w:pPr>
      <w:r w:rsidRPr="00C13D7D">
        <w:rPr>
          <w:rStyle w:val="FootnoteReference"/>
          <w:sz w:val="24"/>
          <w:lang w:val="hr-HR"/>
        </w:rPr>
        <w:footnoteRef/>
      </w:r>
      <w:r w:rsidR="00C13D7D" w:rsidRPr="00C13D7D">
        <w:rPr>
          <w:sz w:val="24"/>
          <w:lang w:val="hr-HR"/>
        </w:rPr>
        <w:t xml:space="preserve"> </w:t>
      </w:r>
      <w:r w:rsidR="00C13D7D" w:rsidRPr="00C13D7D">
        <w:rPr>
          <w:sz w:val="24"/>
          <w:lang w:val="hr-HR"/>
        </w:rPr>
        <w:tab/>
      </w:r>
      <w:r w:rsidRPr="00C13D7D">
        <w:rPr>
          <w:sz w:val="24"/>
          <w:lang w:val="hr-HR"/>
        </w:rPr>
        <w:t xml:space="preserve">Direktiva (EU) 2024/1226 Europskog parlamenta i Vijeća od 24. travnja 2024. </w:t>
      </w:r>
      <w:r w:rsidRPr="00C13D7D">
        <w:rPr>
          <w:sz w:val="24"/>
          <w:lang w:val="hr-HR"/>
        </w:rPr>
        <w:t xml:space="preserve">o definiciji kaznenih djela i sankcija za kršenje </w:t>
      </w:r>
      <w:proofErr w:type="spellStart"/>
      <w:r w:rsidRPr="00C13D7D">
        <w:rPr>
          <w:sz w:val="24"/>
          <w:lang w:val="hr-HR"/>
        </w:rPr>
        <w:t>Unijinih</w:t>
      </w:r>
      <w:proofErr w:type="spellEnd"/>
      <w:r w:rsidRPr="00C13D7D">
        <w:rPr>
          <w:sz w:val="24"/>
          <w:lang w:val="hr-HR"/>
        </w:rPr>
        <w:t xml:space="preserve"> mjera ograničavanja i i</w:t>
      </w:r>
      <w:r w:rsidR="003154ED">
        <w:rPr>
          <w:sz w:val="24"/>
          <w:lang w:val="hr-HR"/>
        </w:rPr>
        <w:t>zmjeni Direktive (EU) 2018/1673</w:t>
      </w:r>
      <w:r w:rsidRPr="00C13D7D">
        <w:rPr>
          <w:sz w:val="24"/>
          <w:lang w:val="hr-HR"/>
        </w:rPr>
        <w:t xml:space="preserve"> </w:t>
      </w:r>
      <w:r w:rsidR="003154ED">
        <w:rPr>
          <w:sz w:val="24"/>
          <w:lang w:val="hr-HR"/>
        </w:rPr>
        <w:t>(</w:t>
      </w:r>
      <w:r w:rsidRPr="00C13D7D">
        <w:rPr>
          <w:sz w:val="24"/>
          <w:lang w:val="hr-HR"/>
        </w:rPr>
        <w:t xml:space="preserve">SL L, 2024/1226, 29.4.2024., ELI: </w:t>
      </w:r>
      <w:hyperlink r:id="rId3" w:history="1">
        <w:r w:rsidRPr="00C13D7D">
          <w:rPr>
            <w:rStyle w:val="Hyperlink"/>
            <w:sz w:val="24"/>
            <w:lang w:val="hr-HR"/>
          </w:rPr>
          <w:t>http://data.europa.eu/eli/dir/2024/1226/oj?locale=hr</w:t>
        </w:r>
      </w:hyperlink>
      <w:r w:rsidR="003154ED">
        <w:rPr>
          <w:rStyle w:val="Hyperlink"/>
          <w:sz w:val="24"/>
          <w:lang w:val="hr-HR"/>
        </w:rPr>
        <w:t>)</w:t>
      </w:r>
      <w:bookmarkStart w:id="7" w:name="_GoBack"/>
      <w:bookmarkEnd w:id="7"/>
      <w:r w:rsidRPr="00C13D7D">
        <w:rPr>
          <w:sz w:val="24"/>
          <w:lang w:val="hr-HR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3D7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3D7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3D7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61/2024"/>
    <w:docVar w:name="dvlangue" w:val="HR"/>
    <w:docVar w:name="dvnumam" w:val="0"/>
    <w:docVar w:name="dvpe" w:val="764.162"/>
    <w:docVar w:name="dvtitre" w:val="Rezolucija Europskog parlamenta od .... 2024. o mjerama EU-a protiv ruske flote u sjeni i osiguravanju potpune provedbe sankcija protiv Rusije(2024/2885(RSP))"/>
  </w:docVars>
  <w:rsids>
    <w:rsidRoot w:val="006B241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297C"/>
    <w:rsid w:val="001F32AE"/>
    <w:rsid w:val="002767FF"/>
    <w:rsid w:val="002B18FE"/>
    <w:rsid w:val="002B5493"/>
    <w:rsid w:val="002C69F1"/>
    <w:rsid w:val="003154ED"/>
    <w:rsid w:val="00343214"/>
    <w:rsid w:val="00361C00"/>
    <w:rsid w:val="00395FA1"/>
    <w:rsid w:val="003C72FF"/>
    <w:rsid w:val="003E15D4"/>
    <w:rsid w:val="00403BF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241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E5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3D7D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0E0FE"/>
  <w15:chartTrackingRefBased/>
  <w15:docId w15:val="{878CEE25-7C38-4A3D-BE8C-30742227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C69F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C69F1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2C69F1"/>
    <w:rPr>
      <w:sz w:val="24"/>
      <w:lang w:val="hr-HR"/>
    </w:rPr>
  </w:style>
  <w:style w:type="character" w:customStyle="1" w:styleId="Aucun">
    <w:name w:val="Aucun"/>
    <w:rsid w:val="002C69F1"/>
  </w:style>
  <w:style w:type="character" w:customStyle="1" w:styleId="NormalHanging12aChar">
    <w:name w:val="NormalHanging12a Char"/>
    <w:basedOn w:val="DefaultParagraphFont"/>
    <w:link w:val="NormalHanging12a"/>
    <w:rsid w:val="002C69F1"/>
    <w:rPr>
      <w:sz w:val="24"/>
      <w:lang w:val="hr-HR"/>
    </w:rPr>
  </w:style>
  <w:style w:type="character" w:customStyle="1" w:styleId="s2">
    <w:name w:val="s2"/>
    <w:basedOn w:val="DefaultParagraphFont"/>
    <w:rsid w:val="002C69F1"/>
  </w:style>
  <w:style w:type="character" w:styleId="Hyperlink">
    <w:name w:val="Hyperlink"/>
    <w:basedOn w:val="DefaultParagraphFont"/>
    <w:rsid w:val="002C69F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1F29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F297C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226/oj?locale=hr" TargetMode="External"/><Relationship Id="rId2" Type="http://schemas.openxmlformats.org/officeDocument/2006/relationships/hyperlink" Target="http://data.europa.eu/eli/dir/2009/123/oj?locale=hr" TargetMode="External"/><Relationship Id="rId1" Type="http://schemas.openxmlformats.org/officeDocument/2006/relationships/hyperlink" Target="http://data.europa.eu/eli/dir/2009/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22B2A-FB79-4D61-9EEF-1B2C5AC7A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3640</Words>
  <Characters>21259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2024-12-19T15:06:00Z</dcterms:created>
  <dcterms:modified xsi:type="dcterms:W3CDTF">2024-12-19T15:06:00Z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P10_TA(2024)0036_</vt:lpwstr>
  </property>
  <property fmtid="{D5CDD505-2E9C-101B-9397-08002B2CF9AE}" pid="4" name="&lt;Type&gt;">
    <vt:lpwstr>RR</vt:lpwstr>
  </property>
</Properties>
</file>