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14B30" w:rsidTr="0010095E">
        <w:trPr>
          <w:trHeight w:hRule="exact" w:val="1418"/>
        </w:trPr>
        <w:tc>
          <w:tcPr>
            <w:tcW w:w="6804" w:type="dxa"/>
            <w:shd w:val="clear" w:color="auto" w:fill="auto"/>
            <w:vAlign w:val="center"/>
          </w:tcPr>
          <w:p w:rsidR="00751A4A" w:rsidRPr="00814B30" w:rsidRDefault="00141340" w:rsidP="0010095E">
            <w:pPr>
              <w:pStyle w:val="EPName"/>
            </w:pPr>
            <w:r w:rsidRPr="00814B30">
              <w:t>Europees Parlement</w:t>
            </w:r>
          </w:p>
          <w:p w:rsidR="00751A4A" w:rsidRPr="00814B30" w:rsidRDefault="005F1B17" w:rsidP="005F1B17">
            <w:pPr>
              <w:pStyle w:val="EPTerm"/>
              <w:rPr>
                <w:rStyle w:val="HideTWBExt"/>
                <w:noProof w:val="0"/>
                <w:vanish w:val="0"/>
                <w:color w:val="auto"/>
              </w:rPr>
            </w:pPr>
            <w:r w:rsidRPr="00814B30">
              <w:t>2024</w:t>
            </w:r>
            <w:r w:rsidR="00817416" w:rsidRPr="00814B30">
              <w:t>-202</w:t>
            </w:r>
            <w:r w:rsidRPr="00814B30">
              <w:t>9</w:t>
            </w:r>
          </w:p>
        </w:tc>
        <w:tc>
          <w:tcPr>
            <w:tcW w:w="2268" w:type="dxa"/>
            <w:shd w:val="clear" w:color="auto" w:fill="auto"/>
          </w:tcPr>
          <w:p w:rsidR="00751A4A" w:rsidRPr="00814B30" w:rsidRDefault="00187494" w:rsidP="0010095E">
            <w:pPr>
              <w:pStyle w:val="EPLogo"/>
            </w:pPr>
            <w:r w:rsidRPr="00814B3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14B30" w:rsidRDefault="00D058B8" w:rsidP="004C5D52">
      <w:pPr>
        <w:pStyle w:val="LineTop"/>
      </w:pPr>
    </w:p>
    <w:p w:rsidR="00680577" w:rsidRPr="00814B30" w:rsidRDefault="00141340" w:rsidP="00680577">
      <w:pPr>
        <w:pStyle w:val="EPBodyTA1"/>
      </w:pPr>
      <w:r w:rsidRPr="00814B30">
        <w:t>AANGENOMEN TEKSTEN</w:t>
      </w:r>
    </w:p>
    <w:p w:rsidR="00D058B8" w:rsidRPr="00814B30" w:rsidRDefault="00D058B8" w:rsidP="00D058B8">
      <w:pPr>
        <w:pStyle w:val="LineBottom"/>
      </w:pPr>
    </w:p>
    <w:p w:rsidR="00141340" w:rsidRPr="00814B30" w:rsidRDefault="00141340" w:rsidP="00141340">
      <w:pPr>
        <w:pStyle w:val="ATHeading1"/>
      </w:pPr>
      <w:bookmarkStart w:id="0" w:name="TANumber"/>
      <w:r w:rsidRPr="00814B30">
        <w:t>P10_TA(2024)00</w:t>
      </w:r>
      <w:r w:rsidR="0097535C" w:rsidRPr="00814B30">
        <w:t>36</w:t>
      </w:r>
      <w:bookmarkEnd w:id="0"/>
    </w:p>
    <w:p w:rsidR="00141340" w:rsidRPr="00814B30" w:rsidRDefault="00141340" w:rsidP="00141340">
      <w:pPr>
        <w:pStyle w:val="ATHeading2"/>
      </w:pPr>
      <w:bookmarkStart w:id="1" w:name="title"/>
      <w:r w:rsidRPr="00814B30">
        <w:t>Maatregelen van de EU tegen de Russische schaduwvlo</w:t>
      </w:r>
      <w:r w:rsidR="00D260FE" w:rsidRPr="00814B30">
        <w:t>o</w:t>
      </w:r>
      <w:r w:rsidR="00695ADD" w:rsidRPr="00814B30">
        <w:t>t</w:t>
      </w:r>
      <w:r w:rsidRPr="00814B30">
        <w:t xml:space="preserve"> en waarborging van de volledige handhaving van de sancties tegen Rusland</w:t>
      </w:r>
      <w:bookmarkEnd w:id="1"/>
    </w:p>
    <w:p w:rsidR="00141340" w:rsidRPr="00814B30" w:rsidRDefault="00141340" w:rsidP="00141340">
      <w:pPr>
        <w:rPr>
          <w:i/>
          <w:vanish/>
        </w:rPr>
      </w:pPr>
      <w:r w:rsidRPr="00814B30">
        <w:rPr>
          <w:i/>
        </w:rPr>
        <w:fldChar w:fldCharType="begin"/>
      </w:r>
      <w:r w:rsidRPr="00814B30">
        <w:rPr>
          <w:i/>
        </w:rPr>
        <w:instrText xml:space="preserve"> TC"(</w:instrText>
      </w:r>
      <w:bookmarkStart w:id="2" w:name="DocNumber"/>
      <w:r w:rsidRPr="00814B30">
        <w:rPr>
          <w:i/>
        </w:rPr>
        <w:instrText>B10-0161, 0162, 0163, 0164 en 0166/2024</w:instrText>
      </w:r>
      <w:bookmarkEnd w:id="2"/>
      <w:r w:rsidRPr="00814B30">
        <w:rPr>
          <w:i/>
        </w:rPr>
        <w:instrText xml:space="preserve">)"\l3 \n&gt; \* MERGEFORMAT </w:instrText>
      </w:r>
      <w:r w:rsidRPr="00814B30">
        <w:rPr>
          <w:i/>
        </w:rPr>
        <w:fldChar w:fldCharType="end"/>
      </w:r>
    </w:p>
    <w:p w:rsidR="00141340" w:rsidRPr="00814B30" w:rsidRDefault="00141340" w:rsidP="00141340">
      <w:pPr>
        <w:rPr>
          <w:vanish/>
        </w:rPr>
      </w:pPr>
      <w:bookmarkStart w:id="3" w:name="PE"/>
      <w:r w:rsidRPr="00814B30">
        <w:rPr>
          <w:vanish/>
        </w:rPr>
        <w:t>PE764.162</w:t>
      </w:r>
      <w:bookmarkEnd w:id="3"/>
    </w:p>
    <w:p w:rsidR="00141340" w:rsidRPr="00814B30" w:rsidRDefault="00141340" w:rsidP="00141340">
      <w:pPr>
        <w:pStyle w:val="ATHeading3"/>
      </w:pPr>
      <w:bookmarkStart w:id="4" w:name="Sujet"/>
      <w:r w:rsidRPr="00814B30">
        <w:t>Resolutie van het Europees Parlement van 14 november 2024 over de maatregelen van de EU tegen de Russische schaduwvloot en waarborging van de volledige handhaving van de sancties tegen Rusland</w:t>
      </w:r>
      <w:bookmarkEnd w:id="4"/>
      <w:r w:rsidRPr="00814B30">
        <w:t xml:space="preserve"> </w:t>
      </w:r>
      <w:bookmarkStart w:id="5" w:name="References"/>
      <w:r w:rsidRPr="00814B30">
        <w:t>(2024/2885(RSP))</w:t>
      </w:r>
      <w:bookmarkEnd w:id="5"/>
    </w:p>
    <w:p w:rsidR="00925A1B" w:rsidRPr="00814B30" w:rsidRDefault="00925A1B" w:rsidP="00925A1B">
      <w:pPr>
        <w:pStyle w:val="EPComma"/>
      </w:pPr>
      <w:bookmarkStart w:id="6" w:name="TextBodyBegin"/>
      <w:bookmarkEnd w:id="6"/>
      <w:r w:rsidRPr="00814B30">
        <w:rPr>
          <w:i/>
        </w:rPr>
        <w:t>Het Europees Parlement</w:t>
      </w:r>
      <w:r w:rsidRPr="00814B30">
        <w:t>,</w:t>
      </w:r>
    </w:p>
    <w:p w:rsidR="00925A1B" w:rsidRPr="00814B30" w:rsidRDefault="00925A1B" w:rsidP="00925A1B">
      <w:pPr>
        <w:pStyle w:val="NormalHanging12a"/>
      </w:pPr>
      <w:r w:rsidRPr="00814B30">
        <w:t>–</w:t>
      </w:r>
      <w:r w:rsidRPr="00814B30">
        <w:tab/>
        <w:t>gezien zijn eerdere resoluties over Rusland en Oekraïne, met name de resoluties die werden aangenomen sinds de escalatie van de aanvalsoorlog van Rusland tegen Oekraïne in februari 2022,</w:t>
      </w:r>
    </w:p>
    <w:p w:rsidR="00925A1B" w:rsidRPr="00814B30" w:rsidRDefault="00925A1B" w:rsidP="00925A1B">
      <w:pPr>
        <w:pStyle w:val="NormalHanging12a"/>
      </w:pPr>
      <w:r w:rsidRPr="00814B30">
        <w:t>–</w:t>
      </w:r>
      <w:r w:rsidRPr="00814B30">
        <w:tab/>
        <w:t>gezien de 14</w:t>
      </w:r>
      <w:r w:rsidR="00695ADD" w:rsidRPr="00814B30">
        <w:t xml:space="preserve"> </w:t>
      </w:r>
      <w:r w:rsidRPr="00814B30">
        <w:t>opeenvolgende sanctiepakketten tegen Rusland die de EU sinds februari</w:t>
      </w:r>
      <w:r w:rsidR="00695ADD" w:rsidRPr="00814B30">
        <w:t xml:space="preserve"> </w:t>
      </w:r>
      <w:r w:rsidRPr="00814B30">
        <w:t>2022 heeft aangenomen,</w:t>
      </w:r>
      <w:bookmarkStart w:id="7" w:name="_GoBack"/>
      <w:bookmarkEnd w:id="7"/>
    </w:p>
    <w:p w:rsidR="00925A1B" w:rsidRPr="00814B30" w:rsidRDefault="00925A1B" w:rsidP="00925A1B">
      <w:pPr>
        <w:pStyle w:val="NormalHanging12a"/>
      </w:pPr>
      <w:r w:rsidRPr="00814B30">
        <w:t>–</w:t>
      </w:r>
      <w:r w:rsidRPr="00814B30">
        <w:tab/>
        <w:t>gezien het Handvest van de Verenigde Naties en het Verdrag van de Verenigde Naties inzake het recht van de zee,</w:t>
      </w:r>
    </w:p>
    <w:p w:rsidR="00925A1B" w:rsidRPr="00814B30" w:rsidRDefault="00925A1B" w:rsidP="00925A1B">
      <w:pPr>
        <w:pStyle w:val="NormalHanging12a"/>
      </w:pPr>
      <w:r w:rsidRPr="00814B30">
        <w:t>–</w:t>
      </w:r>
      <w:r w:rsidRPr="00814B30">
        <w:tab/>
        <w:t>gezien het Internationaal Verdrag ter voorkoming van verontreiniging door schepen (Marpol), het Internationaal Verdrag betreffende de normen voor zeevarenden inzake opleiding, diplomering en wachtdienst, het Internationaal Verdrag inzake de wettelijke aansprakel</w:t>
      </w:r>
      <w:r w:rsidR="00695ADD" w:rsidRPr="00814B30">
        <w:t>ijk</w:t>
      </w:r>
      <w:r w:rsidRPr="00814B30">
        <w:t>heid voor schade door verontreiniging door olie en andere relevante verdragen van de Internationale Maritieme Organisatie (IMO),</w:t>
      </w:r>
    </w:p>
    <w:p w:rsidR="00925A1B" w:rsidRPr="00814B30" w:rsidRDefault="00925A1B" w:rsidP="00925A1B">
      <w:pPr>
        <w:pStyle w:val="NormalHanging12a"/>
      </w:pPr>
      <w:r w:rsidRPr="00814B30">
        <w:t>–</w:t>
      </w:r>
      <w:r w:rsidRPr="00814B30">
        <w:tab/>
        <w:t>gezien Resolutie A.1192(33) van de Algemene Vergadering van de IMO van 6 december 2023 getiteld “Urging member states and all relevant stakeholders to promote actions to prevent illegal operations in the maritime sector by the “dark fleet” or “shadow fleet”</w:t>
      </w:r>
      <w:r w:rsidR="00695ADD" w:rsidRPr="00814B30">
        <w:t xml:space="preserve"> </w:t>
      </w:r>
      <w:r w:rsidRPr="00814B30">
        <w:t>” (Oproep aan de lidstaten en aan alle relevante belanghebbenden om maatregelen te bevorderen ter voorkoming van illegale activiteiten in de maritieme sector door de “dark fleet” of “schaduwvloot”),</w:t>
      </w:r>
    </w:p>
    <w:p w:rsidR="00925A1B" w:rsidRPr="00814B30" w:rsidRDefault="00925A1B" w:rsidP="00925A1B">
      <w:pPr>
        <w:pStyle w:val="NormalHanging12a"/>
      </w:pPr>
      <w:r w:rsidRPr="00814B30">
        <w:t>–</w:t>
      </w:r>
      <w:r w:rsidRPr="00814B30">
        <w:tab/>
        <w:t>gezien de verklaring van de leiders van de</w:t>
      </w:r>
      <w:r w:rsidR="00695ADD" w:rsidRPr="00814B30">
        <w:t xml:space="preserve"> </w:t>
      </w:r>
      <w:r w:rsidRPr="00814B30">
        <w:t>G7 van 6 december 2023,</w:t>
      </w:r>
    </w:p>
    <w:p w:rsidR="00925A1B" w:rsidRPr="00814B30" w:rsidRDefault="00925A1B" w:rsidP="00925A1B">
      <w:pPr>
        <w:pStyle w:val="NormalHanging12a"/>
      </w:pPr>
      <w:r w:rsidRPr="00814B30">
        <w:t>–</w:t>
      </w:r>
      <w:r w:rsidRPr="00814B30">
        <w:tab/>
        <w:t>gezien artikel 136, leden 2 en 4, van zijn Reglement,</w:t>
      </w:r>
    </w:p>
    <w:p w:rsidR="00925A1B" w:rsidRPr="00814B30" w:rsidRDefault="00925A1B" w:rsidP="00925A1B">
      <w:pPr>
        <w:pStyle w:val="NormalHanging12a"/>
      </w:pPr>
      <w:r w:rsidRPr="00814B30">
        <w:t>A.</w:t>
      </w:r>
      <w:r w:rsidRPr="00814B30">
        <w:tab/>
        <w:t xml:space="preserve">overwegende dat Rusland sinds 24 februari 2022 een illegale, niet-uitgelokte en </w:t>
      </w:r>
      <w:r w:rsidRPr="00814B30">
        <w:lastRenderedPageBreak/>
        <w:t>ongerechtvaardigde grootschalige aanvalsoorlog tegen Oekraïne voert, die een voortzetting is van wat het land in 2014 begonnen is toen het de Krim annexeerde en vervolgens delen van de regio’s Donetsk en Loehansk bezette;</w:t>
      </w:r>
      <w:r w:rsidRPr="00814B30">
        <w:rPr>
          <w:rStyle w:val="Aucun"/>
          <w:color w:val="000000"/>
        </w:rPr>
        <w:t xml:space="preserve"> overwegende dat de EU van meet af aan de Russische aanvalsoorlog tegen Oekraïne met klem heeft veroordeeld en Rusland ertoe heeft opgeroepen een einde te maken aan deze agressie en de territoriale integriteit van Oekraïne te eerbiedigen;</w:t>
      </w:r>
    </w:p>
    <w:p w:rsidR="00925A1B" w:rsidRPr="00814B30" w:rsidRDefault="00925A1B" w:rsidP="00925A1B">
      <w:pPr>
        <w:pStyle w:val="NormalHanging12a"/>
      </w:pPr>
      <w:r w:rsidRPr="00814B30">
        <w:t>B.</w:t>
      </w:r>
      <w:r w:rsidRPr="00814B30">
        <w:tab/>
        <w:t>overwegende dat Rusland een van de grootste olieproducenten ter wereld is; overwegende dat Rusland voor zijn exportopbrengsten en begrotingsontvangsten sterk afhankelijk is van de verkoop van olie, waardoor dit product een essentiële inkomstenbron vormt voor het land om de oorlog in Oekraïne te financieren;</w:t>
      </w:r>
    </w:p>
    <w:p w:rsidR="00925A1B" w:rsidRPr="00814B30" w:rsidRDefault="00925A1B" w:rsidP="00925A1B">
      <w:pPr>
        <w:pStyle w:val="NormalHanging12a"/>
      </w:pPr>
      <w:r w:rsidRPr="00814B30">
        <w:t>C.</w:t>
      </w:r>
      <w:r w:rsidRPr="00814B30">
        <w:tab/>
        <w:t>overwegende dat de EU en de andere leden van de G7+-Price Cap Coalition een prijsplafond hebben ingesteld op ruwe olie en aardolieproducten van Russische herkomst om de algemene toeleveringen op peil te houden en tegelijk de inkomstenstromen waarmee Rusland zijn aanvalsoorlog tegen Oekraïne financiert, in te perken; overwegende dat Rusland als reactie hierop naar schatting 9 miljard EUR heeft uitgegeven om zijn “schaduwvloot” op te bouwen; overwegende dat er dagelijks olietankers met Russische olie door Europese wateren varen in het kader van het streven van Rusland om de sancties van de EU en de G7 te omzeilen;</w:t>
      </w:r>
    </w:p>
    <w:p w:rsidR="00925A1B" w:rsidRPr="00814B30" w:rsidRDefault="00925A1B" w:rsidP="00925A1B">
      <w:pPr>
        <w:pStyle w:val="NormalHanging12a"/>
        <w:rPr>
          <w:bCs/>
        </w:rPr>
      </w:pPr>
      <w:r w:rsidRPr="00814B30">
        <w:t>D.</w:t>
      </w:r>
      <w:r w:rsidRPr="00814B30">
        <w:tab/>
        <w:t>overwegende dat de EU sinds het begin van de grootschalige invasie van Oekraïne door Rusland op 24 februari 2022 een ongezien hoog aantal beperkende maatregelen en sancties tegen Rusland heeft genomen die bedoeld zijn om het Rusland op economisch, financieel en militair vlak moeilijker te maken de oorlogsinspanningen vol te houden; overwegende dat met het zesde sanctiepakket van de Raad onder meer de aankoop, invoer en overlading van over zee aangevoerde ruwe olie en bepaalde aardolieproducten van Rusland naar de EU worden verboden; overwegende dat de Raad met zijn elfde en twaalfde sanctiepakket het risico op sanctieomzeiling door de schaduwvloot tegengaat; overwegende dat de Raad in zijn 14e sanctiepakket tegen Russische olie een nieuwe maatregel heeft ingevoerd tegen specifieke vaartuigen die bijdragen aan de oorlog van Rusland tegen Oekraïne, met een verbod op toegang tot havens en op het verlenen van diensten; overwegende dat de EU tot dusver slechts 27 vaartuigen op deze lijst heeft geplaatst, waaronder tankers die Russische olie vervoeren en gevaarlijke en illegale scheepvaartpraktijken uitvoeren; overwegende dat de Britse regering in oktober 2024 sancties heeft ingevoerd tegen 18 Russische olietankers en vier tankers voor vloeibaar aardgas (lng); overwegende dat het aanwijzen van vaartuigen van de schaduwvloot tot nu toe de grootste invloed op de activiteiten van de schaduwvloot heeft gehad;</w:t>
      </w:r>
    </w:p>
    <w:p w:rsidR="00925A1B" w:rsidRPr="00814B30" w:rsidRDefault="00925A1B" w:rsidP="00925A1B">
      <w:pPr>
        <w:pStyle w:val="NormalHanging12a"/>
        <w:rPr>
          <w:bCs/>
        </w:rPr>
      </w:pPr>
      <w:r w:rsidRPr="00814B30">
        <w:t>E.</w:t>
      </w:r>
      <w:r w:rsidRPr="00814B30">
        <w:tab/>
        <w:t>overwegende dat dergelijke schaduwvloten al zijn gebruikt door vijandige landen zoals Iran, Venezuela en Noord-Korea; overwegende dat Rusland zich daarvan onderscheidt door de omvang en complexiteit van zijn activiteiten, aangezien maandelijks ongeveer 160-200 tankers van de Russische schaduwvloot worden ingezet om olie te vervoeren, en de vloot in zijn geheel naar schatting uit 600 vaartuigen bestaat die een sleutelrol spelen bij de instandhouding van de Russische uitvoer van ruwe olie;</w:t>
      </w:r>
    </w:p>
    <w:p w:rsidR="00925A1B" w:rsidRPr="00814B30" w:rsidRDefault="00925A1B" w:rsidP="00925A1B">
      <w:pPr>
        <w:pStyle w:val="NormalHanging12a"/>
      </w:pPr>
      <w:r w:rsidRPr="00814B30">
        <w:t>F.</w:t>
      </w:r>
      <w:r w:rsidRPr="00814B30">
        <w:tab/>
        <w:t>overwegende dat de schaduwvloot die door Rusland als omzeiling wordt gebruikt het hefboomeffect van de sanctieregeling aanzienlijk heeft verminderd en Rusland in staat heeft gesteld deze inkomsten verder te gebruiken om zijn aanvalsoorlog tegen Oekraïne te financieren, en dat deze situatie duidelijk maakt dat de internationale sanctiecoördinatie moet worden versterkt en verbreed;</w:t>
      </w:r>
    </w:p>
    <w:p w:rsidR="00925A1B" w:rsidRPr="00814B30" w:rsidRDefault="00925A1B" w:rsidP="00925A1B">
      <w:pPr>
        <w:pStyle w:val="NormalHanging12a"/>
      </w:pPr>
      <w:r w:rsidRPr="00814B30">
        <w:lastRenderedPageBreak/>
        <w:t>G.</w:t>
      </w:r>
      <w:r w:rsidRPr="00814B30">
        <w:tab/>
        <w:t>overwegende dat de schaduwvloot wereldwijd naar schatting uit minstens 600 tankers bestaat; overwegende dat dit oudere tankers zijn die vaak varen zonder verzekering die voldoet aan de normen van de sector en regelmatig van naam en vlag veranderen, waardoor Rusland een aanzienlijk deel van zijn olie kan verkopen tegen een prijs die boven het prijsplafond ligt en het voor regeringen moeilijker wordt om de scheepseigenaren in geval van olielekken aansprakelijk te stellen voor het opruimen ervan; overwegende dat deze schepen in het algemeen ongeschikt zijn voor dienst, het risico op aanvaringen langs internationale handelsroutes vergroten en daarbij een grote milieubedreiging vormen wegens het grote risico op olielekken die schade toebrengen aan mariene ecosystemen en kustgebieden, onder meer in beschermde maritieme gebieden met bijzonder gevoelige flora en fauna, waar olielekken rampzalige gevolgen zouden hebben; overwegende dat ervaring met eerdere olielekken afkomstig van tankers leert dat schade aan kust- en onderwaterecosystemen, alsook aan zeevogels en andere dieren die aan de wateroppervlakte leven, tientallen jaren kan aanhouden; overwegende dat de uitbreiding van de vloot van het Europees Agentschap voor maritieme veiligheid (EMSA) met extra olieopruimingsschepen in overeenstemming zou zijn met de verbintenissen van de EU op het gebied van milieubescherming, veerkracht in het kader van de Europese Green Deal en de doelstellingen van het EU-mechanisme voor civiele bescherming om de capaciteit voor snelle respons en rampenparaatheid te versterken;</w:t>
      </w:r>
    </w:p>
    <w:p w:rsidR="00925A1B" w:rsidRPr="00814B30" w:rsidRDefault="00925A1B" w:rsidP="00925A1B">
      <w:pPr>
        <w:pStyle w:val="NormalHanging12a"/>
      </w:pPr>
      <w:r w:rsidRPr="00814B30">
        <w:t>H.</w:t>
      </w:r>
      <w:r w:rsidRPr="00814B30">
        <w:tab/>
        <w:t xml:space="preserve">overwegende dat de Russische schaduwtankers regelmatig boord-boordoverslag van Russische ruwe olie en olieproducten uitvoeren in territoriale wateren, waaronder de Middellandse Zee; overwegende dat bij deze activiteiten Russische olie van het ene naar het andere schip wordt overgeladen en vermengd zonder dat deze schepen in een haven aanmeren, met als doel de oorsprong van de olie te verdoezelen; overwegende dat er een groot risico op milieuschade bestaat doordat deze activiteiten zo dicht bij de kust plaatsvinden; overwegende dat </w:t>
      </w:r>
      <w:r w:rsidR="0018467A" w:rsidRPr="00814B30">
        <w:t xml:space="preserve">hun </w:t>
      </w:r>
      <w:r w:rsidRPr="00814B30">
        <w:t>satelliettransponders van het automatisch identificatiesysteem (AIS) van deze schepen vaak worden uitgeschakeld om aan monitoring en officiële inspecties te ontsnappen; overwegende dat met name de kuststaten van Europa hiervan de gevolgen zouden ondervinden; overwegende dat, in geval van een ongeval, olielekken door vaartuigen van de schaduwvloot kunnen leiden tot opruimingskosten die kunnen oplopen tot miljarden euro’s voor kuststaten en hun belastingbetalers, aangezien de eigenaren van deze vaartuigen praktisch onvindbaar zijn; overwegende dat olielekken ook tot aanzienlijke economische verliezen kunnen leiden, onder meer door een afname van het aantal toeristen en visserijactiviteiten; overwegende dat dergelijke lekken een aanzienlijke bedreiging vormen voor de waterkwaliteit en de lokale in het wild levende dieren en planten, alsook schade toebrengen aan mariene ecosystemen, consumentenproducten zoals schelpdieren verontreinigen en dus een bedreiging vormen voor de menselijke gezondheid, voor nog meer vervuiling zorgen en de voortplanting van vissen verstoren;</w:t>
      </w:r>
    </w:p>
    <w:p w:rsidR="00925A1B" w:rsidRPr="00814B30" w:rsidRDefault="00925A1B" w:rsidP="00925A1B">
      <w:pPr>
        <w:pStyle w:val="NormalHanging12a"/>
      </w:pPr>
      <w:r w:rsidRPr="00814B30">
        <w:t>I.</w:t>
      </w:r>
      <w:r w:rsidRPr="00814B30">
        <w:tab/>
        <w:t>overwegende dat de opzettelijke lozing van afgewerkte olie vanaf schepen illegaal is in het kader van Marpol, een internationaal verdrag dat tot doel heeft de verontreiniging van de scheepvaart tegen te gaan; overwegende dat Rusland het Marpol-verdrag heeft ondertekend; overwegende dat er bewijzen zijn dat Marpol wordt geschonden; overwegende dat het opleggen van sancties aan individuele schepen doeltreffend is gebleken, aangezien de schepen die al op de zwarte lijst zijn geplaatst, minder olie konden verhandelen nadat ze waren gestraft;</w:t>
      </w:r>
    </w:p>
    <w:p w:rsidR="00925A1B" w:rsidRPr="00814B30" w:rsidRDefault="00925A1B" w:rsidP="00925A1B">
      <w:pPr>
        <w:pStyle w:val="NormalHanging12a"/>
        <w:rPr>
          <w:bCs/>
        </w:rPr>
      </w:pPr>
      <w:r w:rsidRPr="00814B30">
        <w:t>J.</w:t>
      </w:r>
      <w:r w:rsidRPr="00814B30">
        <w:tab/>
        <w:t xml:space="preserve">overwegende dat volgens Richtlijn 2009/20/EG betreffende de verzekering van </w:t>
      </w:r>
      <w:r w:rsidRPr="00814B30">
        <w:lastRenderedPageBreak/>
        <w:t>scheepseigenaren tegen maritieme vorderingen</w:t>
      </w:r>
      <w:r w:rsidRPr="00814B30">
        <w:rPr>
          <w:rStyle w:val="FootnoteReference"/>
        </w:rPr>
        <w:footnoteReference w:id="1"/>
      </w:r>
      <w:r w:rsidRPr="00814B30">
        <w:t>, die sinds 2009 van kracht is, alle schepen die de vlag van een EU-lidstaat voeren, verzekerd moeten zijn en een verzekeringsbewijs aan boord moeten hebben; overwegende dat de uitbanning van schepen die niet aan de normen voldoen een van de doelstellingen van Richtlijn 2009/20/EG is; overwegende dat het Internationaal Verdrag inzake het optreden op volle zee bij ongevallen die verontreiniging door olie kunnen veroorzaken landen de mogelijkheid biedt om “ernstig en dreigend gevaar voor hun kust of daarmede samenhangende belangen door verontreiniging of dreigende verontreiniging van de zee door olie, na een ongeval op zee of na met zulk een ongeval verband houdende handelingen”, te voorkomen, te verminderen of op te heffen;</w:t>
      </w:r>
    </w:p>
    <w:p w:rsidR="00925A1B" w:rsidRPr="00814B30" w:rsidRDefault="00925A1B" w:rsidP="00925A1B">
      <w:pPr>
        <w:pStyle w:val="NormalHanging12a"/>
        <w:rPr>
          <w:rFonts w:eastAsia="Arial Unicode MS"/>
          <w:u w:color="000000"/>
          <w:bdr w:val="nil"/>
        </w:rPr>
      </w:pPr>
      <w:r w:rsidRPr="00814B30">
        <w:rPr>
          <w:u w:color="000000"/>
          <w:bdr w:val="nil"/>
        </w:rPr>
        <w:t>K.</w:t>
      </w:r>
      <w:r w:rsidRPr="00814B30">
        <w:rPr>
          <w:u w:color="000000"/>
          <w:bdr w:val="nil"/>
        </w:rPr>
        <w:tab/>
        <w:t>overwegende dat de Zweedse marine recentelijk heeft gewezen op de veiligheidsrisico’s die verbonden zijn aan de activiteiten van de schaduwvloot en op het risico dat deze vloot mogelijk wordt ingezet voor hybride operaties tegen Europese landen;</w:t>
      </w:r>
    </w:p>
    <w:p w:rsidR="00925A1B" w:rsidRPr="00814B30" w:rsidRDefault="00925A1B" w:rsidP="00925A1B">
      <w:pPr>
        <w:pStyle w:val="NormalHanging12a"/>
        <w:rPr>
          <w:bCs/>
        </w:rPr>
      </w:pPr>
      <w:r w:rsidRPr="00814B30">
        <w:t>L.</w:t>
      </w:r>
      <w:r w:rsidRPr="00814B30">
        <w:tab/>
        <w:t>overwegende dat er wel een verbod is op de invoer van in Rusland geraffineerde olieproducten, maar geen verbod op de invoer van olieproducten van raffinaderijen in derde landen die Russische ruwe olie verwerken; overwegende dat de schaduwvloot Russische ruwe olie levert aan raffinaderijen in derde landen; overwegende dat de EU-lidstaten en G7-landen nog steeds olieproducten invoeren op basis van Russische olie, waaronder producten van raffinaderijen in Turkije;</w:t>
      </w:r>
    </w:p>
    <w:p w:rsidR="00925A1B" w:rsidRPr="00814B30" w:rsidRDefault="00925A1B" w:rsidP="00925A1B">
      <w:pPr>
        <w:pStyle w:val="NormalHanging12a"/>
        <w:rPr>
          <w:bCs/>
        </w:rPr>
      </w:pPr>
      <w:r w:rsidRPr="00814B30">
        <w:t>M.</w:t>
      </w:r>
      <w:r w:rsidRPr="00814B30">
        <w:tab/>
        <w:t>overwegende dat het aantal scheepsbewegingen van deze vloot in de loop van 2024 enorm is toegenomen en dat het aantal passages van Russische schaduwschepen meer dan verdubbeld is; overwegende dat een aanzienlijk deel van de Russische olie via drukbevaren internationale scheepvaartroutes wordt vervoerd; overwegende dat Rusland het overgrote deel van zijn aardolie verscheept vanuit havens aan de Oostzee en de Zwarte</w:t>
      </w:r>
      <w:r w:rsidR="00695ADD" w:rsidRPr="00814B30">
        <w:t xml:space="preserve"> </w:t>
      </w:r>
      <w:r w:rsidRPr="00814B30">
        <w:t>Zee;</w:t>
      </w:r>
    </w:p>
    <w:p w:rsidR="00925A1B" w:rsidRPr="00814B30" w:rsidRDefault="00925A1B" w:rsidP="00925A1B">
      <w:pPr>
        <w:pStyle w:val="NormalHanging12a"/>
        <w:rPr>
          <w:bCs/>
        </w:rPr>
      </w:pPr>
      <w:r w:rsidRPr="00814B30">
        <w:t>N.</w:t>
      </w:r>
      <w:r w:rsidRPr="00814B30">
        <w:tab/>
        <w:t>overwegende dat de actoren die de olie vervoeren en de schaduwvloot beheren, niet geïsoleerd te werk gaan; overwegende dat deze activiteiten niet los gezien kunnen worden van de financiële transacties waarmee ze worden ondersteund; overwegende dat bij deze transacties entiteiten betrokken kunnen zijn die onderworpen zijn aan financiële sancties; overwegende dat het belangrijk is dat op holistische wijze wordt gecontroleerd of de sanctieregeling wordt nageleefd, zodat voorkomen wordt dat de sancties worden omzeild;</w:t>
      </w:r>
    </w:p>
    <w:p w:rsidR="00925A1B" w:rsidRPr="00814B30" w:rsidRDefault="00925A1B" w:rsidP="00925A1B">
      <w:pPr>
        <w:pStyle w:val="NormalHanging12a"/>
      </w:pPr>
      <w:r w:rsidRPr="00814B30">
        <w:t>O.</w:t>
      </w:r>
      <w:r w:rsidRPr="00814B30">
        <w:tab/>
        <w:t>overwegende dat er scheepsexploitanten zijn die bereid zijn de sancties te omzeilen door hun vaartuigen te registreren in landen die zich niet achter het prijsplafond voor Russische olie hebben geschaard; overwegende dat Rusland tussenpersonen, organisaties en personen uit derde landen inschakelt om een aantal tankers van de schaduwvloot te kopen; overwegende dat sommige van deze eigenaren en beheerders van olietankers en gastankschepen die deel uitmaken van de schaduwvloot ook geregistreerd staan in EU-lidstaten;</w:t>
      </w:r>
    </w:p>
    <w:p w:rsidR="00925A1B" w:rsidRPr="00814B30" w:rsidRDefault="00925A1B" w:rsidP="00925A1B">
      <w:pPr>
        <w:pStyle w:val="NormalHanging12a"/>
      </w:pPr>
      <w:r w:rsidRPr="00814B30">
        <w:t>P.</w:t>
      </w:r>
      <w:r w:rsidRPr="00814B30">
        <w:tab/>
        <w:t xml:space="preserve">overwegende dat het feit dat Rusland erin slaagt om met de schaduwvloot de sancties te omzeilen voor een groot deel komt doordat het land daarbij gesteund wordt door en </w:t>
      </w:r>
      <w:r w:rsidRPr="00814B30">
        <w:lastRenderedPageBreak/>
        <w:t>medewerking krijgt van andere landen, waaronder met name China, India en Turkije;</w:t>
      </w:r>
    </w:p>
    <w:p w:rsidR="00925A1B" w:rsidRPr="00814B30" w:rsidRDefault="00925A1B" w:rsidP="00925A1B">
      <w:pPr>
        <w:pStyle w:val="NormalHanging12a"/>
      </w:pPr>
      <w:r w:rsidRPr="00814B30">
        <w:t>1.</w:t>
      </w:r>
      <w:r w:rsidRPr="00814B30">
        <w:tab/>
        <w:t>veroordeelt nogmaals in de krachtigste bewoordingen de niet-uitgelokte, illegale en ongerechtvaardigde aanvalsoorlog van Rusland tegen Oekraïne; verzoekt Rusland alle militaire acties in Oekraïne onmiddellijk te staken en alle strijdkrachten en gelieerde groeperingen en al het militair materieel volledig en onvoorwaardelijk uit het gehele internationaal erkende grondgebied van Oekraïne terug te trekken, te stoppen met de deportaties van Oekraïense burgers, en alle gevangengenomen en gedeporteerde Oekraïners, met name kinderen, vrij te laten;</w:t>
      </w:r>
    </w:p>
    <w:p w:rsidR="00925A1B" w:rsidRPr="00814B30" w:rsidRDefault="00925A1B" w:rsidP="00925A1B">
      <w:pPr>
        <w:pStyle w:val="NormalHanging12a"/>
      </w:pPr>
      <w:r w:rsidRPr="00814B30">
        <w:t>2.</w:t>
      </w:r>
      <w:r w:rsidRPr="00814B30">
        <w:tab/>
        <w:t>spreekt nogmaals zijn ondubbelzinnige steun uit voor de EU-sanctieregeling, die tot doel heeft het vermogen van het Russische regime om zijn aanvalsoorlog tegen Oekraïne voort te zetten, te ondermijnen; benadrukt dat de EU-sancties naar aanleiding van de Russische aanvalsoorlog tegen Oekraïne tot doel hebben de Russische economische en industriële basis, met name het militair-industriële complex, strategisch te verzwakken, teneinde het de Russische Federatie moeilijker te maken de oorlog voort te zetten, de Oekraïense burgerbevolking aan te vallen en de territoriale integriteit van Oekraïne te schenden, en de toegang van Rusland tot militaire technologieën en onderdelen te belemmeren; stelt vast dat Rusland actief de EU-sancties omzeilt en nieuwe wegen zoekt om dat te doen, en in dat kader onder meer gebruikmaakt van een schaduwvloot van olietankers, waardoor Rusland mogelijk nog steeds in staat is om zijn oorlogsinspanningen tegen Oekraïne op korte termijn, met name tijdens de komende winter, op te voeren;</w:t>
      </w:r>
    </w:p>
    <w:p w:rsidR="00925A1B" w:rsidRPr="00814B30" w:rsidRDefault="00925A1B" w:rsidP="00925A1B">
      <w:pPr>
        <w:pStyle w:val="NormalHanging12a"/>
      </w:pPr>
      <w:r w:rsidRPr="00814B30">
        <w:t>3.</w:t>
      </w:r>
      <w:r w:rsidRPr="00814B30">
        <w:tab/>
        <w:t>beschouwt de schaduwvloot als een belangrijke financiële reddingsboei voor Rusland in zijn illegale en ongerechtvaardigde aanvalsoorlog tegen Oekraïne en als een belangrijk instrument dat opgezet is om de sanctieregeling te omzeilen; maakt zich zorgen over de grote risico’s die deze onveilige en onverzekerde Russische vaartuigen met zich meebrengen voor de maritieme veiligheid, voor onze Europese kustlidstaten en voor mariene ecosystemen; veroordeelt Rusland voor het opzettelijk creëren van enorme risico’s voor eigen financieel gewin, zonder enige aandacht voor de internationale veiligheid of het gevaar van onomkeerbare milieuschade; verzoekt de EU en haar lidstaten om meer inspanningen te leveren om te voorkomen dat Rusland sancties ontduikt en omzeilt, en concrete maatregelen te nemen om de maritieme veiligheid te waarborgen en milieurisico’s in de Europese wateren, met name in de Oostzee, te voorkomen;</w:t>
      </w:r>
      <w:r w:rsidRPr="00814B30">
        <w:rPr>
          <w:rStyle w:val="Aucun"/>
          <w:color w:val="000000"/>
        </w:rPr>
        <w:t xml:space="preserve"> </w:t>
      </w:r>
      <w:r w:rsidRPr="00814B30">
        <w:t>beschouwt schip-tot-schiptransfers op volle zee als activiteiten met een hoog risico, die de bescherming van de internationale maritieme veiligheid en het milieu ondermijnen;</w:t>
      </w:r>
    </w:p>
    <w:p w:rsidR="00925A1B" w:rsidRPr="00814B30" w:rsidRDefault="00925A1B" w:rsidP="00925A1B">
      <w:pPr>
        <w:pStyle w:val="NormalHanging12a"/>
      </w:pPr>
      <w:r w:rsidRPr="00814B30">
        <w:t>4.</w:t>
      </w:r>
      <w:r w:rsidRPr="00814B30">
        <w:tab/>
        <w:t>pleit ervoor dat er in toekomstige sanctiepakketten tegen Rusland gerichtere sancties worden opgenomen om de schaduwvloot aan te pakken, waaronder het vaststellen van sancties tegen alle afzonderlijke vaartuigen die deel uitmaken van de schaduwvloot en hun eigenaren, exploitanten, beheerders, rekeningen, banken, verzekeringsmaatschappijen en dergelijke;</w:t>
      </w:r>
      <w:r w:rsidRPr="00814B30">
        <w:rPr>
          <w:rStyle w:val="Aucun"/>
          <w:color w:val="000000"/>
        </w:rPr>
        <w:t xml:space="preserve"> dringt erop aan dat er per direct een verbod wordt ingevoerd op het gebruik van westerse schepen voor het vervoer van Russische olie; </w:t>
      </w:r>
      <w:r w:rsidRPr="00814B30">
        <w:t xml:space="preserve">dringt er meer in het algemeen op aan dat aan schepen die klaarblijkelijk onverzekerd door EU-wateren varen, in de volgende EU-sanctiepakketten systematisch sancties worden opgelegd om onze wateren te beschermen en om te voorkomen dat er veel geld moet worden uitgegeven aan het opruimen van olievervuiling; dringt er bij de Europese Dienst voor extern optreden en de EU-gezant voor sancties op aan om contact op te nemen met de regeringen van de landen waar de bedrijven die de schaduwtankers </w:t>
      </w:r>
      <w:r w:rsidRPr="00814B30">
        <w:lastRenderedPageBreak/>
        <w:t>beheren geregistreerd staan en met de regeringen van de landen waarvan de vlag sinds de invoering van de olieprijsplafonds door een sterk toegenomen aantal schepen wordt gevoerd; dringt erop aan dat de EU en haar lidstaten deze vlaggenstaten benaderen om hen te informeren over de redenen voor opname in de lijst en de gevolgen van een mogelijke opname in de lijst, hen te wijzen op de risico’s en de negatieve milieugevolgen van illegale en risicovolle scheepvaartpraktijken en hen te wijzen op de verantwoordelijkheden van vlaggenstaten; dringt er bij de vlaggenstaten aan om schepen die op de lijst zijn geplaatst uit hun scheepsregisters te schrappen;</w:t>
      </w:r>
    </w:p>
    <w:p w:rsidR="00925A1B" w:rsidRPr="00814B30" w:rsidRDefault="00925A1B" w:rsidP="00925A1B">
      <w:pPr>
        <w:pStyle w:val="NormalHanging12a"/>
      </w:pPr>
      <w:r w:rsidRPr="00814B30">
        <w:t>5.</w:t>
      </w:r>
      <w:r w:rsidRPr="00814B30">
        <w:tab/>
        <w:t>wijst erop dat de vlaggenstaten die de Russische schaduwvloot faciliteren, feitelijk ook de oorlogsinspanningen van Rusland ondersteunen; is van mening dat de EU, als de klassieke diplomatie niet tot resultaten leidt, haar bilaterale samenwerking met derde landen die Rusland ondersteunen bij het omzeilen van de EU-sancties grondig onder de loep moet nemen;</w:t>
      </w:r>
    </w:p>
    <w:p w:rsidR="00925A1B" w:rsidRPr="00814B30" w:rsidRDefault="00925A1B" w:rsidP="00925A1B">
      <w:pPr>
        <w:pStyle w:val="NormalHanging12a"/>
        <w:rPr>
          <w:rStyle w:val="Aucun"/>
          <w:color w:val="000000"/>
        </w:rPr>
      </w:pPr>
      <w:r w:rsidRPr="00814B30">
        <w:rPr>
          <w:rStyle w:val="Aucun"/>
          <w:color w:val="000000"/>
        </w:rPr>
        <w:t>6.</w:t>
      </w:r>
      <w:r w:rsidRPr="00814B30">
        <w:rPr>
          <w:rStyle w:val="Aucun"/>
          <w:color w:val="000000"/>
        </w:rPr>
        <w:tab/>
      </w:r>
      <w:r w:rsidRPr="00814B30">
        <w:t xml:space="preserve">spreekt zijn afkeuring uit over het feit dat er Europese reders betrokken zijn bij het opzetten van de Russische schaduwvloot; </w:t>
      </w:r>
      <w:r w:rsidRPr="00814B30">
        <w:rPr>
          <w:rStyle w:val="Aucun"/>
          <w:color w:val="000000"/>
        </w:rPr>
        <w:t xml:space="preserve">spreekt zijn afkeuring uit over het gedrag van staten, juridisch adviseurs en andere entiteiten en individuen die Rusland helpen om de EU-sancties te omzeilen of de gevolgen ervan te beperken; </w:t>
      </w:r>
      <w:r w:rsidRPr="00814B30">
        <w:t>herinnert eraan dat schending van de sancties op EU-niveau strafbaar is gesteld en de financiële belangen van de EU ernstige schade toebrengt; dringt erop aan dat de beperkingen ten aanzien van de verkoop van schepen worden uitgebreid en dat die beperkingen ook worden gehandhaafd, en dat er een verbod komt op de verkoop van tankers aan landen die de handel met Rusland faciliteren;</w:t>
      </w:r>
    </w:p>
    <w:p w:rsidR="00925A1B" w:rsidRPr="00814B30" w:rsidRDefault="00925A1B" w:rsidP="00925A1B">
      <w:pPr>
        <w:pStyle w:val="NormalHanging12a"/>
        <w:rPr>
          <w:bCs/>
        </w:rPr>
      </w:pPr>
      <w:r w:rsidRPr="00814B30">
        <w:t>7.</w:t>
      </w:r>
      <w:r w:rsidRPr="00814B30">
        <w:tab/>
        <w:t>pleit voor krachtiger EU-brede maatregelen om ervoor te zorgen dat de sanctieregeling beter wordt gehandhaafd en voor invoering van meer sancties, en vindt dat per direct besloten moet worden tot invoering van inspecties van vaartuigen die in de EU-wateren actief zijn, om te controleren of deze verzekerd zijn en of de voorschriften van de IMO worden nageleefd; verzoekt de lidstaten om na te gaan of hun administratieve capaciteiten toereikend zijn om een snelle tenuitvoerlegging en strikte handhaving van de EU-sancties te waarborgen en deze capaciteiten verder uit te breiden;</w:t>
      </w:r>
    </w:p>
    <w:p w:rsidR="00925A1B" w:rsidRPr="00814B30" w:rsidRDefault="00925A1B" w:rsidP="00925A1B">
      <w:pPr>
        <w:pStyle w:val="NormalHanging12a"/>
      </w:pPr>
      <w:r w:rsidRPr="00814B30">
        <w:t>8.</w:t>
      </w:r>
      <w:r w:rsidRPr="00814B30">
        <w:tab/>
        <w:t>dringt er bij de Commissie op aan om in het kader van de samenwerking van de EU met de IMO maatregelen te nemen om de activiteiten van de schaduwvloot te voorkomen en te beperken; dringt aan op strikte tenuitvoerlegging van Resolutie A.1192(33) van de Algemene Vergadering van de IMO, die in december 2023 werd aangenomen om schadelijke maritieme activiteiten tegen te gaan, en wijst in dit kader met name op de verplichting voor vaartuigen om alle schip-tot-schiptransfers aan hun vlaggenstaat te melden en de verplichting voor havenstaten om ervoor te zorgen dat verdachte schepen in havens strenger worden geïnspecteerd; dringt er bij de EU en haar lidstaten op aan de toegang tot EU-wateren van Russische schepen die behoren tot de schaduwvloot te beperken; is van mening dat optimaal gebruik moet worden gemaakt van de ondersteuning die het Europees Agentschap voor maritieme veiligheid de lidstaten kan bieden bij het identificeren van schepen waarop sancties van toepassing zijn en bij het monitoren van de bewegingen van verdachte schepen; dringt er met name bij de EU op aan een omvattende lijst op te stellen van vaartuigen die tot de Russische schaduwvloot behoren, gerichte inspecties uit te voeren, waaronder op zee, en sancties op te leggen die onder meer inhouden dat vaartuigen om administratieve redenen permanent of tijdelijk aan de ketting worden gelegd;</w:t>
      </w:r>
    </w:p>
    <w:p w:rsidR="00925A1B" w:rsidRPr="00814B30" w:rsidRDefault="00925A1B" w:rsidP="00925A1B">
      <w:pPr>
        <w:pStyle w:val="NormalHanging12a"/>
      </w:pPr>
      <w:r w:rsidRPr="00814B30">
        <w:lastRenderedPageBreak/>
        <w:t>9.</w:t>
      </w:r>
      <w:r w:rsidRPr="00814B30">
        <w:tab/>
        <w:t>dringt er bij de EU en de lidstaten op aan de uitvoering van Richtlijn 2009/20/EG betreffende de verzekering van scheepseigenaren tegen maritieme vorderingen nauwlettend te monitoren, om te voorkomen dat er in EU-wateren onverzekerde vaartuigen varen; wijst erop dat er behoefte is aan krachtiger handhavingsmechanismen waarmee EU-lidstaten bijvoorbeeld kunnen voorkomen dat onverzekerde vaartuigen en vaartuigen die niet aan de voorschriften voldoen aanleggen in EU-havens of EU-wateren gebruiken om bij te tanken of om gebruik te maken van andere voorzieningen, of waarmee dergelijke vaartuigen beter kunnen worden gemonitord; dringt er bij de lidstaten op aan maatregelen te nemen om ervoor te zorgen dat vaartuigen die niet aan de voorschriften voldoen, niet op de markt terechtkomen;</w:t>
      </w:r>
    </w:p>
    <w:p w:rsidR="00925A1B" w:rsidRPr="00814B30" w:rsidRDefault="00925A1B" w:rsidP="00925A1B">
      <w:pPr>
        <w:pStyle w:val="NormalHanging12a"/>
      </w:pPr>
      <w:r w:rsidRPr="00814B30">
        <w:t>10.</w:t>
      </w:r>
      <w:r w:rsidRPr="00814B30">
        <w:tab/>
        <w:t>spoort de lidstaten ertoe aan nauw samen te werken met het Verenigd Koninkrijk om maatregelen uit te werken ter beperking van het gebruik van het Kanaal door vaartuigen van de Russische schaduwvloot; dringt er bij landen met internationale zeestraten op aan schepen ertoe te verplichten bewijs aan te leveren dat zij over een protection</w:t>
      </w:r>
      <w:r w:rsidR="00695ADD" w:rsidRPr="00814B30">
        <w:t xml:space="preserve"> </w:t>
      </w:r>
      <w:r w:rsidRPr="00814B30">
        <w:t>&amp;</w:t>
      </w:r>
      <w:r w:rsidR="00695ADD" w:rsidRPr="00814B30">
        <w:t xml:space="preserve"> </w:t>
      </w:r>
      <w:r w:rsidRPr="00814B30">
        <w:t>indemnity-verzekering beschikken en voldoen aan minimumnormen inzake veiligheid; verzoekt alle lidstaten om elk vaartuig dat door hun wateren vaart ertoe te verplichten openbaar te maken of hun verzekering dekking biedt tegen olieverontreiniging, zodat er transparantie is wat verzekeringsregelingen betreft;</w:t>
      </w:r>
    </w:p>
    <w:p w:rsidR="00925A1B" w:rsidRPr="00814B30" w:rsidRDefault="00925A1B" w:rsidP="00925A1B">
      <w:pPr>
        <w:pStyle w:val="NormalHanging12a"/>
      </w:pPr>
      <w:r w:rsidRPr="00814B30">
        <w:t>11.</w:t>
      </w:r>
      <w:r w:rsidRPr="00814B30">
        <w:tab/>
        <w:t>spoort de EU en haar lidstaten ertoe aan hun bewakingscapaciteiten te versterken, met name wat drone- en satellietmonitoring betreft, onder meer door gebruik te maken van Sentinel-satellietbeelden om schaduwvlootvaartuigen in EU-wateren te identificeren en toezicht te houden op activiteiten, zoals schip-tot-schiptransfers die in strijd zijn met EU-richtlijnen en het Marpol-verdrag, en onmiddellijk een onderzoek in te stellen wanneer er risico’s voor kustgebieden en maritieme ecosystemen ontstaan;</w:t>
      </w:r>
    </w:p>
    <w:p w:rsidR="00925A1B" w:rsidRPr="00814B30" w:rsidRDefault="00925A1B" w:rsidP="00925A1B">
      <w:pPr>
        <w:pStyle w:val="NormalHanging12a"/>
        <w:rPr>
          <w:bCs/>
        </w:rPr>
      </w:pPr>
      <w:r w:rsidRPr="00814B30">
        <w:t>12.</w:t>
      </w:r>
      <w:r w:rsidRPr="00814B30">
        <w:tab/>
        <w:t>dringt erop aan schip-tot-schiptransfers van Russische ruwe olie en olieproducten in EU-wateren te verbieden; verzoekt de nodige middelen in te zetten om deze transfers op te sporen en te verhinderen, onder meer door al deze schepen te verbieden in EU-wateren te ankeren en te tanken;</w:t>
      </w:r>
    </w:p>
    <w:p w:rsidR="00925A1B" w:rsidRPr="00814B30" w:rsidRDefault="00925A1B" w:rsidP="00925A1B">
      <w:pPr>
        <w:pStyle w:val="NormalHanging12a"/>
      </w:pPr>
      <w:r w:rsidRPr="00814B30">
        <w:t>13.</w:t>
      </w:r>
      <w:r w:rsidRPr="00814B30">
        <w:tab/>
        <w:t>verzoekt de lidstaten strenge regelgevingsmaatregelen toe te passen in hun havens en in hun territoriale wateren; verzoekt de lidstaten met klem om in het geval van tankers die mogelijk Russische olie vervoeren ten volle gebruik te maken van hun recht om vaartuigen aan boord te laten begeleiden door een loods van de bevoegde nationale autoriteit met als doel de herkomst van de vracht, de uiteindelijke eigendom van het schip, de verzekeringsdocumenten en de naleving van veiligheidsnormen te controleren, en ervoor te zorgen dat vaartuigen die verdacht worden van sanctieomzeiling en niet-naleving van de milieuwetgeving worden aangemerkt om te worden onderzocht;</w:t>
      </w:r>
    </w:p>
    <w:p w:rsidR="00925A1B" w:rsidRPr="00814B30" w:rsidRDefault="00925A1B" w:rsidP="00925A1B">
      <w:pPr>
        <w:pStyle w:val="NormalHanging12a"/>
        <w:rPr>
          <w:rStyle w:val="s2"/>
          <w:color w:val="000000"/>
        </w:rPr>
      </w:pPr>
      <w:r w:rsidRPr="00814B30">
        <w:rPr>
          <w:rStyle w:val="s2"/>
          <w:color w:val="000000"/>
        </w:rPr>
        <w:t>14.</w:t>
      </w:r>
      <w:r w:rsidRPr="00814B30">
        <w:rPr>
          <w:rStyle w:val="s2"/>
          <w:color w:val="000000"/>
        </w:rPr>
        <w:tab/>
      </w:r>
      <w:r w:rsidRPr="00814B30">
        <w:t xml:space="preserve">verzoekt de </w:t>
      </w:r>
      <w:r w:rsidRPr="00814B30">
        <w:rPr>
          <w:rStyle w:val="s2"/>
          <w:color w:val="000000"/>
        </w:rPr>
        <w:t>lidstaten om havens aan te wijzen die in staat zijn de afhandeling van aan sancties onderworpen vaartuigen die ruwe olie en lng vervoeren te verzekeren, en om illegale vracht zonder compensatie in beslag te nemen;</w:t>
      </w:r>
    </w:p>
    <w:p w:rsidR="00925A1B" w:rsidRPr="00814B30" w:rsidRDefault="00925A1B" w:rsidP="00925A1B">
      <w:pPr>
        <w:pStyle w:val="NormalHanging12a"/>
      </w:pPr>
      <w:r w:rsidRPr="00814B30">
        <w:t>15.</w:t>
      </w:r>
      <w:r w:rsidRPr="00814B30">
        <w:tab/>
        <w:t xml:space="preserve">benadrukt dat de impact van bestaande sancties en van de financiële en militaire steun aan Oekraïne verder zal worden ondermijnd zolang de EU Russische fossiele brandstoffen blijft invoeren; dringt er daarom bij de EU en haar lidstaten op aan alle invoer van Russische fossiele brandstoffen, met inbegrip van lng, te verbieden; verzoekt de EU de verplichting door te voeren dat schepen die Russisch lng uitvoeren in de EU-sanctielijst worden opgenomen, waarmee hun de toegang tot havens en maritieme </w:t>
      </w:r>
      <w:r w:rsidRPr="00814B30">
        <w:lastRenderedPageBreak/>
        <w:t>diensten van de EU wordt ontzegd; roept de EU en haar lidstaten ertoe op de invoer van Russische nucleaire producten te verbieden en dringt er bij de lidstaten op aan geen nieuwe overeenkomsten te sluiten met Rosatom, noch met het management en de dochterondernemingen ervan;</w:t>
      </w:r>
    </w:p>
    <w:p w:rsidR="00925A1B" w:rsidRPr="00814B30" w:rsidRDefault="00925A1B" w:rsidP="00925A1B">
      <w:pPr>
        <w:pStyle w:val="NormalHanging12a"/>
      </w:pPr>
      <w:r w:rsidRPr="00814B30">
        <w:t>16.</w:t>
      </w:r>
      <w:r w:rsidRPr="00814B30">
        <w:tab/>
        <w:t>verzoekt de G7-landen het prijsplafond voor over zee vervoerde Russische olie doeltreffender te handhaven, het prijsplafond voor olie aanzienlijk te verlagen en een einde te maken aan lacunes die door Rusland worden gebruikt om zijn olie en olieproducten in een andere verpakking te verkopen tegen marktprijzen; verzoekt de EU, haar lidstaten en haar G7-partners om hun samenwerking met handelspartners te versterken om kopers van Russische olie sneller en doeltreffender te identificeren en bij hen geen olieproducten meer te kopen; dringt erop aan deze aangewezen faciliteiten op te nemen in de lijst van gerichte sancties en een volledig verbod op wederuitgevoerde Russische geraffineerde olieproducten in te stellen; dringt erop aan de oorsprong van ingevoerde fossiele brandstoffen, lng en geraffineerde fossiele brandstoffen op geharmoniseerde wijze te toetsen om de wederuitvoer van Russische energie naar de EU te voorkomen; verzoekt de lidstaten om grondig te onderzoeken of bedrijven de uitvoerbeperkingen voor in de lijst opgenomen goederen naleven en om afschrikkende sancties op te leggen;</w:t>
      </w:r>
    </w:p>
    <w:p w:rsidR="00925A1B" w:rsidRPr="00814B30" w:rsidRDefault="00925A1B" w:rsidP="00925A1B">
      <w:pPr>
        <w:pStyle w:val="NormalHanging12a"/>
      </w:pPr>
      <w:r w:rsidRPr="00814B30">
        <w:t>17.</w:t>
      </w:r>
      <w:r w:rsidRPr="00814B30">
        <w:tab/>
        <w:t>beveelt ten sterkste aan dat de EU en haar G7-partners hun sanctielijsten aanzienlijk uitbreiden met extra vaartuigen die hun prijsplafonds omzeilen en bij hun activiteiten de internationale normen niet in acht nemen;</w:t>
      </w:r>
      <w:r w:rsidRPr="00814B30">
        <w:rPr>
          <w:rStyle w:val="Aucun"/>
          <w:color w:val="000000"/>
        </w:rPr>
        <w:t xml:space="preserve"> dringt er bij de EU en haar partnerlanden op aan</w:t>
      </w:r>
      <w:r w:rsidRPr="00814B30">
        <w:t xml:space="preserve"> om bij de toepassing van het sanctiekader zorgvuldig na te gaan of de verzekering tegen olieverontreiniging toereikend is, bijvoorbeeld bij het verstrekken of vernieuwen van registraties; roept op tot strengere zorgvuldigheidsvereisten voor het verkrijgen van een verzekering voor vaartuigen, zoals bewijs van koopovereenkomsten die in overeenstemming zijn met het prijsplafond of in de vorm van betrouwbare, geverifieerde bankafschriften en dergelijke;</w:t>
      </w:r>
    </w:p>
    <w:p w:rsidR="00925A1B" w:rsidRPr="00814B30" w:rsidRDefault="00925A1B" w:rsidP="00925A1B">
      <w:pPr>
        <w:pStyle w:val="NormalHanging12a"/>
      </w:pPr>
      <w:r w:rsidRPr="00814B30">
        <w:t>18.</w:t>
      </w:r>
      <w:r w:rsidRPr="00814B30">
        <w:tab/>
        <w:t>dringt er bij de Commissie en de lidstaten op aan voldoende voorbereid te zijn op milieurampen, met name grote olierampen, en ervoor te zorgen dat de autoriteiten van de lidstaten nauw samenwerken, zowel onderling als met het Europees Agentschap voor maritieme veiligheid, om het hoofd te bieden aan grootschalige, grensoverschrijdende verontreinigingsrampen, onder meer door de inventarissen van het materiaal dat nodig is voor opruimwerkzaamheden te blijven coördineren; beklemtoont dat dergelijke incidenten zullen leiden tot ernstige en langdurige aantasting van het milieu, hetgeen op zijn beurt aanzienlijke gevolgen kan hebben voor de sectoren van het toerisme, de visserij en de scheepvaart in de lidstaten die aan de zeeën in kwestie grenzen; verzoekt de Commissie aanvullende financiering te verstrekken om voldoende olieopruimingsschepen ter beschikking te stellen van het Europees Agentschap voor maritieme veiligheid;</w:t>
      </w:r>
    </w:p>
    <w:p w:rsidR="00925A1B" w:rsidRPr="00814B30" w:rsidRDefault="00925A1B" w:rsidP="00925A1B">
      <w:pPr>
        <w:pStyle w:val="NormalHanging12a"/>
      </w:pPr>
      <w:r w:rsidRPr="00814B30">
        <w:t>19.</w:t>
      </w:r>
      <w:r w:rsidRPr="00814B30">
        <w:tab/>
        <w:t xml:space="preserve">verzoekt de Commissie toe te zien op de doeltreffende uitvoering en handhaving van Richtlijn 2009/123/EG van het Europees Parlement en de Raad tot wijziging van Richtlijn 2005/35/EG inzake verontreiniging vanaf schepen en invoering van sancties </w:t>
      </w:r>
      <w:r w:rsidRPr="00814B30">
        <w:lastRenderedPageBreak/>
        <w:t>voor inbreuken</w:t>
      </w:r>
      <w:r w:rsidRPr="00814B30">
        <w:rPr>
          <w:rStyle w:val="FootnoteReference"/>
        </w:rPr>
        <w:footnoteReference w:id="2"/>
      </w:r>
      <w:r w:rsidRPr="00814B30">
        <w:t>; verzoekt de lidstaten Richtlijn (EU) 2024/1226 betreffende de definitie van strafrechtelijke delicten en van sancties voor de schending van beperkende maatregelen van de Unie</w:t>
      </w:r>
      <w:r w:rsidRPr="00814B30">
        <w:rPr>
          <w:rStyle w:val="FootnoteReference"/>
        </w:rPr>
        <w:footnoteReference w:id="3"/>
      </w:r>
      <w:r w:rsidRPr="00814B30">
        <w:t xml:space="preserve"> onverwijld om te zetten en uit te voeren, en te voorzien in voldoende financiële, technische en personele middelen om de beperkende maatregelen van de Unie naar behoren te handhaven;</w:t>
      </w:r>
    </w:p>
    <w:p w:rsidR="00925A1B" w:rsidRPr="00814B30" w:rsidRDefault="00925A1B" w:rsidP="00925A1B">
      <w:pPr>
        <w:pStyle w:val="NormalHanging12a"/>
      </w:pPr>
      <w:r w:rsidRPr="00814B30">
        <w:t>20.</w:t>
      </w:r>
      <w:r w:rsidRPr="00814B30">
        <w:tab/>
        <w:t>spoort de lidstaten en de Commissie ertoe aan samen te werken met internationale partners en belanghebbenden, onder meer in de milieu-, scheepvaart, energie-, verzekerings- en financiële sector, om de beste werkwijzen in kaart te brengen voor het opsporen en aanpakken van sanctieomzeiling en het beperken van milieueffecten in EU-wateren;</w:t>
      </w:r>
    </w:p>
    <w:p w:rsidR="00925A1B" w:rsidRPr="00814B30" w:rsidRDefault="00925A1B" w:rsidP="00925A1B">
      <w:pPr>
        <w:pStyle w:val="NormalHanging12a"/>
      </w:pPr>
      <w:r w:rsidRPr="00814B30">
        <w:t>21.</w:t>
      </w:r>
      <w:r w:rsidRPr="00814B30">
        <w:tab/>
        <w:t>verzoekt de Commissie om voor bedrijven en financiële instellingen in de EU duidelijkere richtsnoeren en sterkere zorgvuldigheidsnormen te ontwikkelen om onbedoelde interacties met entiteiten die banden hebben met schaduwvloten te voorkomen;</w:t>
      </w:r>
    </w:p>
    <w:p w:rsidR="00925A1B" w:rsidRPr="00814B30" w:rsidRDefault="00925A1B" w:rsidP="00925A1B">
      <w:pPr>
        <w:pStyle w:val="NormalHanging12a"/>
      </w:pPr>
      <w:r w:rsidRPr="00814B30">
        <w:t>22.</w:t>
      </w:r>
      <w:r w:rsidRPr="00814B30">
        <w:tab/>
        <w:t>dringt aan op steun voor het werk dat de EU-gezant voor sancties verricht ter bestrijding van sanctieomzeiling om te verhinderen dat aan sancties onderworpen EU-goederen systematisch worden wederuitgevoerd naar Rusland, hetgeen de doeltreffendheid van de EU-sancties ernstig ondermijnt en de internationale inspanningen om een einde te maken aan de oorlog belemmert; dringt er in dat verband bij alle kandidaat-lidstaten en potentiële kandidaat-lidstaten op aan zich volledig aan te sluiten bij de EU-sancties naar aanleiding van de Russische aanvalsoorlog tegen Oekraïne, als teken dat ze bereid zijn om de verplichtingen van het EU-lidmaatschap op zich te nemen; verzoekt de Raad nogmaals de bevoegdheden van het Europees Openbaar Ministerie uit te breiden om het misdrijf van schending van beperkende maatregelen van de Unie te kunnen aanpakken; dringt er bij de EU en haar lidstaten op aan het toezicht op de uitvoering van sancties te versterken en te centraliseren op EU-niveau en een mechanisme te ontwikkelen om sanctieomzeiling te voorkomen en te monitoren;</w:t>
      </w:r>
    </w:p>
    <w:p w:rsidR="00925A1B" w:rsidRPr="00814B30" w:rsidRDefault="00925A1B" w:rsidP="00925A1B">
      <w:pPr>
        <w:pStyle w:val="NormalHanging12a"/>
      </w:pPr>
      <w:r w:rsidRPr="00814B30">
        <w:t>23.</w:t>
      </w:r>
      <w:r w:rsidRPr="00814B30">
        <w:tab/>
        <w:t>pleit voor mondiale transparantienormen bij de registratie van vaartuigen zodat er minder toevlucht wordt genomen tot lege vennootschappen en goedkope vlaggen, om voor grotere transparantie met betrekking tot de eigendom van vaartuigen te zorgen;</w:t>
      </w:r>
    </w:p>
    <w:p w:rsidR="00925A1B" w:rsidRPr="00814B30" w:rsidRDefault="00925A1B" w:rsidP="00925A1B">
      <w:pPr>
        <w:pStyle w:val="NormalHanging12a"/>
      </w:pPr>
      <w:r w:rsidRPr="00814B30">
        <w:t>24.</w:t>
      </w:r>
      <w:r w:rsidRPr="00814B30">
        <w:tab/>
        <w:t>verzoekt de Commissie te onderzoeken of er handelsbeleidsinstrumenten kunnen worden ingezet die vergelijkbaar zijn met die van de Verenigde Staten, gericht op actoren voor wie sanctieregelingen marktvoordelen opleveren waardoor zij op oneerlijke wijze hun activiteiten kunnen ontplooien op de EU-markt;</w:t>
      </w:r>
    </w:p>
    <w:p w:rsidR="00925A1B" w:rsidRPr="00814B30" w:rsidRDefault="00925A1B" w:rsidP="00925A1B">
      <w:pPr>
        <w:pStyle w:val="NormalHanging12a"/>
      </w:pPr>
      <w:r w:rsidRPr="00814B30">
        <w:t>25.</w:t>
      </w:r>
      <w:r w:rsidRPr="00814B30">
        <w:tab/>
        <w:t xml:space="preserve">uit zijn bezorgdheid over het gemelde overschot in de Russische olieproductie, dat aanzienlijk hoger ligt dan het Russische quotum dat is vastgesteld door de Organisatie van olie-exporterende landen plus (OPEC+), waardoor het vastgestelde prijsplafond </w:t>
      </w:r>
      <w:r w:rsidRPr="00814B30">
        <w:lastRenderedPageBreak/>
        <w:t>verder kan worden omzeild en Rusland extra inkomsten kan genereren; dringt er bij de EU en haar lidstaten op aan de situatie nauwlettend te volgen en passende maatregelen te nemen in samenwerking met de internationale partners van de EU;</w:t>
      </w:r>
    </w:p>
    <w:p w:rsidR="000425FA" w:rsidRPr="00814B30" w:rsidRDefault="00925A1B" w:rsidP="000425FA">
      <w:pPr>
        <w:pStyle w:val="NormalHanging12a"/>
      </w:pPr>
      <w:r w:rsidRPr="00814B30">
        <w:t>26.</w:t>
      </w:r>
      <w:r w:rsidRPr="00814B30">
        <w:tab/>
        <w:t>verzoekt zijn Voorzitter deze resolutie te doen toekomen aan de Raad, de Commissie, de vicevoorzitter van de Commissie/hoge vertegenwoordiger van de Unie voor buitenlandse zaken en veiligheidsbeleid, de president, regering en Verchovna Rada van Oekraïne, de Raad van Europa, de Organisatie voor Veiligheid en Samenwerking in Europa, de Internationale Maritieme Organisatie en de Russische autoriteiten.</w:t>
      </w:r>
    </w:p>
    <w:p w:rsidR="00E365E1" w:rsidRPr="00814B30" w:rsidRDefault="00E365E1" w:rsidP="00141340"/>
    <w:sectPr w:rsidR="00E365E1" w:rsidRPr="00814B30" w:rsidSect="000425F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1340" w:rsidRPr="000425FA" w:rsidRDefault="00141340">
      <w:r w:rsidRPr="000425FA">
        <w:separator/>
      </w:r>
    </w:p>
  </w:endnote>
  <w:endnote w:type="continuationSeparator" w:id="0">
    <w:p w:rsidR="00141340" w:rsidRPr="000425FA" w:rsidRDefault="00141340">
      <w:r w:rsidRPr="000425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25F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25F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25F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1340" w:rsidRPr="000425FA" w:rsidRDefault="00141340">
      <w:r w:rsidRPr="000425FA">
        <w:separator/>
      </w:r>
    </w:p>
  </w:footnote>
  <w:footnote w:type="continuationSeparator" w:id="0">
    <w:p w:rsidR="00141340" w:rsidRPr="000425FA" w:rsidRDefault="00141340">
      <w:r w:rsidRPr="000425FA">
        <w:continuationSeparator/>
      </w:r>
    </w:p>
  </w:footnote>
  <w:footnote w:id="1">
    <w:p w:rsidR="00925A1B" w:rsidRPr="000425FA" w:rsidRDefault="00925A1B" w:rsidP="000425FA">
      <w:pPr>
        <w:pStyle w:val="FootnoteText"/>
        <w:ind w:left="567" w:hanging="567"/>
        <w:rPr>
          <w:sz w:val="24"/>
          <w:lang w:val="nl-NL"/>
        </w:rPr>
      </w:pPr>
      <w:r w:rsidRPr="000425FA">
        <w:rPr>
          <w:rStyle w:val="FootnoteReference"/>
          <w:sz w:val="24"/>
          <w:lang w:val="nl-NL"/>
        </w:rPr>
        <w:footnoteRef/>
      </w:r>
      <w:r w:rsidR="000425FA" w:rsidRPr="000425FA">
        <w:rPr>
          <w:sz w:val="24"/>
          <w:lang w:val="nl-NL"/>
        </w:rPr>
        <w:tab/>
      </w:r>
      <w:r w:rsidRPr="000425FA">
        <w:rPr>
          <w:sz w:val="24"/>
          <w:lang w:val="nl-NL"/>
        </w:rPr>
        <w:t xml:space="preserve">Richtlijn 2009/20/EG van het Europees Parlement en de Raad van 23 april 2009 betreffende de verzekering van scheepseigenaren tegen maritieme vorderingen (PB L 131 van 28.5.2009, blz. 128, ELI: </w:t>
      </w:r>
      <w:hyperlink r:id="rId1" w:history="1">
        <w:r w:rsidRPr="000425FA">
          <w:rPr>
            <w:rStyle w:val="Hyperlink"/>
            <w:sz w:val="24"/>
            <w:lang w:val="nl-NL"/>
          </w:rPr>
          <w:t>http://data.europa.eu/eli/dir/2009/20/oj</w:t>
        </w:r>
      </w:hyperlink>
      <w:r w:rsidRPr="000425FA">
        <w:rPr>
          <w:sz w:val="24"/>
          <w:lang w:val="nl-NL"/>
        </w:rPr>
        <w:t>).</w:t>
      </w:r>
    </w:p>
  </w:footnote>
  <w:footnote w:id="2">
    <w:p w:rsidR="00925A1B" w:rsidRPr="000425FA" w:rsidRDefault="00925A1B" w:rsidP="000425FA">
      <w:pPr>
        <w:pStyle w:val="FootnoteText"/>
        <w:ind w:left="567" w:hanging="567"/>
        <w:rPr>
          <w:sz w:val="24"/>
          <w:lang w:val="nl-NL"/>
        </w:rPr>
      </w:pPr>
      <w:r w:rsidRPr="000425FA">
        <w:rPr>
          <w:rStyle w:val="FootnoteReference"/>
          <w:sz w:val="24"/>
          <w:lang w:val="nl-NL"/>
        </w:rPr>
        <w:footnoteRef/>
      </w:r>
      <w:r w:rsidR="000425FA" w:rsidRPr="000425FA">
        <w:rPr>
          <w:sz w:val="24"/>
          <w:lang w:val="nl-NL"/>
        </w:rPr>
        <w:tab/>
      </w:r>
      <w:r w:rsidRPr="000425FA">
        <w:rPr>
          <w:sz w:val="24"/>
          <w:lang w:val="nl-NL"/>
        </w:rPr>
        <w:t xml:space="preserve">Richtlijn 2009/123/EG van het Europees Parlement en de Raad van 21 oktober 2009 tot wijziging van Richtlijn 2005/35/EG inzake verontreiniging vanaf schepen en invoering van sancties voor inbreuken (PB L 280 van 27.10.2009, blz. 52, ELI: </w:t>
      </w:r>
      <w:hyperlink r:id="rId2" w:history="1">
        <w:r w:rsidRPr="000425FA">
          <w:rPr>
            <w:rStyle w:val="Hyperlink"/>
            <w:sz w:val="24"/>
            <w:lang w:val="nl-NL"/>
          </w:rPr>
          <w:t>http://data.europa.eu/eli/dir/2009/123/oj</w:t>
        </w:r>
      </w:hyperlink>
      <w:r w:rsidRPr="000425FA">
        <w:rPr>
          <w:sz w:val="24"/>
          <w:lang w:val="nl-NL"/>
        </w:rPr>
        <w:t>).</w:t>
      </w:r>
    </w:p>
  </w:footnote>
  <w:footnote w:id="3">
    <w:p w:rsidR="00925A1B" w:rsidRPr="000425FA" w:rsidRDefault="00925A1B" w:rsidP="000425FA">
      <w:pPr>
        <w:pStyle w:val="FootnoteText"/>
        <w:ind w:left="567" w:hanging="567"/>
        <w:rPr>
          <w:sz w:val="24"/>
          <w:lang w:val="nl-NL"/>
        </w:rPr>
      </w:pPr>
      <w:r w:rsidRPr="000425FA">
        <w:rPr>
          <w:rStyle w:val="FootnoteReference"/>
          <w:sz w:val="24"/>
          <w:lang w:val="nl-NL"/>
        </w:rPr>
        <w:footnoteRef/>
      </w:r>
      <w:r w:rsidR="000425FA" w:rsidRPr="000425FA">
        <w:rPr>
          <w:sz w:val="24"/>
          <w:lang w:val="nl-NL"/>
        </w:rPr>
        <w:tab/>
      </w:r>
      <w:r w:rsidRPr="000425FA">
        <w:rPr>
          <w:sz w:val="24"/>
          <w:lang w:val="nl-NL"/>
        </w:rPr>
        <w:t xml:space="preserve">Richtlijn (EU) 2024/1226 van het Europees Parlement en de Raad van 24 april 2024 betreffende de definitie van strafrechtelijke delicten en van sancties voor de schending van beperkende maatregelen van de Unie en tot wijziging van Richtlijn (EU) 2018/1673 (PB L, 2024/1226, 29.4.2024, ELI: </w:t>
      </w:r>
      <w:hyperlink r:id="rId3" w:history="1">
        <w:r w:rsidRPr="000425FA">
          <w:rPr>
            <w:rStyle w:val="Hyperlink"/>
            <w:sz w:val="24"/>
            <w:lang w:val="nl-NL"/>
          </w:rPr>
          <w:t>http://data.europa.eu/eli/dir/2024/1226/oj</w:t>
        </w:r>
      </w:hyperlink>
      <w:r w:rsidRPr="000425FA">
        <w:rPr>
          <w:sz w:val="24"/>
          <w:lang w:val="nl-N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25F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25F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25F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61, 0162, 0163, 0164 en 0166/2024"/>
    <w:docVar w:name="dvlangue" w:val="NL"/>
    <w:docVar w:name="dvnumam" w:val="0"/>
    <w:docVar w:name="dvpe" w:val="764.162"/>
    <w:docVar w:name="dvtitre" w:val="Resolutie van het Europees Parlement van 14 november 2024 over de maatregelen van de EU tegen de Russische schaduwvloot en waarborging van de volledige handhaving van de sancties tegen Rusland(2024/2885(RSP))"/>
  </w:docVars>
  <w:rsids>
    <w:rsidRoot w:val="00141340"/>
    <w:rsid w:val="00002272"/>
    <w:rsid w:val="000425FA"/>
    <w:rsid w:val="00064002"/>
    <w:rsid w:val="000677B9"/>
    <w:rsid w:val="000831BA"/>
    <w:rsid w:val="000A42CC"/>
    <w:rsid w:val="000E7DD9"/>
    <w:rsid w:val="0010095E"/>
    <w:rsid w:val="00125B37"/>
    <w:rsid w:val="00141340"/>
    <w:rsid w:val="0018467A"/>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5ADD"/>
    <w:rsid w:val="006F74FA"/>
    <w:rsid w:val="00731ADD"/>
    <w:rsid w:val="00734777"/>
    <w:rsid w:val="00747932"/>
    <w:rsid w:val="00751A4A"/>
    <w:rsid w:val="00756632"/>
    <w:rsid w:val="00762C74"/>
    <w:rsid w:val="00786EC0"/>
    <w:rsid w:val="007D1690"/>
    <w:rsid w:val="007E22AD"/>
    <w:rsid w:val="00814B30"/>
    <w:rsid w:val="00817416"/>
    <w:rsid w:val="00842779"/>
    <w:rsid w:val="00865F67"/>
    <w:rsid w:val="00881A7B"/>
    <w:rsid w:val="008840E5"/>
    <w:rsid w:val="00887B3E"/>
    <w:rsid w:val="008C2AC6"/>
    <w:rsid w:val="00925A1B"/>
    <w:rsid w:val="00930C23"/>
    <w:rsid w:val="0093193B"/>
    <w:rsid w:val="009509D8"/>
    <w:rsid w:val="00950B64"/>
    <w:rsid w:val="0097535C"/>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60F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9410CE"/>
  <w15:chartTrackingRefBased/>
  <w15:docId w15:val="{2E7AEC7B-85E8-4677-895A-EB8BAEFC7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25A1B"/>
    <w:pPr>
      <w:spacing w:after="240"/>
      <w:ind w:left="567" w:hanging="567"/>
    </w:pPr>
  </w:style>
  <w:style w:type="paragraph" w:customStyle="1" w:styleId="EPComma">
    <w:name w:val="EPComma"/>
    <w:basedOn w:val="Normal"/>
    <w:link w:val="EPCommaChar"/>
    <w:rsid w:val="00925A1B"/>
    <w:pPr>
      <w:spacing w:before="480" w:after="240"/>
    </w:pPr>
  </w:style>
  <w:style w:type="character" w:customStyle="1" w:styleId="EPCommaChar">
    <w:name w:val="EPComma Char"/>
    <w:basedOn w:val="DefaultParagraphFont"/>
    <w:link w:val="EPComma"/>
    <w:rsid w:val="00925A1B"/>
    <w:rPr>
      <w:sz w:val="24"/>
      <w:lang w:val="nl-NL"/>
    </w:rPr>
  </w:style>
  <w:style w:type="character" w:customStyle="1" w:styleId="Aucun">
    <w:name w:val="Aucun"/>
    <w:rsid w:val="00925A1B"/>
  </w:style>
  <w:style w:type="character" w:customStyle="1" w:styleId="NormalHanging12aChar">
    <w:name w:val="NormalHanging12a Char"/>
    <w:basedOn w:val="DefaultParagraphFont"/>
    <w:link w:val="NormalHanging12a"/>
    <w:rsid w:val="00925A1B"/>
    <w:rPr>
      <w:sz w:val="24"/>
      <w:lang w:val="nl-NL"/>
    </w:rPr>
  </w:style>
  <w:style w:type="character" w:customStyle="1" w:styleId="s2">
    <w:name w:val="s2"/>
    <w:basedOn w:val="DefaultParagraphFont"/>
    <w:rsid w:val="00925A1B"/>
  </w:style>
  <w:style w:type="character" w:styleId="Hyperlink">
    <w:name w:val="Hyperlink"/>
    <w:basedOn w:val="DefaultParagraphFont"/>
    <w:rsid w:val="00925A1B"/>
    <w:rPr>
      <w:color w:val="0563C1" w:themeColor="hyperlink"/>
      <w:u w:val="single"/>
    </w:rPr>
  </w:style>
  <w:style w:type="paragraph" w:styleId="BalloonText">
    <w:name w:val="Balloon Text"/>
    <w:basedOn w:val="Normal"/>
    <w:link w:val="BalloonTextChar"/>
    <w:rsid w:val="0018467A"/>
    <w:rPr>
      <w:rFonts w:ascii="Segoe UI" w:hAnsi="Segoe UI" w:cs="Segoe UI"/>
      <w:sz w:val="18"/>
      <w:szCs w:val="18"/>
    </w:rPr>
  </w:style>
  <w:style w:type="character" w:customStyle="1" w:styleId="BalloonTextChar">
    <w:name w:val="Balloon Text Char"/>
    <w:basedOn w:val="DefaultParagraphFont"/>
    <w:link w:val="BalloonText"/>
    <w:rsid w:val="0018467A"/>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226/oj" TargetMode="External"/><Relationship Id="rId2" Type="http://schemas.openxmlformats.org/officeDocument/2006/relationships/hyperlink" Target="http://data.europa.eu/eli/dir/2009/123/oj" TargetMode="External"/><Relationship Id="rId1" Type="http://schemas.openxmlformats.org/officeDocument/2006/relationships/hyperlink" Target="http://data.europa.eu/eli/dir/2009/20/oj?locale=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0A7862-6E90-4850-9BF2-C48098D99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4465</Words>
  <Characters>26060</Characters>
  <Application>Microsoft Office Word</Application>
  <DocSecurity>0</DocSecurity>
  <Lines>217</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2024-11-14T13:29:00Z</dcterms:created>
  <dcterms:modified xsi:type="dcterms:W3CDTF">2024-11-14T13:29:00Z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B10-0161, 0162, 0163, 0164 en 0166/2024</vt:lpwstr>
  </property>
  <property fmtid="{D5CDD505-2E9C-101B-9397-08002B2CF9AE}" pid="4" name="&lt;Type&gt;">
    <vt:lpwstr>RR</vt:lpwstr>
  </property>
</Properties>
</file>