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8E5" w:rsidTr="0010095E">
        <w:trPr>
          <w:trHeight w:hRule="exact" w:val="1418"/>
        </w:trPr>
        <w:tc>
          <w:tcPr>
            <w:tcW w:w="6804" w:type="dxa"/>
            <w:shd w:val="clear" w:color="auto" w:fill="auto"/>
            <w:vAlign w:val="center"/>
          </w:tcPr>
          <w:p w:rsidR="00751A4A" w:rsidRPr="006608E5" w:rsidRDefault="005C493D" w:rsidP="0010095E">
            <w:pPr>
              <w:pStyle w:val="EPName"/>
            </w:pPr>
            <w:bookmarkStart w:id="0" w:name="_GoBack"/>
            <w:bookmarkEnd w:id="0"/>
            <w:r w:rsidRPr="006608E5">
              <w:t>Parlamentul European</w:t>
            </w:r>
          </w:p>
          <w:p w:rsidR="00751A4A" w:rsidRPr="006608E5" w:rsidRDefault="005F1B17" w:rsidP="005F1B17">
            <w:pPr>
              <w:pStyle w:val="EPTerm"/>
              <w:rPr>
                <w:rStyle w:val="HideTWBExt"/>
                <w:noProof w:val="0"/>
                <w:vanish w:val="0"/>
                <w:color w:val="auto"/>
              </w:rPr>
            </w:pPr>
            <w:r w:rsidRPr="006608E5">
              <w:t>2024</w:t>
            </w:r>
            <w:r w:rsidR="00817416" w:rsidRPr="006608E5">
              <w:t>-202</w:t>
            </w:r>
            <w:r w:rsidRPr="006608E5">
              <w:t>9</w:t>
            </w:r>
          </w:p>
        </w:tc>
        <w:tc>
          <w:tcPr>
            <w:tcW w:w="2268" w:type="dxa"/>
            <w:shd w:val="clear" w:color="auto" w:fill="auto"/>
          </w:tcPr>
          <w:p w:rsidR="00751A4A" w:rsidRPr="006608E5" w:rsidRDefault="00187494" w:rsidP="0010095E">
            <w:pPr>
              <w:pStyle w:val="EPLogo"/>
            </w:pPr>
            <w:r w:rsidRPr="006608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08E5" w:rsidRDefault="00D058B8" w:rsidP="004C5D52">
      <w:pPr>
        <w:pStyle w:val="LineTop"/>
      </w:pPr>
    </w:p>
    <w:p w:rsidR="00680577" w:rsidRPr="006608E5" w:rsidRDefault="005C493D" w:rsidP="00680577">
      <w:pPr>
        <w:pStyle w:val="EPBodyTA1"/>
      </w:pPr>
      <w:r w:rsidRPr="006608E5">
        <w:t>TEXTE ADOPTATE</w:t>
      </w:r>
    </w:p>
    <w:p w:rsidR="00D058B8" w:rsidRPr="006608E5" w:rsidRDefault="00D058B8" w:rsidP="00D058B8">
      <w:pPr>
        <w:pStyle w:val="LineBottom"/>
      </w:pPr>
    </w:p>
    <w:p w:rsidR="005C493D" w:rsidRPr="006608E5" w:rsidRDefault="005C493D" w:rsidP="005C493D">
      <w:pPr>
        <w:pStyle w:val="ATHeading1"/>
      </w:pPr>
      <w:bookmarkStart w:id="1" w:name="TANumber"/>
      <w:r w:rsidRPr="006608E5">
        <w:t>P10_TA(2024)00</w:t>
      </w:r>
      <w:bookmarkEnd w:id="1"/>
      <w:r w:rsidR="006608E5" w:rsidRPr="006608E5">
        <w:t>36</w:t>
      </w:r>
    </w:p>
    <w:p w:rsidR="005C493D" w:rsidRPr="006608E5" w:rsidRDefault="005C493D" w:rsidP="005C493D">
      <w:pPr>
        <w:pStyle w:val="ATHeading2"/>
      </w:pPr>
      <w:bookmarkStart w:id="2" w:name="title"/>
      <w:r w:rsidRPr="006608E5">
        <w:t>Acțiunile UE împotriva flotelor rusești „fantomă” și asigurarea aplicării integrale a sancțiunilor împotriva Rusiei</w:t>
      </w:r>
      <w:bookmarkEnd w:id="2"/>
    </w:p>
    <w:p w:rsidR="005C493D" w:rsidRPr="006608E5" w:rsidRDefault="005C493D" w:rsidP="005C493D">
      <w:pPr>
        <w:rPr>
          <w:i/>
          <w:vanish/>
        </w:rPr>
      </w:pPr>
      <w:r w:rsidRPr="006608E5">
        <w:rPr>
          <w:i/>
        </w:rPr>
        <w:fldChar w:fldCharType="begin"/>
      </w:r>
      <w:r w:rsidRPr="006608E5">
        <w:rPr>
          <w:i/>
        </w:rPr>
        <w:instrText xml:space="preserve"> TC"(</w:instrText>
      </w:r>
      <w:bookmarkStart w:id="3" w:name="DocNumber"/>
      <w:r w:rsidRPr="006608E5">
        <w:rPr>
          <w:i/>
        </w:rPr>
        <w:instrText>B10-0161</w:instrText>
      </w:r>
      <w:r w:rsidR="004D5A0E" w:rsidRPr="006608E5">
        <w:rPr>
          <w:i/>
        </w:rPr>
        <w:instrText>, 0162, 0163, 0164 și 0166</w:instrText>
      </w:r>
      <w:r w:rsidRPr="006608E5">
        <w:rPr>
          <w:i/>
        </w:rPr>
        <w:instrText>/2024</w:instrText>
      </w:r>
      <w:bookmarkEnd w:id="3"/>
      <w:r w:rsidRPr="006608E5">
        <w:rPr>
          <w:i/>
        </w:rPr>
        <w:instrText xml:space="preserve">)"\l3 \n&gt; \* MERGEFORMAT </w:instrText>
      </w:r>
      <w:r w:rsidRPr="006608E5">
        <w:rPr>
          <w:i/>
        </w:rPr>
        <w:fldChar w:fldCharType="end"/>
      </w:r>
    </w:p>
    <w:p w:rsidR="005C493D" w:rsidRPr="006608E5" w:rsidRDefault="005C493D" w:rsidP="005C493D">
      <w:pPr>
        <w:rPr>
          <w:vanish/>
        </w:rPr>
      </w:pPr>
      <w:bookmarkStart w:id="4" w:name="PE"/>
      <w:r w:rsidRPr="006608E5">
        <w:rPr>
          <w:vanish/>
        </w:rPr>
        <w:t>PE764.162</w:t>
      </w:r>
      <w:bookmarkEnd w:id="4"/>
    </w:p>
    <w:p w:rsidR="005C493D" w:rsidRPr="006608E5" w:rsidRDefault="005C493D" w:rsidP="005C493D">
      <w:pPr>
        <w:pStyle w:val="ATHeading3"/>
      </w:pPr>
      <w:bookmarkStart w:id="5" w:name="Sujet"/>
      <w:r w:rsidRPr="006608E5">
        <w:t>Rezoluția Parlamentului European din 14 noiembrie 2024 referitoare la acțiunile UE împotriva flotelor rusești „fantomă” și asigurarea aplicării integrale a sancțiunilor împotriva Rusiei</w:t>
      </w:r>
      <w:bookmarkEnd w:id="5"/>
      <w:r w:rsidRPr="006608E5">
        <w:t xml:space="preserve"> </w:t>
      </w:r>
      <w:bookmarkStart w:id="6" w:name="References"/>
      <w:r w:rsidRPr="006608E5">
        <w:t>(2024/2885(RSP))</w:t>
      </w:r>
      <w:bookmarkEnd w:id="6"/>
    </w:p>
    <w:p w:rsidR="00872BA6" w:rsidRPr="006608E5" w:rsidRDefault="00872BA6" w:rsidP="00872BA6">
      <w:pPr>
        <w:pStyle w:val="EPComma"/>
      </w:pPr>
      <w:bookmarkStart w:id="7" w:name="TextBodyBegin"/>
      <w:bookmarkEnd w:id="7"/>
      <w:r w:rsidRPr="006608E5">
        <w:rPr>
          <w:i/>
        </w:rPr>
        <w:t>Parlamentul European</w:t>
      </w:r>
      <w:r w:rsidRPr="006608E5">
        <w:t>,</w:t>
      </w:r>
    </w:p>
    <w:p w:rsidR="00872BA6" w:rsidRPr="006608E5" w:rsidRDefault="00872BA6" w:rsidP="00872BA6">
      <w:pPr>
        <w:pStyle w:val="NormalHanging12a"/>
      </w:pPr>
      <w:r w:rsidRPr="006608E5">
        <w:t>–</w:t>
      </w:r>
      <w:r w:rsidRPr="006608E5">
        <w:tab/>
        <w:t>având în vedere rezoluțiile sale anterioare referitoare la Rusia și la Ucraina, în special de la escaladarea războiului de agresiune al Rusiei împotriva Ucrainei în februarie 2022,</w:t>
      </w:r>
    </w:p>
    <w:p w:rsidR="00872BA6" w:rsidRPr="006608E5" w:rsidRDefault="00872BA6" w:rsidP="00872BA6">
      <w:pPr>
        <w:pStyle w:val="NormalHanging12a"/>
      </w:pPr>
      <w:r w:rsidRPr="006608E5">
        <w:t>–</w:t>
      </w:r>
      <w:r w:rsidRPr="006608E5">
        <w:tab/>
        <w:t>având în vedere cele 14 pachete consecutive de sancțiuni împotriva Rusiei adoptate de UE din februarie 2022,</w:t>
      </w:r>
    </w:p>
    <w:p w:rsidR="00872BA6" w:rsidRPr="006608E5" w:rsidRDefault="00872BA6" w:rsidP="00872BA6">
      <w:pPr>
        <w:pStyle w:val="NormalHanging12a"/>
      </w:pPr>
      <w:r w:rsidRPr="006608E5">
        <w:t>–</w:t>
      </w:r>
      <w:r w:rsidRPr="006608E5">
        <w:tab/>
        <w:t>având în vedere Carta Organizației Națiunilor Unite și Convenția Națiunilor Unite asupra dreptului mării,</w:t>
      </w:r>
    </w:p>
    <w:p w:rsidR="00872BA6" w:rsidRPr="006608E5" w:rsidRDefault="00872BA6" w:rsidP="00872BA6">
      <w:pPr>
        <w:pStyle w:val="NormalHanging12a"/>
      </w:pPr>
      <w:r w:rsidRPr="006608E5">
        <w:t>–</w:t>
      </w:r>
      <w:r w:rsidRPr="006608E5">
        <w:tab/>
        <w:t>având în vedere Convenția internațională pentru prevenirea poluării de către nave (MARPOL), Convenția internațională privind standardele de pregătire a navigatorilor, brevetare/atestare și efectuare a serviciului de cart, Convenția internațională privind răspunderea civilă pentru prejudicii provocate de poluarea cu hidrocarburi și alte convenții relevante ale Organizației Maritime Internaționale (OMI),</w:t>
      </w:r>
    </w:p>
    <w:p w:rsidR="00872BA6" w:rsidRPr="006608E5" w:rsidRDefault="00872BA6" w:rsidP="00872BA6">
      <w:pPr>
        <w:pStyle w:val="NormalHanging12a"/>
      </w:pPr>
      <w:r w:rsidRPr="006608E5">
        <w:t>–</w:t>
      </w:r>
      <w:r w:rsidRPr="006608E5">
        <w:tab/>
        <w:t>având în vedere Rezoluția A.1192(33) a Adunării Generale a OMI intitulată „Să cerem statelor membre și tuturor părților interesate relevante să susțină acțiuni de prevenire a operațiunilor ilegale din sectorul maritim ale «flotei fantomă» sau «flotei obscure»”, adoptată la 6 decembrie 2023,</w:t>
      </w:r>
    </w:p>
    <w:p w:rsidR="00872BA6" w:rsidRPr="006608E5" w:rsidRDefault="00872BA6" w:rsidP="00872BA6">
      <w:pPr>
        <w:pStyle w:val="NormalHanging12a"/>
      </w:pPr>
      <w:r w:rsidRPr="006608E5">
        <w:t>–</w:t>
      </w:r>
      <w:r w:rsidRPr="006608E5">
        <w:tab/>
        <w:t>având în vedere declarația din 6 decembrie 2023 a liderilor G7,</w:t>
      </w:r>
    </w:p>
    <w:p w:rsidR="00872BA6" w:rsidRPr="006608E5" w:rsidRDefault="00872BA6" w:rsidP="00872BA6">
      <w:pPr>
        <w:pStyle w:val="NormalHanging12a"/>
      </w:pPr>
      <w:r w:rsidRPr="006608E5">
        <w:t>–</w:t>
      </w:r>
      <w:r w:rsidRPr="006608E5">
        <w:tab/>
        <w:t>având în vedere articolul 136 alineatele (2) și (4) din Regulamentul său de procedură,</w:t>
      </w:r>
    </w:p>
    <w:p w:rsidR="00872BA6" w:rsidRPr="006608E5" w:rsidRDefault="00872BA6" w:rsidP="00872BA6">
      <w:pPr>
        <w:pStyle w:val="NormalHanging12a"/>
      </w:pPr>
      <w:r w:rsidRPr="006608E5">
        <w:t>A.</w:t>
      </w:r>
      <w:r w:rsidRPr="006608E5">
        <w:tab/>
        <w:t>întrucât Rusia poartă un război de agresiune ilegal, neprovocat și nejustificat la scară largă împotriva Ucrainei din 24 februarie 2022, continuând ceea ce a început în 2014, când a anexat Crimeea și a ocupat ulterior părți din regiunile Donețk și Luhansk;</w:t>
      </w:r>
      <w:r w:rsidRPr="006608E5">
        <w:rPr>
          <w:rStyle w:val="Aucun"/>
          <w:color w:val="000000"/>
        </w:rPr>
        <w:t xml:space="preserve"> întrucât, încă de la începutul acestuia, UE a condamnat cu fermitate războiul de </w:t>
      </w:r>
      <w:r w:rsidRPr="006608E5">
        <w:rPr>
          <w:rStyle w:val="Aucun"/>
          <w:color w:val="000000"/>
        </w:rPr>
        <w:lastRenderedPageBreak/>
        <w:t>agresiune al Rusiei împotriva Ucrainei și a solicitat Rusiei să pună capăt acestor agresiuni și să respecte integritatea teritorială a Ucrainei;</w:t>
      </w:r>
    </w:p>
    <w:p w:rsidR="00872BA6" w:rsidRPr="006608E5" w:rsidRDefault="00872BA6" w:rsidP="00872BA6">
      <w:pPr>
        <w:pStyle w:val="NormalHanging12a"/>
      </w:pPr>
      <w:r w:rsidRPr="006608E5">
        <w:t>B.</w:t>
      </w:r>
      <w:r w:rsidRPr="006608E5">
        <w:tab/>
        <w:t>întrucât Rusia este unul dintre cei mai mari producători de petrol din lume; întrucât Rusia depinde în mare măsură de vânzările de petrol în ce privește veniturile din exporturi și veniturile bugetare, ceea ce face ca petrolul să fie o sursă esențială de finanțare pentru războiul său din Ucraina;</w:t>
      </w:r>
    </w:p>
    <w:p w:rsidR="00872BA6" w:rsidRPr="006608E5" w:rsidRDefault="00872BA6" w:rsidP="00872BA6">
      <w:pPr>
        <w:pStyle w:val="NormalHanging12a"/>
      </w:pPr>
      <w:r w:rsidRPr="006608E5">
        <w:t>C.</w:t>
      </w:r>
      <w:r w:rsidRPr="006608E5">
        <w:tab/>
        <w:t>întrucât UE și ceilalți membri ai Coaliției G7+ pentru plafonarea prețurilor au stabilit un plafon al prețurilor pentru țițeiul și produsele petroliere de origine rusă, cu scopul de a menține aprovizionarea la nivel mondial, limitând în același timp fluxurile de venituri utilizate de Rusia pentru a-și finanța războiul de agresiune împotriva Ucrainei; întrucât, ca răspuns, Rusia a cheltuit aproximativ 9 miliarde EUR pentru construirea „flotei sale fantomă”; întrucât petrolierele umplute cu petrol rusesc traversează zilnic apele europene, ca parte a eforturilor Rusiei de a se sustrage sancțiunilor UE și G7;</w:t>
      </w:r>
    </w:p>
    <w:p w:rsidR="00872BA6" w:rsidRPr="006608E5" w:rsidRDefault="00872BA6" w:rsidP="00872BA6">
      <w:pPr>
        <w:pStyle w:val="NormalHanging12a"/>
        <w:rPr>
          <w:bCs/>
        </w:rPr>
      </w:pPr>
      <w:r w:rsidRPr="006608E5">
        <w:t>D.</w:t>
      </w:r>
      <w:r w:rsidRPr="006608E5">
        <w:tab/>
        <w:t>întrucât, de la începutul invadării pe scară largă a Ucrainei de către Rusia la 24 februarie 2022, UE a impus măsuri restrictive și sancțiuni masive și fără precedent împotriva Rusiei, cu scopul de a submina capacitatea economică, financiară și militară a Rusiei de a-și susține efortul de război; întrucât al șaselea pachet de sancțiuni al Consiliului interzice, printre altele, achiziționarea, importul și transferul țițeiului și al anumitor produse petroliere pe cale maritimă din Rusia către UE; întrucât cel de al 11-lea și cel de al 12-lea pachet de sancțiuni ale Consiliului abordează riscurile de eludare pe care le prezintă „flota fantomă”; întrucât, în cel de al 14-lea pachet de sancțiuni privind petrolul rusesc, Consiliul a introdus o nouă măsură care vizează anumite nave ce contribuie la războiul Rusiei împotriva Ucrainei, acestea fiind supuse unei interdicții de acces în porturi și unei interdicții privind furnizarea de servicii; întrucât, până în prezent, UE a inclus doar 27 de nave pe această listă, inclusiv petroliere care transportă petrol rusesc și care sunt implicate în practici de transport maritim periculoase și ilegale; întrucât, în octombrie 2024, guvernul Regatului Unit a impus sancțiuni împotriva a 18 petroliere rusești și a 4 nave pentru transportul gazului natural lichefiat (GNL); întrucât, până în prezent, indicarea navelor ca făcând parte din „flota fantomă” a avut cel mai mare impact asupra operațiunilor „flotei fantomă”;</w:t>
      </w:r>
    </w:p>
    <w:p w:rsidR="00872BA6" w:rsidRPr="006608E5" w:rsidRDefault="00872BA6" w:rsidP="00872BA6">
      <w:pPr>
        <w:pStyle w:val="NormalHanging12a"/>
        <w:rPr>
          <w:bCs/>
        </w:rPr>
      </w:pPr>
      <w:r w:rsidRPr="006608E5">
        <w:t>E.</w:t>
      </w:r>
      <w:r w:rsidRPr="006608E5">
        <w:tab/>
        <w:t>întrucât „flotele fantomă” au fost deja utilizate de țări ostile, ca Iranul, Venezuela și Coreea de Nord; întrucât, cu toate acestea, Rusia se distinge prin amploarea și complexitatea operațiunilor derulate, deoarece se estimează că „flota fantomă” a Rusiei operează circa 160-200 de petroliere lunar pentru a transporta petrol, cu o flotă totală estimată de 600 de nave care joacă un rol esențial în susținerea exporturilor rusești de țiței;</w:t>
      </w:r>
    </w:p>
    <w:p w:rsidR="00872BA6" w:rsidRPr="006608E5" w:rsidRDefault="00872BA6" w:rsidP="00872BA6">
      <w:pPr>
        <w:pStyle w:val="NormalHanging12a"/>
      </w:pPr>
      <w:r w:rsidRPr="006608E5">
        <w:t>F.</w:t>
      </w:r>
      <w:r w:rsidRPr="006608E5">
        <w:tab/>
        <w:t>întrucât „flota fantomă” folosită de Rusia ca soluție de eludare a redus semnificativ eficacitatea regimului de sancțiuni și a permis Rusiei să utilizeze în continuare aceste venituri pentru a finanța războiul său de agresiune împotriva Ucrainei și reliefează necesitatea de a consolida și extinde coordonarea internațională a sancțiunilor;</w:t>
      </w:r>
    </w:p>
    <w:p w:rsidR="00872BA6" w:rsidRPr="006608E5" w:rsidRDefault="00872BA6" w:rsidP="00872BA6">
      <w:pPr>
        <w:pStyle w:val="NormalHanging12a"/>
      </w:pPr>
      <w:r w:rsidRPr="006608E5">
        <w:t>G.</w:t>
      </w:r>
      <w:r w:rsidRPr="006608E5">
        <w:tab/>
        <w:t xml:space="preserve">întrucât se estimează că „flota fantomă” numără cel puțin 600 de nave-cisternă la nivel mondial; întrucât acestea sunt nave-cisternă mai vechi, care navighează adesea fără o asigurare standard la nivel de sector și își schimbă frecvent numele și înmatriculările pavilionului, permițând Rusiei să-și vândă o parte semnificativă a petrolului peste plafonul de preț și subminând capacitatea guvernelor de a trage la răspundere </w:t>
      </w:r>
      <w:r w:rsidRPr="006608E5">
        <w:lastRenderedPageBreak/>
        <w:t>proprietarii petrolierelor pentru decontaminare în cazul deversărilor de petrol; întrucât aceste nave sunt, în general, inadecvate pentru funcționare și contribuie la riscul tot mai mare de coliziuni maritime pe rutele comerciale internaționale, prezentând astfel un pericol grav pentru mediu din cauza riscului ridicat de deversări de petrol care dăunează ecosistemelor marine și zonelor costiere, inclusiv în zonele marine protejate cu specii sălbatice deosebit de sensibile, unde deversările de petrol ar avea consecințe dezastruoase; întrucât din experiența deversărilor de petrol provocate în trecut de petroliere reiese că daunele aduse ecosistemelor costiere și subacvatice, precum și animalelor de la suprafață și păsărilor marine pot dura zeci de ani; întrucât extinderea flotei Agenției Europene pentru Siguranță Maritimă (EMSA) cu nave de răspuns suplimentare s-ar alinia la angajamentul UE privind protecția mediului, reziliența în temeiul Pactului verde european și obiectivele mecanismului de protecție civilă al UE de a consolida capacitățile de răspuns rapid și de pregătire pentru dezastre;</w:t>
      </w:r>
    </w:p>
    <w:p w:rsidR="00872BA6" w:rsidRPr="006608E5" w:rsidRDefault="00872BA6" w:rsidP="00872BA6">
      <w:pPr>
        <w:pStyle w:val="NormalHanging12a"/>
      </w:pPr>
      <w:r w:rsidRPr="006608E5">
        <w:t>H.</w:t>
      </w:r>
      <w:r w:rsidRPr="006608E5">
        <w:tab/>
        <w:t>întrucât „petrolierele fantomă” ale Rusiei efectuează regulat transferuri de țiței și de produse petroliere rusești de la o navă la alta în apele teritoriale, inclusiv în Marea Mediterană; întrucât, în cadrul acestor operațiuni, ele transferă și amestecă petrol rusesc între nave fără a acosta în niciun port pentru a ascunde originea petrolului; întrucât apropierea acestor operațiuni de coastă prezintă un risc ridicat de daune aduse mediului; întrucât transponderele sistemului de identificare automată prin satelit sunt adesea oprite, pentru ca navele să se sustragă monitorizării și inspecțiilor oficiale; întrucât țările de coastă din Europa ar fi afectate în mod deosebit; întrucât, în cazul unor accidente, deversările de petrol provenite de la navele „flotei fantomă” ar putea duce la costuri de curățare de miliarde de euro pentru țările de coastă și pentru contribuabilii acestora, deoarece, în general, proprietarii navelor respective sunt imposibil de urmărit; întrucât deversările de petrol pot produce, de asemenea, pierderi economice semnificative, inclusiv din cauza declinului activităților turistice și de pescuit; întrucât astfel de deversări reprezintă amenințări semnificative la adresa calității apei și a faunei sălbatice locale, afectând ecosistemele marine, contaminând produsele de consum, cum ar fi crustaceele și moluștele, și constituind astfel o amenințare la adresa sănătății umane, provocând alte contaminări și perturbând reproducerea peștilor;</w:t>
      </w:r>
    </w:p>
    <w:p w:rsidR="00872BA6" w:rsidRPr="006608E5" w:rsidRDefault="00872BA6" w:rsidP="00872BA6">
      <w:pPr>
        <w:pStyle w:val="NormalHanging12a"/>
      </w:pPr>
      <w:r w:rsidRPr="006608E5">
        <w:t>I.</w:t>
      </w:r>
      <w:r w:rsidRPr="006608E5">
        <w:tab/>
        <w:t>întrucât deversarea intenționată peste bord a reziduurilor de petrol este ilegală în temeiul Convenției MARPOL, un tratat internațional care urmărește să reducă poluarea de către nave; întrucât Rusia este semnatară a Convenției MARPOL; întrucât există dovezi că aceasta a încălcat Convenția MARPOL; întrucât sancționarea navelor individuale s-a dovedit eficace, deoarece navele care au fost deja incluse pe lista neagră au înregistrat o scădere a capacității lor de a comercializa petrol după ce au fost sancționate;</w:t>
      </w:r>
    </w:p>
    <w:p w:rsidR="00872BA6" w:rsidRPr="006608E5" w:rsidRDefault="00872BA6" w:rsidP="00872BA6">
      <w:pPr>
        <w:pStyle w:val="NormalHanging12a"/>
        <w:rPr>
          <w:bCs/>
        </w:rPr>
      </w:pPr>
      <w:r w:rsidRPr="006608E5">
        <w:t>J.</w:t>
      </w:r>
      <w:r w:rsidRPr="006608E5">
        <w:tab/>
        <w:t>întrucât Directiva 2009/20/CE</w:t>
      </w:r>
      <w:r w:rsidRPr="006608E5">
        <w:rPr>
          <w:rStyle w:val="FootnoteReference"/>
        </w:rPr>
        <w:footnoteReference w:id="1"/>
      </w:r>
      <w:r w:rsidRPr="006608E5">
        <w:t xml:space="preserve"> privind asigurarea proprietarilor navelor în ceea ce privește creanțele maritime este în vigoare din 2009, garantând că toate navele care arborează pavilionul unui stat membru al UE sunt asigurate și dețin certificate de asigurare; întrucât unul dintre obiectivele Directivei 2009/20/CE era eliminarea navelor care nu corespund standardelor; întrucât Convenția internațională privind intervenția în largul mării în cazurile de accidente însoțite de poluarea cu petrol permite țărilor „să prevină, să reducă sau să elimine un pericol grav și iminent pentru zona de coastă sau pentru interesele conexe acesteia, provocat de poluarea sau riscul de poluare a mării cu </w:t>
      </w:r>
      <w:r w:rsidRPr="006608E5">
        <w:lastRenderedPageBreak/>
        <w:t>hidrocarburi, în urma unui accident maritim sau a actelor legate de un astfel de accident”;</w:t>
      </w:r>
    </w:p>
    <w:p w:rsidR="00872BA6" w:rsidRPr="006608E5" w:rsidRDefault="00872BA6" w:rsidP="00872BA6">
      <w:pPr>
        <w:pStyle w:val="NormalHanging12a"/>
        <w:rPr>
          <w:rFonts w:eastAsia="Arial Unicode MS"/>
          <w:u w:color="000000"/>
          <w:bdr w:val="nil"/>
        </w:rPr>
      </w:pPr>
      <w:r w:rsidRPr="006608E5">
        <w:rPr>
          <w:u w:color="000000"/>
          <w:bdr w:val="nil"/>
        </w:rPr>
        <w:t>K.</w:t>
      </w:r>
      <w:r w:rsidRPr="006608E5">
        <w:rPr>
          <w:u w:color="000000"/>
          <w:bdr w:val="nil"/>
        </w:rPr>
        <w:tab/>
        <w:t>întrucât rapoarte recente ale marinei suedeze au evidențiat riscurile de securitate legate de activitățile „flotei fantomă” și posibila utilizare a acesteia în operațiuni hibride împotriva țărilor europene;</w:t>
      </w:r>
    </w:p>
    <w:p w:rsidR="00872BA6" w:rsidRPr="006608E5" w:rsidRDefault="00872BA6" w:rsidP="00872BA6">
      <w:pPr>
        <w:pStyle w:val="NormalHanging12a"/>
        <w:rPr>
          <w:bCs/>
        </w:rPr>
      </w:pPr>
      <w:r w:rsidRPr="006608E5">
        <w:t>L.</w:t>
      </w:r>
      <w:r w:rsidRPr="006608E5">
        <w:tab/>
        <w:t>întrucât, în pofida interzicerii importurilor de produse petroliere rafinate în Rusia, nu există nicio interdicție privind importurile de la rafinării din țări terțe care prelucrează țiței rusesc; întrucât „flota fantomă” livrează țiței rusesc unor rafinării din țări terțe; întrucât UE și țările G7 continuă să importe produse petroliere derivate din petrol rusesc, de exemplu de la rafinării din Turcia;</w:t>
      </w:r>
    </w:p>
    <w:p w:rsidR="00872BA6" w:rsidRPr="006608E5" w:rsidRDefault="00872BA6" w:rsidP="00872BA6">
      <w:pPr>
        <w:pStyle w:val="NormalHanging12a"/>
        <w:rPr>
          <w:bCs/>
        </w:rPr>
      </w:pPr>
      <w:r w:rsidRPr="006608E5">
        <w:t>M.</w:t>
      </w:r>
      <w:r w:rsidRPr="006608E5">
        <w:tab/>
        <w:t>întrucât traficul acestor nave a crescut dramatic în cursul anului 2024, numărul de călătorii efectuate de „navele fantomă” ruse fiind de peste două ori mai mare; întrucât o parte semnificativă a petrolului rusesc este transportată pe rute maritime internaționale aglomerate; întrucât Rusia expediază cea mai mare parte a petrolului său din porturile de la Marea Baltică și Marea Neagră;</w:t>
      </w:r>
    </w:p>
    <w:p w:rsidR="00872BA6" w:rsidRPr="006608E5" w:rsidRDefault="00872BA6" w:rsidP="00872BA6">
      <w:pPr>
        <w:pStyle w:val="NormalHanging12a"/>
        <w:rPr>
          <w:bCs/>
        </w:rPr>
      </w:pPr>
      <w:r w:rsidRPr="006608E5">
        <w:t>N.</w:t>
      </w:r>
      <w:r w:rsidRPr="006608E5">
        <w:tab/>
        <w:t>întrucât cei care transportă petrolul și gestionează „flota fantomă” nu acționează izolat; întrucât activitățile lor sunt interconectate cu tranzacțiile financiare care le sprijină; întrucât aceste tranzacții pot implica entități care fac obiectul unor sancțiuni financiare; întrucât respectarea regimului de sancțiuni ar trebui analizată dintr-o perspectivă globală pentru a evita eludarea;</w:t>
      </w:r>
    </w:p>
    <w:p w:rsidR="00872BA6" w:rsidRPr="006608E5" w:rsidRDefault="00872BA6" w:rsidP="00872BA6">
      <w:pPr>
        <w:pStyle w:val="NormalHanging12a"/>
      </w:pPr>
      <w:r w:rsidRPr="006608E5">
        <w:t>O.</w:t>
      </w:r>
      <w:r w:rsidRPr="006608E5">
        <w:tab/>
        <w:t>întrucât unii operatori de nave au încercat să încalce sancțiunile prin înregistrarea navelor lor în țări care nu participă la acordul de plafonare a prețurilor; întrucât Rusia folosește intermediari, organizații sau persoane fizice din țări terțe pentru a achiziționa petroliere pentru „flota fantomă”; întrucât unii proprietari și administratori ai navelor petroliere și pentru transportul gazelor din „flota fantomă” sunt înregistrați și în state membre ale UE;</w:t>
      </w:r>
    </w:p>
    <w:p w:rsidR="00872BA6" w:rsidRPr="006608E5" w:rsidRDefault="00872BA6" w:rsidP="00872BA6">
      <w:pPr>
        <w:pStyle w:val="NormalHanging12a"/>
      </w:pPr>
      <w:r w:rsidRPr="006608E5">
        <w:t>P.</w:t>
      </w:r>
      <w:r w:rsidRPr="006608E5">
        <w:tab/>
        <w:t>întrucât, pentru a eluda sancțiunile, „flota fantomă” a Rusiei se bazează în mare măsură pe complicitatea și colaborarea mai multor țări, mai ales China, India și Turcia,</w:t>
      </w:r>
    </w:p>
    <w:p w:rsidR="00872BA6" w:rsidRPr="006608E5" w:rsidRDefault="00872BA6" w:rsidP="00872BA6">
      <w:pPr>
        <w:pStyle w:val="NormalHanging12a"/>
      </w:pPr>
      <w:r w:rsidRPr="006608E5">
        <w:t>1.</w:t>
      </w:r>
      <w:r w:rsidRPr="006608E5">
        <w:tab/>
        <w:t>condamnă din nou și cu cea mai mare fermitate războiul de agresiune neprovocat, ilegal și nejustificat al Rusiei împotriva Ucrainei; invită Rusia să înceteze imediat toate activitățile militare din Ucraina și să își retragă complet și necondiționat toate forțele, reprezentanții și echipamentele militare de pe întregul teritoriu recunoscut la nivel internațional al Ucrainei, să pună capăt deportării forțate a civililor ucraineni și să îi elibereze pe toți ucrainenii deținuți și deportați, în special pe copii;</w:t>
      </w:r>
    </w:p>
    <w:p w:rsidR="00872BA6" w:rsidRPr="006608E5" w:rsidRDefault="00872BA6" w:rsidP="00872BA6">
      <w:pPr>
        <w:pStyle w:val="NormalHanging12a"/>
      </w:pPr>
      <w:r w:rsidRPr="006608E5">
        <w:t>2.</w:t>
      </w:r>
      <w:r w:rsidRPr="006608E5">
        <w:tab/>
        <w:t xml:space="preserve">își reiterează sprijinul neechivoc pentru regimul de sancțiuni al UE, care urmărește să submineze capacitatea regimului rus de a-și continua războiul de agresiune împotriva Ucrainei; subliniază că obiectivul sancțiunilor UE ca răspuns la războiul de agresiune al Rusiei împotriva Ucrainei este de a slăbi strategic baza economică și industrială a Rusiei, mai ales complexul militar-industrial, pentru a submina capacitatea Federației Ruse de a continua războiul, de a ataca populația civilă și de a încălca integritatea teritorială a Ucrainei, precum și pentru a împiedica accesul Rusiei la tehnologii și componente militare; observă că Rusia eludează activ sancțiunile UE și caută noi modalități de a face acest lucru, printre altele, prin exploatarea unei „flote fantomă” de </w:t>
      </w:r>
      <w:r w:rsidRPr="006608E5">
        <w:lastRenderedPageBreak/>
        <w:t>petroliere și, așadar, ar putea fi în continuare în măsură să își intensifice eforturile de război împotriva Ucrainei pe termen scurt, în special iarna următoare;</w:t>
      </w:r>
    </w:p>
    <w:p w:rsidR="00872BA6" w:rsidRPr="006608E5" w:rsidRDefault="00872BA6" w:rsidP="00872BA6">
      <w:pPr>
        <w:pStyle w:val="NormalHanging12a"/>
      </w:pPr>
      <w:r w:rsidRPr="006608E5">
        <w:t>3.</w:t>
      </w:r>
      <w:r w:rsidRPr="006608E5">
        <w:tab/>
        <w:t xml:space="preserve">consideră că „flota fantomă” este o gură de oxigen esențială pentru Rusia în războiul său ilegal și nejustificabil de agresiune împotriva Ucrainei și un instrument foarte important creat pentru a eluda regimul de sancțiuni al UE; denunță riscul pe care aceste nave rusești nesigure și neasigurate îl reprezintă pentru securitatea maritimă și pentru statele membre costiere europene și ecosistemele noastre marine; condamnă Rusia pentru că a generat intenționat riscuri uriașe în vederea propriului câștig financiar, fără a ține seama de siguranța internațională sau de posibilele daune ireversibile aduse mediului; </w:t>
      </w:r>
      <w:r w:rsidRPr="006608E5">
        <w:rPr>
          <w:rStyle w:val="Aucun"/>
          <w:color w:val="000000"/>
        </w:rPr>
        <w:t>invită UE și statele sale membre să își intensifice eforturile de reducere a eludării și ocolirii sancțiunilor de către Rusia și să pună în aplicare măsuri concrete pentru a asigura siguranța maritimă și a preveni pericolele pentru mediu în apele europene,</w:t>
      </w:r>
      <w:r w:rsidRPr="006608E5">
        <w:t xml:space="preserve"> în special în Marea Baltică;</w:t>
      </w:r>
      <w:r w:rsidRPr="006608E5">
        <w:rPr>
          <w:rStyle w:val="Aucun"/>
          <w:color w:val="000000"/>
        </w:rPr>
        <w:t xml:space="preserve"> </w:t>
      </w:r>
      <w:r w:rsidRPr="006608E5">
        <w:t>consideră că transferurile de la o navă la alta în marea liberă sunt activități cu risc ridicat care subminează siguranța maritimă internațională și protecția mediului;</w:t>
      </w:r>
    </w:p>
    <w:p w:rsidR="00872BA6" w:rsidRPr="006608E5" w:rsidRDefault="00872BA6" w:rsidP="00872BA6">
      <w:pPr>
        <w:pStyle w:val="NormalHanging12a"/>
      </w:pPr>
      <w:r w:rsidRPr="006608E5">
        <w:t>4.</w:t>
      </w:r>
      <w:r w:rsidRPr="006608E5">
        <w:tab/>
      </w:r>
      <w:r w:rsidRPr="006608E5">
        <w:rPr>
          <w:rStyle w:val="Aucun"/>
          <w:color w:val="000000"/>
        </w:rPr>
        <w:t>solicită impunerea unor sancțiuni mai specifice vizând „flota fantomă” în următoarele pachete de sancțiuni împotriva Rusiei, cum ar fi indicarea tuturor navelor individuale ale „flotei fantomă”, precum și a proprietarilor, operatorilor, administratorilor, conturilor,</w:t>
      </w:r>
      <w:r w:rsidRPr="006608E5">
        <w:t xml:space="preserve"> băncilor, societăților de asigurări</w:t>
      </w:r>
      <w:r w:rsidRPr="006608E5">
        <w:rPr>
          <w:rStyle w:val="Aucun"/>
          <w:color w:val="000000"/>
        </w:rPr>
        <w:t xml:space="preserve"> etc.; solicită interzicerea imediată a utilizării navelor occidentale în transportul petrolului rusesc; </w:t>
      </w:r>
      <w:r w:rsidRPr="006608E5">
        <w:t xml:space="preserve">cere, în sens mai larg, ca următoarele pachete de sancțiuni ale UE să includă sancționarea sistematică a navelor care navighează în apele UE fără a avea o asigurare cunoscută, pentru a proteja apele noastre și a evita sarcinile financiare ale operațiunilor de curățare a scurgerilor de petrol; îndeamnă Serviciul European de Acțiune Externă și trimisul pentru sancțiuni al UE să se adreseze </w:t>
      </w:r>
      <w:r w:rsidRPr="006608E5">
        <w:rPr>
          <w:rStyle w:val="Aucun"/>
          <w:color w:val="000000"/>
        </w:rPr>
        <w:t>guvernelor țărilor unde sunt înregistrate societățile care gestionează „petrolierele fantomă” și</w:t>
      </w:r>
      <w:r w:rsidRPr="006608E5">
        <w:t xml:space="preserve"> guvernelor țărilor a căror prezență de pavilion a crescut substanțial în apele UE de la impunerea plafonului prețului petrolului; invită UE și statele sale membre să se adreseze acestor țări de pavilion pentru a le informa cu privire la temeiul listelor și la consecințele unei eventuale includeri pe listă, a evidenția riscurile și impactul negativ asupra mediului ale practicilor de transport maritim neregulate și cu grad ridicat de risc și a le reaminti responsabilitățile țărilor de pavilion; invită insistent statele de pavilion să excludă navele sancționate din registrele lor navale;</w:t>
      </w:r>
    </w:p>
    <w:p w:rsidR="00872BA6" w:rsidRPr="006608E5" w:rsidRDefault="00872BA6" w:rsidP="00872BA6">
      <w:pPr>
        <w:pStyle w:val="NormalHanging12a"/>
      </w:pPr>
      <w:r w:rsidRPr="006608E5">
        <w:t>5.</w:t>
      </w:r>
      <w:r w:rsidRPr="006608E5">
        <w:tab/>
        <w:t>constată că statele de pavilion care ajută „flota fantomă” rusă contribuie astfel și la efortul de război al Rusiei; accentuează că, dacă eforturile diplomatice clasice vor eșua, UE ar trebui să își reevalueze serios cooperarea bilaterală cu țările din afara UE care ajută Rusia să eludeze sancțiunile UE;</w:t>
      </w:r>
    </w:p>
    <w:p w:rsidR="00872BA6" w:rsidRPr="006608E5" w:rsidRDefault="00872BA6" w:rsidP="00872BA6">
      <w:pPr>
        <w:pStyle w:val="NormalHanging12a"/>
        <w:rPr>
          <w:rStyle w:val="Aucun"/>
          <w:color w:val="000000"/>
        </w:rPr>
      </w:pPr>
      <w:r w:rsidRPr="006608E5">
        <w:rPr>
          <w:rStyle w:val="Aucun"/>
          <w:color w:val="000000"/>
        </w:rPr>
        <w:t>6.</w:t>
      </w:r>
      <w:r w:rsidRPr="006608E5">
        <w:rPr>
          <w:rStyle w:val="Aucun"/>
          <w:color w:val="000000"/>
        </w:rPr>
        <w:tab/>
      </w:r>
      <w:r w:rsidRPr="006608E5">
        <w:t xml:space="preserve">condamnă implicarea armatorilor europeni în crearea „flotei fantomă” a Rusiei; </w:t>
      </w:r>
      <w:r w:rsidRPr="006608E5">
        <w:rPr>
          <w:rStyle w:val="Aucun"/>
          <w:color w:val="000000"/>
        </w:rPr>
        <w:t xml:space="preserve">condamnă comportamentul statelor, prestatorilor de servicii juridice, entităților și persoanelor fizice care ajută Rusia să se sustragă sancțiunilor UE sau să le atenueze efectul; </w:t>
      </w:r>
      <w:r w:rsidRPr="006608E5">
        <w:t xml:space="preserve">reamintește că încălcarea sancțiunilor reprezintă o infracțiune la nivelul UE și are un impact grav asupra intereselor financiare ale UE; solicită extinderea și aplicarea restricțiilor privind vânzările de nave și interzicerea </w:t>
      </w:r>
      <w:r w:rsidRPr="006608E5">
        <w:rPr>
          <w:rStyle w:val="Aucun"/>
          <w:color w:val="000000"/>
        </w:rPr>
        <w:t>vânzărilor de petroliere către țări care facilitează comerțul cu Rusia;</w:t>
      </w:r>
    </w:p>
    <w:p w:rsidR="00872BA6" w:rsidRPr="006608E5" w:rsidRDefault="00872BA6" w:rsidP="00872BA6">
      <w:pPr>
        <w:pStyle w:val="NormalHanging12a"/>
        <w:rPr>
          <w:bCs/>
        </w:rPr>
      </w:pPr>
      <w:r w:rsidRPr="006608E5">
        <w:t>7.</w:t>
      </w:r>
      <w:r w:rsidRPr="006608E5">
        <w:tab/>
        <w:t xml:space="preserve">cere măsuri consolidate la nivelul UE pentru a asigura o aplicare mai strictă și extinderea sancțiunilor, inclusiv inspectarea imediată a navelor care operează în apele </w:t>
      </w:r>
      <w:r w:rsidRPr="006608E5">
        <w:lastRenderedPageBreak/>
        <w:t>UE, pentru a verifica acoperirea asigurării și respectarea cerințelor OMI; invită statele membre să își evalueze și să își consolideze capacitățile administrative pentru a asigura aplicarea rapidă și executarea strictă a sancțiunilor UE;</w:t>
      </w:r>
    </w:p>
    <w:p w:rsidR="00872BA6" w:rsidRPr="006608E5" w:rsidRDefault="00872BA6" w:rsidP="00872BA6">
      <w:pPr>
        <w:pStyle w:val="NormalHanging12a"/>
      </w:pPr>
      <w:r w:rsidRPr="006608E5">
        <w:t>8.</w:t>
      </w:r>
      <w:r w:rsidRPr="006608E5">
        <w:tab/>
        <w:t>invită Comisia să ia măsuri, în cadrul cooperării UE cu OMI, pentru a preveni și a limita activitățile „flotei fantomă”; solicită să se pună în aplicare cu strictețe Rezoluția A.1192(33) a Adunării Generale a OMI, care a fost adoptată în decembrie 2023 pentru a combate operațiunile maritime ilegale, în special obligația navelor de a raporta statelor lor de pavilion toate transferurile de la navă la navă, și să se intensifice, în porturi, inspecțiile navelor suspecte; cere UE și statelor sale membre să restricționeze accesul navelor „flotei fantomă” rusești la apele UE; subliniază că Agenția Europeană pentru Siguranță Maritimă trebuie să fie utilizată la întregul său potențial pentru a sprijini statele membre în identificarea navelor care fac obiectul sancțiunilor și în monitorizarea circulației navelor suspecte; cere, în special, ca UE să întocmească o listă cuprinzătoare a navelor care aparțin „flotei fantomă” rusești, să efectueze inspecții specifice, inclusiv pe mare, și să impună sancțiuni care să conducă, de asemenea, la blocarea permanentă sau temporară a navelor din motive administrative;</w:t>
      </w:r>
    </w:p>
    <w:p w:rsidR="00872BA6" w:rsidRPr="006608E5" w:rsidRDefault="00872BA6" w:rsidP="00872BA6">
      <w:pPr>
        <w:pStyle w:val="NormalHanging12a"/>
      </w:pPr>
      <w:r w:rsidRPr="006608E5">
        <w:t>9.</w:t>
      </w:r>
      <w:r w:rsidRPr="006608E5">
        <w:tab/>
        <w:t>invită UE și statele membre să monitorizeze îndeaproape punerea în aplicare a Directivei 2009/20/CE privind asigurarea proprietarilor navelor în ceea ce privește creanțele maritime, cu scopul de a împiedica navele neasigurate să tranziteze apele UE; reliefează necesitatea unor mecanisme consolidate de punere în aplicare, de exemplu să se permită statelor membre ale UE să împiedice navele neasigurate sau neconforme să acosteze în porturile UE sau să utilizeze apele UE pentru realimentare sau pentru alte servicii, precum și să se intensifice monitorizarea acestor nave; invită statele membre să ia măsuri pentru a se asigura că navele neconforme nu sunt puse la dispoziție pe piață;</w:t>
      </w:r>
    </w:p>
    <w:p w:rsidR="00872BA6" w:rsidRPr="006608E5" w:rsidRDefault="00872BA6" w:rsidP="00872BA6">
      <w:pPr>
        <w:pStyle w:val="NormalHanging12a"/>
      </w:pPr>
      <w:r w:rsidRPr="006608E5">
        <w:t>10.</w:t>
      </w:r>
      <w:r w:rsidRPr="006608E5">
        <w:tab/>
        <w:t>încurajează statele membre să coopereze îndeaproape cu Regatul Unit în ceea ce privește măsurile de restricționare a utilizării Canalului Mânecii de către navele „flotei fantomă” rusești; solicită țărilor cu strâmtori internaționale să ceară navelor să facă dovada asigurării de protecție și pentru daune, precum și a respectării standardelor minime de siguranță; invită toate statele membre să ceară tuturor navelor care trec prin apele lor să prezinte dovada asigurării împotriva deversărilor de petrol, pentru a asigura transparența în privința contractelor de asigurare;</w:t>
      </w:r>
    </w:p>
    <w:p w:rsidR="00872BA6" w:rsidRPr="006608E5" w:rsidRDefault="00872BA6" w:rsidP="00872BA6">
      <w:pPr>
        <w:pStyle w:val="NormalHanging12a"/>
      </w:pPr>
      <w:r w:rsidRPr="006608E5">
        <w:t>11.</w:t>
      </w:r>
      <w:r w:rsidRPr="006608E5">
        <w:tab/>
        <w:t>încurajează UE și statele sale membre să consolideze capacitățile de supraveghere, în special monitorizarea cu ajutorul dronelor și al sateliților, inclusiv prin utilizarea imaginilor de la sateliții Sentinel, pentru a identifica navele „flotei fantomă” în apele UE și pentru a monitoriza activitățile, cum ar fi transferurile de la o navă la alta, care încalcă directivele UE și Convenția MARPOL, și să investigheze prompt cazurile când apar riscuri pentru zonele de coastă și ecosistemele marine;</w:t>
      </w:r>
    </w:p>
    <w:p w:rsidR="00872BA6" w:rsidRPr="006608E5" w:rsidRDefault="00872BA6" w:rsidP="00872BA6">
      <w:pPr>
        <w:pStyle w:val="NormalHanging12a"/>
        <w:rPr>
          <w:bCs/>
        </w:rPr>
      </w:pPr>
      <w:r w:rsidRPr="006608E5">
        <w:t>12.</w:t>
      </w:r>
      <w:r w:rsidRPr="006608E5">
        <w:tab/>
        <w:t>cere interzicerea transferurilor de la o navă la alta de țiței și produse petroliere rusești în apele UE; solicită utilizarea resurselor necesare pentru identificarea și împiedicarea acestor operațiuni de transfer, inclusiv prin interzicerea ancorării și alimentării tuturor acestor nave în apele UE;</w:t>
      </w:r>
    </w:p>
    <w:p w:rsidR="00872BA6" w:rsidRPr="006608E5" w:rsidRDefault="00872BA6" w:rsidP="00872BA6">
      <w:pPr>
        <w:pStyle w:val="NormalHanging12a"/>
      </w:pPr>
      <w:r w:rsidRPr="006608E5">
        <w:t>13.</w:t>
      </w:r>
      <w:r w:rsidRPr="006608E5">
        <w:tab/>
        <w:t xml:space="preserve">invită statele membre să aplice măsuri stricte de reglementare în porturile și în apele lor teritoriale; îndeamnă statele membre ca, în cazul petrolierelor care ar putea transporta petrol rusesc, să își exercite pe deplin dreptul ca navele să fie conduse de un pilot la bord din partea autorității naționale competente, pentru a verifica originea încărcăturii, </w:t>
      </w:r>
      <w:r w:rsidRPr="006608E5">
        <w:lastRenderedPageBreak/>
        <w:t>proprietarul efectiv al navei, documentele de asigurare și respectarea standardelor de siguranță, și să se asigure că navele suspectate de eludarea sancțiunilor și de nerespectarea normelor de mediu sunt semnalate pentru a fi anchetate;</w:t>
      </w:r>
    </w:p>
    <w:p w:rsidR="00872BA6" w:rsidRPr="006608E5" w:rsidRDefault="00872BA6" w:rsidP="00872BA6">
      <w:pPr>
        <w:pStyle w:val="NormalHanging12a"/>
        <w:rPr>
          <w:rStyle w:val="s2"/>
          <w:color w:val="000000"/>
        </w:rPr>
      </w:pPr>
      <w:r w:rsidRPr="006608E5">
        <w:rPr>
          <w:rStyle w:val="s2"/>
          <w:color w:val="000000"/>
        </w:rPr>
        <w:t>14.</w:t>
      </w:r>
      <w:r w:rsidRPr="006608E5">
        <w:rPr>
          <w:rStyle w:val="s2"/>
          <w:color w:val="000000"/>
        </w:rPr>
        <w:tab/>
      </w:r>
      <w:r w:rsidRPr="006608E5">
        <w:t xml:space="preserve">invită </w:t>
      </w:r>
      <w:r w:rsidRPr="006608E5">
        <w:rPr>
          <w:rStyle w:val="s2"/>
          <w:color w:val="000000"/>
        </w:rPr>
        <w:t>statele membre să desemneze porturi capabile să gestioneze nave sancționate care transportă țiței și GNL și să confiște mărfurile ilegale fără a acorda compensații;</w:t>
      </w:r>
    </w:p>
    <w:p w:rsidR="00872BA6" w:rsidRPr="006608E5" w:rsidRDefault="00872BA6" w:rsidP="00872BA6">
      <w:pPr>
        <w:pStyle w:val="NormalHanging12a"/>
      </w:pPr>
      <w:r w:rsidRPr="006608E5">
        <w:t>15.</w:t>
      </w:r>
      <w:r w:rsidRPr="006608E5">
        <w:tab/>
        <w:t>evidențiază că impactul sancțiunilor existente și al sprijinului financiar și militar acordat Ucrainei va continua să fie subminat atât timp cât UE continuă să importe combustibili fosili rusești; invită, prin urmare, UE și statele sale membre să interzică toate importurile de combustibili fosili rusești, inclusiv GNL; solicită UE să impună cerința ca navele care exportă GNL rusesc să fie incluse pe lista de sancțiuni a UE, refuzându-le accesul la porturile și serviciile maritime ale UE; invită UE și statele sale membre să interzică importul de produse nucleare rusești și îndeamnă statele membre să nu încheie noi acorduri cu Rosatom sau cu conducerea și filialele sale;</w:t>
      </w:r>
    </w:p>
    <w:p w:rsidR="00872BA6" w:rsidRPr="006608E5" w:rsidRDefault="00872BA6" w:rsidP="00872BA6">
      <w:pPr>
        <w:pStyle w:val="NormalHanging12a"/>
      </w:pPr>
      <w:r w:rsidRPr="006608E5">
        <w:t>16.</w:t>
      </w:r>
      <w:r w:rsidRPr="006608E5">
        <w:tab/>
        <w:t>invită țările G7 să aplice mai eficient plafonul de preț impus petrolului rus transportat pe cale maritimă, să reducă substanțial plafonul prețului petrolului și să ia măsuri ferme de eliminare a breșelor utilizate de Rusia pentru a își reeticheta și vinde petrolul și produsele petroliere la prețurile pieței; invită UE, statele sale membre și partenerii acesteia din cadrul G7 să își intensifice cooperarea cu partenerii comerciali pentru a identifica într-un mod mai rapid și mai eficace cumpărătorii de petrol rusesc și pentru a înceta achiziționarea de produse petroliere de la aceștia; solicită ca aceste instalații identificate să fie incluse pe lista de sancțiuni specifice și să se interzică complet produsele petroliere rafinate rusești reexportate; solicită să se verifice în mod armonizat originea importurilor de combustibili fosili, de GNL și de combustibili fosili rafinați pentru a împiedica reexportarea energiei provenite din Rusia către UE; invită statele membre să investigheze temeinic respectarea de către firme a restricțiilor vizând exportul de bunuri aflate pe listă și să impună sancțiuni disuasive;</w:t>
      </w:r>
    </w:p>
    <w:p w:rsidR="00872BA6" w:rsidRPr="006608E5" w:rsidRDefault="00872BA6" w:rsidP="00872BA6">
      <w:pPr>
        <w:pStyle w:val="NormalHanging12a"/>
      </w:pPr>
      <w:r w:rsidRPr="006608E5">
        <w:t>17.</w:t>
      </w:r>
      <w:r w:rsidRPr="006608E5">
        <w:tab/>
        <w:t>recomandă cu fermitate ca UE și partenerii săi din cadrul G7 să extindă semnificativ listele lor de sancțiuni pentru a include și alte nave care eludează plafoanele lor tarifare și operează fără a respecta standardele internaționale;</w:t>
      </w:r>
      <w:r w:rsidRPr="006608E5">
        <w:rPr>
          <w:rStyle w:val="Aucun"/>
          <w:color w:val="000000"/>
        </w:rPr>
        <w:t xml:space="preserve"> solicită UE și țărilor partenere</w:t>
      </w:r>
      <w:r w:rsidRPr="006608E5">
        <w:t xml:space="preserve"> să verifice în mod riguros caracterul adecvat al asigurării care acoperă deversările de petrol atunci când pun în aplicare cadrul de sancțiuni, de exemplu atunci când realizează sau reînnoiesc înmatriculările; solicită cerințe sporite în materie de diligență pentru obținerea de asigurări pentru nave, cum ar fi dovada că contractele de vânzare respectă plafonul prețului sau extrase de cont fiabile și verificate etc.;</w:t>
      </w:r>
    </w:p>
    <w:p w:rsidR="00872BA6" w:rsidRPr="006608E5" w:rsidRDefault="00872BA6" w:rsidP="00872BA6">
      <w:pPr>
        <w:pStyle w:val="NormalHanging12a"/>
      </w:pPr>
      <w:r w:rsidRPr="006608E5">
        <w:t>18.</w:t>
      </w:r>
      <w:r w:rsidRPr="006608E5">
        <w:tab/>
        <w:t>invită Comisia și statele membre să asigure un nivel suficient de pregătire în caz de catastrofe ecologice, în special în cazul unor deversări mari de petrol, și să se asigure că autoritățile statelor membre cooperează îndeaproape, atât între ele, cât și cu Agenția Europeană pentru Siguranță Maritimă, pentru a face față catastrofelor transfrontaliere de mare amploare cauzate de poluare, inclusiv prin continuarea coordonării inventarelor de echipamente necesare pentru operațiunile de curățare; subliniază că incidentele de această natură vor duce la degradarea gravă pe termen lung a mediului, care ar putea afecta semnificativ, la rândul său, industria turismului, a pescuitului și cea marină din statele membre ce se învecinează cu mările afectate; invită Comisia să furnizeze fonduri suplimentare pentru a asigura suficiente nave de intervenție în caz de deversare de petrol pentru Agenția Europeană pentru Siguranță Maritimă;</w:t>
      </w:r>
    </w:p>
    <w:p w:rsidR="00872BA6" w:rsidRPr="006608E5" w:rsidRDefault="00872BA6" w:rsidP="00872BA6">
      <w:pPr>
        <w:pStyle w:val="NormalHanging12a"/>
      </w:pPr>
      <w:r w:rsidRPr="006608E5">
        <w:lastRenderedPageBreak/>
        <w:t>19.</w:t>
      </w:r>
      <w:r w:rsidRPr="006608E5">
        <w:tab/>
        <w:t>invită Comisia să asigure punerea în aplicare eficace și respectarea Directivei 2009/123/CE a Parlamentului European și a Consiliului de modificare a Directivei 2005/35/CE privind poluarea cauzată de nave și introducerea unor sancțiuni în caz de încălcare</w:t>
      </w:r>
      <w:r w:rsidRPr="006608E5">
        <w:rPr>
          <w:rStyle w:val="FootnoteReference"/>
        </w:rPr>
        <w:footnoteReference w:id="2"/>
      </w:r>
      <w:r w:rsidRPr="006608E5">
        <w:t>; invită statele membre să transpună și să pună în aplicare cu promptitudine Directiva (UE) 2024/1226 privind definirea infracțiunilor și a sancțiunilor pentru încălcarea măsurilor restrictive ale Uniunii</w:t>
      </w:r>
      <w:r w:rsidRPr="006608E5">
        <w:rPr>
          <w:rStyle w:val="FootnoteReference"/>
        </w:rPr>
        <w:footnoteReference w:id="3"/>
      </w:r>
      <w:r w:rsidRPr="006608E5">
        <w:t xml:space="preserve"> și să asigure resurse financiare, tehnice și umane adecvate pentru respectarea corespunzătoare a măsurilor restrictive ale UE;</w:t>
      </w:r>
    </w:p>
    <w:p w:rsidR="00872BA6" w:rsidRPr="006608E5" w:rsidRDefault="00872BA6" w:rsidP="00872BA6">
      <w:pPr>
        <w:pStyle w:val="NormalHanging12a"/>
      </w:pPr>
      <w:r w:rsidRPr="006608E5">
        <w:t>20.</w:t>
      </w:r>
      <w:r w:rsidRPr="006608E5">
        <w:tab/>
        <w:t>încurajează statele membre și Comisia să colaboreze cu partenerii internaționali și părțile interesate, inclusiv din sectoarele transportului maritim, energiei, asigurărilor și financiar, cu scopul de a identifica cele mai bune practici de detectare și abordare a eludării sancțiunilor și de atenuare a impactului asupra mediului în apele UE;</w:t>
      </w:r>
    </w:p>
    <w:p w:rsidR="00872BA6" w:rsidRPr="006608E5" w:rsidRDefault="00872BA6" w:rsidP="00872BA6">
      <w:pPr>
        <w:pStyle w:val="NormalHanging12a"/>
      </w:pPr>
      <w:r w:rsidRPr="006608E5">
        <w:t>21.</w:t>
      </w:r>
      <w:r w:rsidRPr="006608E5">
        <w:tab/>
        <w:t>invită Comisia să elaboreze orientări mai clare și standarde mai solide privind diligența necesară pentru companiile și instituțiile financiare din UE, cu scopul de a evita interacțiunile neintenționate cu entitățile care au legături cu „flotele fantomă”;</w:t>
      </w:r>
    </w:p>
    <w:p w:rsidR="00872BA6" w:rsidRPr="006608E5" w:rsidRDefault="00872BA6" w:rsidP="00872BA6">
      <w:pPr>
        <w:pStyle w:val="NormalHanging12a"/>
      </w:pPr>
      <w:r w:rsidRPr="006608E5">
        <w:t>22.</w:t>
      </w:r>
      <w:r w:rsidRPr="006608E5">
        <w:tab/>
        <w:t>solicită susținerea activității trimisului UE pentru sancțiuni împotriva eludării, cu scopul de a împiedica reexportul sistematic către Rusia al bunurilor UE supuse sancțiunilor, care subminează grav eficacitatea sancțiunilor UE și obstrucționează eforturile internaționale de a pune capăt războiului; solicită, în acest sens, tuturor țărilor candidate și potențial candidate la aderarea la UE să se alinieze cu strictețe la sancțiunile Uniunii, ca reacție la războiul de agresiune al Rusiei împotriva Ucrainei, demonstrând disponibilitatea lor de a-și asuma obligațiile pe care le presupune aderarea la UE; solicită din nou Consiliului să extindă competențele Parchetului European pentru a combate infracțiunea de încălcare a măsurilor restrictive ale UE; invită UE și statele sale membre să întărească și să centralizeze, la nivelul UE, supravegherea aplicării sancțiunilor și să dezvolte un mecanism de prevenire și monitorizare a eludării sancțiunilor;</w:t>
      </w:r>
    </w:p>
    <w:p w:rsidR="00872BA6" w:rsidRPr="006608E5" w:rsidRDefault="00872BA6" w:rsidP="00872BA6">
      <w:pPr>
        <w:pStyle w:val="NormalHanging12a"/>
      </w:pPr>
      <w:r w:rsidRPr="006608E5">
        <w:t>23.</w:t>
      </w:r>
      <w:r w:rsidRPr="006608E5">
        <w:tab/>
        <w:t>încurajează standardele globale de transparență în raport cu înmatricularea navelor ca să se apeleze mai puțin la companii de tip „cutie poștală” și la pavilioane de complezență, pentru a mări transparența în ce privește proprietarii navelor;</w:t>
      </w:r>
    </w:p>
    <w:p w:rsidR="00872BA6" w:rsidRPr="006608E5" w:rsidRDefault="00872BA6" w:rsidP="00872BA6">
      <w:pPr>
        <w:pStyle w:val="NormalHanging12a"/>
      </w:pPr>
      <w:r w:rsidRPr="006608E5">
        <w:t>24.</w:t>
      </w:r>
      <w:r w:rsidRPr="006608E5">
        <w:tab/>
        <w:t>invită Comisia să ia în considerare adoptarea unor instrumente de politică comercială similare celor utilizate de Statele Unite, concentrându-se asupra actorilor care obțin avantaje comerciale ca urmare a regimurilor de sancțiuni și care, în consecință, pot opera în mod neloial pe piața UE;</w:t>
      </w:r>
    </w:p>
    <w:p w:rsidR="00872BA6" w:rsidRPr="006608E5" w:rsidRDefault="00872BA6" w:rsidP="00872BA6">
      <w:pPr>
        <w:pStyle w:val="NormalHanging12a"/>
      </w:pPr>
      <w:r w:rsidRPr="006608E5">
        <w:t>25.</w:t>
      </w:r>
      <w:r w:rsidRPr="006608E5">
        <w:tab/>
        <w:t xml:space="preserve">își exprimă îngrijorarea cu privire la excedentul raportat al producției rusești de petrol, care depășește considerabil cota Rusiei stabilită de Organizația Țărilor Exportatoare de Petrol Plus (OPEC+), permițând în continuare eludarea plafonului de preț stabilit și </w:t>
      </w:r>
      <w:r w:rsidRPr="006608E5">
        <w:lastRenderedPageBreak/>
        <w:t>generarea de către Rusia de venituri suplimentare; invită UE și statele sale membre să monitorizeze îndeaproape situația și să ia măsuri adecvate în cooperare cu partenerii internaționali ai UE;</w:t>
      </w:r>
    </w:p>
    <w:p w:rsidR="00EA2867" w:rsidRPr="006608E5" w:rsidRDefault="00872BA6" w:rsidP="00EA2867">
      <w:pPr>
        <w:pStyle w:val="NormalHanging12a"/>
      </w:pPr>
      <w:r w:rsidRPr="006608E5">
        <w:t>26.</w:t>
      </w:r>
      <w:r w:rsidRPr="006608E5">
        <w:tab/>
        <w:t>încredințează Președintei sarcina de a transmite prezenta rezoluție Consiliului, Comisiei, Vicepreședintelui Comisiei/Înaltului Reprezentant al Uniunii pentru afaceri externe și politica de securitate, Președintelui, Guvernului și Radei Supreme a Ucrainei, Consiliului Europei, Organizației pentru Securitate și Cooperare în Europa, Organizației Maritime Internaționale și autorităților ruse.</w:t>
      </w:r>
    </w:p>
    <w:p w:rsidR="00E365E1" w:rsidRPr="006608E5" w:rsidRDefault="00E365E1" w:rsidP="005C493D"/>
    <w:sectPr w:rsidR="00E365E1" w:rsidRPr="006608E5" w:rsidSect="00EA28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93D" w:rsidRPr="00EA2867" w:rsidRDefault="005C493D">
      <w:r w:rsidRPr="00EA2867">
        <w:separator/>
      </w:r>
    </w:p>
  </w:endnote>
  <w:endnote w:type="continuationSeparator" w:id="0">
    <w:p w:rsidR="005C493D" w:rsidRPr="00EA2867" w:rsidRDefault="005C493D">
      <w:r w:rsidRPr="00EA28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93D" w:rsidRPr="00EA2867" w:rsidRDefault="005C493D">
      <w:r w:rsidRPr="00EA2867">
        <w:separator/>
      </w:r>
    </w:p>
  </w:footnote>
  <w:footnote w:type="continuationSeparator" w:id="0">
    <w:p w:rsidR="005C493D" w:rsidRPr="00EA2867" w:rsidRDefault="005C493D">
      <w:r w:rsidRPr="00EA2867">
        <w:continuationSeparator/>
      </w:r>
    </w:p>
  </w:footnote>
  <w:footnote w:id="1">
    <w:p w:rsidR="00872BA6" w:rsidRPr="00EA2867" w:rsidRDefault="00872BA6" w:rsidP="00EA2867">
      <w:pPr>
        <w:pStyle w:val="FootnoteText"/>
        <w:ind w:left="567" w:hanging="567"/>
        <w:rPr>
          <w:sz w:val="24"/>
          <w:lang w:val="ro-RO"/>
        </w:rPr>
      </w:pPr>
      <w:r w:rsidRPr="00EA2867">
        <w:rPr>
          <w:rStyle w:val="FootnoteReference"/>
          <w:sz w:val="24"/>
          <w:lang w:val="ro-RO"/>
        </w:rPr>
        <w:footnoteRef/>
      </w:r>
      <w:r w:rsidR="00EA2867" w:rsidRPr="00EA2867">
        <w:rPr>
          <w:sz w:val="24"/>
          <w:lang w:val="ro-RO"/>
        </w:rPr>
        <w:t xml:space="preserve"> </w:t>
      </w:r>
      <w:r w:rsidR="00EA2867" w:rsidRPr="00EA2867">
        <w:rPr>
          <w:sz w:val="24"/>
          <w:lang w:val="ro-RO"/>
        </w:rPr>
        <w:tab/>
      </w:r>
      <w:r w:rsidRPr="00EA2867">
        <w:rPr>
          <w:sz w:val="24"/>
          <w:lang w:val="ro-RO"/>
        </w:rPr>
        <w:t xml:space="preserve">Directiva 2009/20/CE a Parlamentului European și a Consiliului din 23 aprilie 2009 privind asigurarea proprietarilor navelor în ceea ce privește creanțele maritime, JO L 131, 28.5.2009, p. 128, ELI: </w:t>
      </w:r>
      <w:hyperlink r:id="rId1" w:history="1">
        <w:r w:rsidRPr="00EA2867">
          <w:rPr>
            <w:rStyle w:val="Hyperlink"/>
            <w:sz w:val="24"/>
            <w:lang w:val="ro-RO"/>
          </w:rPr>
          <w:t>http://data.europa.eu/eli/dir/2009/20/oj</w:t>
        </w:r>
      </w:hyperlink>
      <w:r w:rsidRPr="00EA2867">
        <w:rPr>
          <w:sz w:val="24"/>
          <w:lang w:val="ro-RO"/>
        </w:rPr>
        <w:t>.</w:t>
      </w:r>
    </w:p>
  </w:footnote>
  <w:footnote w:id="2">
    <w:p w:rsidR="00872BA6" w:rsidRPr="00EA2867" w:rsidRDefault="00872BA6" w:rsidP="00EA2867">
      <w:pPr>
        <w:pStyle w:val="FootnoteText"/>
        <w:ind w:left="567" w:hanging="567"/>
        <w:rPr>
          <w:sz w:val="24"/>
          <w:lang w:val="ro-RO"/>
        </w:rPr>
      </w:pPr>
      <w:r w:rsidRPr="00EA2867">
        <w:rPr>
          <w:rStyle w:val="FootnoteReference"/>
          <w:sz w:val="24"/>
          <w:lang w:val="ro-RO"/>
        </w:rPr>
        <w:footnoteRef/>
      </w:r>
      <w:r w:rsidR="00EA2867" w:rsidRPr="00EA2867">
        <w:rPr>
          <w:sz w:val="24"/>
          <w:lang w:val="ro-RO"/>
        </w:rPr>
        <w:t xml:space="preserve"> </w:t>
      </w:r>
      <w:r w:rsidR="00EA2867" w:rsidRPr="00EA2867">
        <w:rPr>
          <w:sz w:val="24"/>
          <w:lang w:val="ro-RO"/>
        </w:rPr>
        <w:tab/>
      </w:r>
      <w:r w:rsidRPr="00EA2867">
        <w:rPr>
          <w:sz w:val="24"/>
          <w:lang w:val="ro-RO"/>
        </w:rPr>
        <w:t xml:space="preserve">Directiva 2009/123/CE a Parlamentului European și a Consiliului din 21 octombrie 2009 de modificare a Directivei 2005/35/CE privind poluarea cauzată de nave și introducerea unor sancțiuni în caz de încălcare, JO L 280, 27.10.2009, p. 52. ELI: </w:t>
      </w:r>
      <w:hyperlink r:id="rId2" w:history="1">
        <w:r w:rsidRPr="00EA2867">
          <w:rPr>
            <w:rStyle w:val="Hyperlink"/>
            <w:sz w:val="24"/>
            <w:lang w:val="ro-RO"/>
          </w:rPr>
          <w:t>http://data.europa.eu/eli/dir/2009/123/oj</w:t>
        </w:r>
      </w:hyperlink>
      <w:r w:rsidRPr="00EA2867">
        <w:rPr>
          <w:sz w:val="24"/>
          <w:lang w:val="ro-RO"/>
        </w:rPr>
        <w:t>.</w:t>
      </w:r>
    </w:p>
  </w:footnote>
  <w:footnote w:id="3">
    <w:p w:rsidR="00872BA6" w:rsidRPr="00EA2867" w:rsidRDefault="00872BA6" w:rsidP="00EA2867">
      <w:pPr>
        <w:pStyle w:val="FootnoteText"/>
        <w:ind w:left="567" w:hanging="567"/>
        <w:rPr>
          <w:sz w:val="24"/>
          <w:lang w:val="ro-RO"/>
        </w:rPr>
      </w:pPr>
      <w:r w:rsidRPr="00EA2867">
        <w:rPr>
          <w:rStyle w:val="FootnoteReference"/>
          <w:sz w:val="24"/>
          <w:lang w:val="ro-RO"/>
        </w:rPr>
        <w:footnoteRef/>
      </w:r>
      <w:r w:rsidR="00EA2867" w:rsidRPr="00EA2867">
        <w:rPr>
          <w:sz w:val="24"/>
          <w:lang w:val="ro-RO"/>
        </w:rPr>
        <w:t xml:space="preserve"> </w:t>
      </w:r>
      <w:r w:rsidR="00EA2867" w:rsidRPr="00EA2867">
        <w:rPr>
          <w:sz w:val="24"/>
          <w:lang w:val="ro-RO"/>
        </w:rPr>
        <w:tab/>
      </w:r>
      <w:r w:rsidRPr="00EA2867">
        <w:rPr>
          <w:sz w:val="24"/>
          <w:lang w:val="ro-RO"/>
        </w:rPr>
        <w:t xml:space="preserve">Directiva (UE) 2024/1226 a Parlamentului European și a Consiliului din 24 aprilie 2024 privind definirea infracțiunilor și a sancțiunilor pentru încălcarea măsurilor restrictive ale Uniunii și de modificare a Directivei (UE) 2018/1673, JO L, 2024/1226, 29.4.2024, ELI: </w:t>
      </w:r>
      <w:hyperlink r:id="rId3" w:history="1">
        <w:r w:rsidRPr="00EA2867">
          <w:rPr>
            <w:rStyle w:val="Hyperlink"/>
            <w:sz w:val="24"/>
            <w:lang w:val="ro-RO"/>
          </w:rPr>
          <w:t>http://data.europa.eu/eli/dir/2024/1226/oj</w:t>
        </w:r>
      </w:hyperlink>
      <w:r w:rsidRPr="00EA2867">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8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RO"/>
    <w:docVar w:name="dvnumam" w:val="0"/>
    <w:docVar w:name="dvpe" w:val="764.162"/>
    <w:docVar w:name="dvtitre" w:val="Rezoluția Parlamentului European din 14 noiembrie 2024 referitoare la acțiunile UE împotriva flotelor rusești „fantomă” și asigurarea aplicării integrale a sancțiunilor împotriva Rusiei(2024/2885(RSP))"/>
  </w:docVars>
  <w:rsids>
    <w:rsidRoot w:val="005C49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A0E"/>
    <w:rsid w:val="0050519A"/>
    <w:rsid w:val="005072A1"/>
    <w:rsid w:val="00514517"/>
    <w:rsid w:val="00545827"/>
    <w:rsid w:val="00560270"/>
    <w:rsid w:val="005C2568"/>
    <w:rsid w:val="005C493D"/>
    <w:rsid w:val="005F1B17"/>
    <w:rsid w:val="006037C0"/>
    <w:rsid w:val="006608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BA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EEF"/>
    <w:rsid w:val="00EA286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9FC5B-2EC6-45F0-A231-86CF0F4A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2BA6"/>
    <w:pPr>
      <w:spacing w:after="240"/>
      <w:ind w:left="567" w:hanging="567"/>
    </w:pPr>
  </w:style>
  <w:style w:type="paragraph" w:customStyle="1" w:styleId="EPComma">
    <w:name w:val="EPComma"/>
    <w:basedOn w:val="Normal"/>
    <w:link w:val="EPCommaChar"/>
    <w:rsid w:val="00872BA6"/>
    <w:pPr>
      <w:spacing w:before="480" w:after="240"/>
    </w:pPr>
  </w:style>
  <w:style w:type="character" w:customStyle="1" w:styleId="EPCommaChar">
    <w:name w:val="EPComma Char"/>
    <w:basedOn w:val="DefaultParagraphFont"/>
    <w:link w:val="EPComma"/>
    <w:rsid w:val="00872BA6"/>
    <w:rPr>
      <w:sz w:val="24"/>
      <w:lang w:val="ro-RO"/>
    </w:rPr>
  </w:style>
  <w:style w:type="character" w:customStyle="1" w:styleId="Aucun">
    <w:name w:val="Aucun"/>
    <w:rsid w:val="00872BA6"/>
  </w:style>
  <w:style w:type="character" w:customStyle="1" w:styleId="NormalHanging12aChar">
    <w:name w:val="NormalHanging12a Char"/>
    <w:basedOn w:val="DefaultParagraphFont"/>
    <w:link w:val="NormalHanging12a"/>
    <w:rsid w:val="00872BA6"/>
    <w:rPr>
      <w:sz w:val="24"/>
      <w:lang w:val="ro-RO"/>
    </w:rPr>
  </w:style>
  <w:style w:type="character" w:customStyle="1" w:styleId="s2">
    <w:name w:val="s2"/>
    <w:basedOn w:val="DefaultParagraphFont"/>
    <w:rsid w:val="00872BA6"/>
  </w:style>
  <w:style w:type="character" w:styleId="Hyperlink">
    <w:name w:val="Hyperlink"/>
    <w:basedOn w:val="DefaultParagraphFont"/>
    <w:rsid w:val="00872B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151A3-F415-43B2-9A8E-E0D73CE2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4062</Words>
  <Characters>24009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RELEC_DUMITRESCU Mihai</cp:lastModifiedBy>
  <cp:revision>2</cp:revision>
  <cp:lastPrinted>2004-11-19T15:42:00Z</cp:lastPrinted>
  <dcterms:created xsi:type="dcterms:W3CDTF">2024-11-14T15:31:00Z</dcterms:created>
  <dcterms:modified xsi:type="dcterms:W3CDTF">2024-11-14T15:31:00Z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B10-0161/2024</vt:lpwstr>
  </property>
  <property fmtid="{D5CDD505-2E9C-101B-9397-08002B2CF9AE}" pid="4" name="&lt;Type&gt;">
    <vt:lpwstr>RR</vt:lpwstr>
  </property>
</Properties>
</file>