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A467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A467B" w:rsidRDefault="00694434" w:rsidP="0010095E">
            <w:pPr>
              <w:pStyle w:val="EPName"/>
            </w:pPr>
            <w:bookmarkStart w:id="0" w:name="_GoBack"/>
            <w:bookmarkEnd w:id="0"/>
            <w:r w:rsidRPr="006A467B">
              <w:t>Európsky parlament</w:t>
            </w:r>
          </w:p>
          <w:p w:rsidR="00751A4A" w:rsidRPr="006A467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A467B">
              <w:t>2024</w:t>
            </w:r>
            <w:r w:rsidR="00817416" w:rsidRPr="006A467B">
              <w:t>-202</w:t>
            </w:r>
            <w:r w:rsidRPr="006A467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A467B" w:rsidRDefault="00187494" w:rsidP="0010095E">
            <w:pPr>
              <w:pStyle w:val="EPLogo"/>
            </w:pPr>
            <w:r w:rsidRPr="006A467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A467B" w:rsidRDefault="00D058B8" w:rsidP="004C5D52">
      <w:pPr>
        <w:pStyle w:val="LineTop"/>
      </w:pPr>
    </w:p>
    <w:p w:rsidR="00680577" w:rsidRPr="006A467B" w:rsidRDefault="00694434" w:rsidP="00680577">
      <w:pPr>
        <w:pStyle w:val="EPBodyTA1"/>
      </w:pPr>
      <w:r w:rsidRPr="006A467B">
        <w:t>PRIJATÉ TEXTY</w:t>
      </w:r>
    </w:p>
    <w:p w:rsidR="00D058B8" w:rsidRPr="006A467B" w:rsidRDefault="00D058B8" w:rsidP="00D058B8">
      <w:pPr>
        <w:pStyle w:val="LineBottom"/>
      </w:pPr>
    </w:p>
    <w:p w:rsidR="00694434" w:rsidRPr="006A467B" w:rsidRDefault="00694434" w:rsidP="00694434">
      <w:pPr>
        <w:pStyle w:val="ATHeading1"/>
      </w:pPr>
      <w:bookmarkStart w:id="1" w:name="TANumber"/>
      <w:r w:rsidRPr="006A467B">
        <w:t>P10_TA(2024)00</w:t>
      </w:r>
      <w:r w:rsidR="006A467B" w:rsidRPr="006A467B">
        <w:t>36</w:t>
      </w:r>
      <w:bookmarkEnd w:id="1"/>
    </w:p>
    <w:p w:rsidR="00694434" w:rsidRPr="006A467B" w:rsidRDefault="00694434" w:rsidP="00694434">
      <w:pPr>
        <w:pStyle w:val="ATHeading2"/>
      </w:pPr>
      <w:bookmarkStart w:id="2" w:name="title"/>
      <w:r w:rsidRPr="006A467B">
        <w:t>Opatrenia EÚ proti ruským tieňovým flotilám a zabezpečenie úplného vykonávania sankcií proti Rusku</w:t>
      </w:r>
      <w:bookmarkEnd w:id="2"/>
    </w:p>
    <w:p w:rsidR="00694434" w:rsidRPr="006A467B" w:rsidRDefault="00694434" w:rsidP="00694434">
      <w:pPr>
        <w:rPr>
          <w:i/>
          <w:vanish/>
        </w:rPr>
      </w:pPr>
      <w:r w:rsidRPr="006A467B">
        <w:rPr>
          <w:i/>
        </w:rPr>
        <w:fldChar w:fldCharType="begin"/>
      </w:r>
      <w:r w:rsidRPr="006A467B">
        <w:rPr>
          <w:i/>
        </w:rPr>
        <w:instrText xml:space="preserve"> TC"(</w:instrText>
      </w:r>
      <w:bookmarkStart w:id="3" w:name="DocNumber"/>
      <w:r w:rsidRPr="006A467B">
        <w:rPr>
          <w:i/>
        </w:rPr>
        <w:instrText>B10-0161, 0162, 0163, 0164 a 0166/2024</w:instrText>
      </w:r>
      <w:bookmarkEnd w:id="3"/>
      <w:r w:rsidRPr="006A467B">
        <w:rPr>
          <w:i/>
        </w:rPr>
        <w:instrText xml:space="preserve">)"\l3 \n&gt; \* MERGEFORMAT </w:instrText>
      </w:r>
      <w:r w:rsidRPr="006A467B">
        <w:rPr>
          <w:i/>
        </w:rPr>
        <w:fldChar w:fldCharType="end"/>
      </w:r>
    </w:p>
    <w:p w:rsidR="00694434" w:rsidRPr="006A467B" w:rsidRDefault="00694434" w:rsidP="00694434">
      <w:pPr>
        <w:rPr>
          <w:vanish/>
        </w:rPr>
      </w:pPr>
      <w:bookmarkStart w:id="4" w:name="PE"/>
      <w:r w:rsidRPr="006A467B">
        <w:rPr>
          <w:vanish/>
        </w:rPr>
        <w:t>PE764.162</w:t>
      </w:r>
      <w:bookmarkEnd w:id="4"/>
    </w:p>
    <w:p w:rsidR="00694434" w:rsidRPr="006A467B" w:rsidRDefault="00694434" w:rsidP="00694434">
      <w:pPr>
        <w:pStyle w:val="ATHeading3"/>
      </w:pPr>
      <w:bookmarkStart w:id="5" w:name="Sujet"/>
      <w:r w:rsidRPr="006A467B">
        <w:t>Uznesenie Európskeho parlamentu z</w:t>
      </w:r>
      <w:r w:rsidR="005F2478" w:rsidRPr="006A467B">
        <w:t>o</w:t>
      </w:r>
      <w:r w:rsidRPr="006A467B">
        <w:t xml:space="preserve"> </w:t>
      </w:r>
      <w:r w:rsidR="005F2478" w:rsidRPr="006A467B">
        <w:t>14</w:t>
      </w:r>
      <w:r w:rsidRPr="006A467B">
        <w:t>. novembra 2024 o opatreniach EÚ proti ruským tieňovým flotilám a zabezpečení úplného vykonávania sankcií proti Rusku</w:t>
      </w:r>
      <w:bookmarkEnd w:id="5"/>
      <w:r w:rsidRPr="006A467B">
        <w:t xml:space="preserve"> </w:t>
      </w:r>
      <w:bookmarkStart w:id="6" w:name="References"/>
      <w:r w:rsidRPr="006A467B">
        <w:t>(2024/2885(RSP))</w:t>
      </w:r>
      <w:bookmarkEnd w:id="6"/>
    </w:p>
    <w:p w:rsidR="00A147AC" w:rsidRPr="006A467B" w:rsidRDefault="00A147AC" w:rsidP="00A147AC">
      <w:pPr>
        <w:pStyle w:val="EPComma"/>
      </w:pPr>
      <w:bookmarkStart w:id="7" w:name="TextBodyBegin"/>
      <w:bookmarkEnd w:id="7"/>
      <w:r w:rsidRPr="006A467B">
        <w:rPr>
          <w:i/>
        </w:rPr>
        <w:t>Európsky parlament</w:t>
      </w:r>
      <w:r w:rsidRPr="006A467B">
        <w:t>,</w:t>
      </w:r>
    </w:p>
    <w:p w:rsidR="00A147AC" w:rsidRPr="006A467B" w:rsidRDefault="00A147AC" w:rsidP="00A147AC">
      <w:pPr>
        <w:pStyle w:val="NormalHanging12a"/>
      </w:pPr>
      <w:r w:rsidRPr="006A467B">
        <w:t>–</w:t>
      </w:r>
      <w:r w:rsidRPr="006A467B">
        <w:tab/>
        <w:t>so zreteľom na svoje predchádzajúce uznesenia o Rusku a Ukrajine, najmä od eskalácie útočnej vojny Ruska proti Ukrajine vo februári 2022,</w:t>
      </w:r>
    </w:p>
    <w:p w:rsidR="00A147AC" w:rsidRPr="006A467B" w:rsidRDefault="00A147AC" w:rsidP="00A147AC">
      <w:pPr>
        <w:pStyle w:val="NormalHanging12a"/>
      </w:pPr>
      <w:r w:rsidRPr="006A467B">
        <w:t>–</w:t>
      </w:r>
      <w:r w:rsidRPr="006A467B">
        <w:tab/>
        <w:t>so zreteľom na 14 po sebe nasledujúcich balíkov sankcií voči Rusku, ktoré EÚ prijala od februára 2022,</w:t>
      </w:r>
    </w:p>
    <w:p w:rsidR="00A147AC" w:rsidRPr="006A467B" w:rsidRDefault="00A147AC" w:rsidP="00A147AC">
      <w:pPr>
        <w:pStyle w:val="NormalHanging12a"/>
      </w:pPr>
      <w:r w:rsidRPr="006A467B">
        <w:t>–</w:t>
      </w:r>
      <w:r w:rsidRPr="006A467B">
        <w:tab/>
        <w:t>so zreteľom na Chartu Organizácie Spojených národov a Dohovor Organizácie Spojených národov o morskom práve,</w:t>
      </w:r>
    </w:p>
    <w:p w:rsidR="00A147AC" w:rsidRPr="006A467B" w:rsidRDefault="00A147AC" w:rsidP="00A147AC">
      <w:pPr>
        <w:pStyle w:val="NormalHanging12a"/>
      </w:pPr>
      <w:r w:rsidRPr="006A467B">
        <w:t>–</w:t>
      </w:r>
      <w:r w:rsidRPr="006A467B">
        <w:tab/>
        <w:t>so zreteľom na Medzinárodný dohovor o zabránení znečisťovaniu z lodí (dohovor MARPOL), Medzinárodný dohovor o normách výcviku, kvalifikácie a strážnej služby námorníkov, Medzinárodný dohovor o občianskoprávnej zodpovednosti za škody spôsobené znečistením ropou a iné príslušné dohovory Medzinárodnej námornej organizácie (IMO),</w:t>
      </w:r>
    </w:p>
    <w:p w:rsidR="00A147AC" w:rsidRPr="006A467B" w:rsidRDefault="00A147AC" w:rsidP="00A147AC">
      <w:pPr>
        <w:pStyle w:val="NormalHanging12a"/>
      </w:pPr>
      <w:r w:rsidRPr="006A467B">
        <w:t>–</w:t>
      </w:r>
      <w:r w:rsidRPr="006A467B">
        <w:tab/>
        <w:t>so zreteľom na rezolúciu valného zhromaždenia IMO A.1192(33) s názvom Požiadavka na členské štáty a všetky príslušné zainteresované strany, aby podporovali opatrenia na predchádzanie nezákonným operáciám v odvetví námornej dopravy vykonávaným „temnou“ alebo „tieňovou flotilou“, prijatú 6. decembra 2023,</w:t>
      </w:r>
    </w:p>
    <w:p w:rsidR="00A147AC" w:rsidRPr="006A467B" w:rsidRDefault="00A147AC" w:rsidP="00A147AC">
      <w:pPr>
        <w:pStyle w:val="NormalHanging12a"/>
      </w:pPr>
      <w:r w:rsidRPr="006A467B">
        <w:t>–</w:t>
      </w:r>
      <w:r w:rsidRPr="006A467B">
        <w:tab/>
        <w:t>so zreteľom na vyhlásenie lídrov skupiny G7 zo 6. decembra 2023,</w:t>
      </w:r>
    </w:p>
    <w:p w:rsidR="00A147AC" w:rsidRPr="006A467B" w:rsidRDefault="00A147AC" w:rsidP="00A147AC">
      <w:pPr>
        <w:pStyle w:val="NormalHanging12a"/>
      </w:pPr>
      <w:r w:rsidRPr="006A467B">
        <w:t>–</w:t>
      </w:r>
      <w:r w:rsidRPr="006A467B">
        <w:tab/>
        <w:t>so zreteľom na článok 136 ods. 2 a 4 rokovacieho poriadku,</w:t>
      </w:r>
    </w:p>
    <w:p w:rsidR="00A147AC" w:rsidRPr="006A467B" w:rsidRDefault="00A147AC" w:rsidP="00A147AC">
      <w:pPr>
        <w:pStyle w:val="NormalHanging12a"/>
      </w:pPr>
      <w:r w:rsidRPr="006A467B">
        <w:t>A.</w:t>
      </w:r>
      <w:r w:rsidRPr="006A467B">
        <w:tab/>
        <w:t xml:space="preserve">keďže Rusko vedie od 24. februára 2022 nezákonnú, nevyprovokovanú a neodôvodnenú rozsiahlu útočnú vojnu proti Ukrajine a pokračuje tak v tom, čo začalo v roku 2014, keď anektovalo Krym a následne obsadilo časti Doneckej a </w:t>
      </w:r>
      <w:proofErr w:type="spellStart"/>
      <w:r w:rsidRPr="006A467B">
        <w:t>Luhanskej</w:t>
      </w:r>
      <w:proofErr w:type="spellEnd"/>
      <w:r w:rsidRPr="006A467B">
        <w:t xml:space="preserve"> oblasti;</w:t>
      </w:r>
      <w:r w:rsidRPr="006A467B">
        <w:rPr>
          <w:rStyle w:val="Aucun"/>
          <w:color w:val="000000"/>
        </w:rPr>
        <w:t xml:space="preserve"> keďže EÚ od začiatku dôrazne odsúdila útočnú vojnu Ruska proti Ukrajine a vyzvala Rusko, aby túto </w:t>
      </w:r>
      <w:r w:rsidRPr="006A467B">
        <w:rPr>
          <w:rStyle w:val="Aucun"/>
          <w:color w:val="000000"/>
        </w:rPr>
        <w:lastRenderedPageBreak/>
        <w:t>agresiu ukončilo a rešpektovalo územnú celistvosť Ukrajiny;</w:t>
      </w:r>
    </w:p>
    <w:p w:rsidR="00A147AC" w:rsidRPr="006A467B" w:rsidRDefault="00A147AC" w:rsidP="00A147AC">
      <w:pPr>
        <w:pStyle w:val="NormalHanging12a"/>
      </w:pPr>
      <w:r w:rsidRPr="006A467B">
        <w:t>B.</w:t>
      </w:r>
      <w:r w:rsidRPr="006A467B">
        <w:tab/>
        <w:t>keďže Rusko je jedným z najväčších svetových producentov ropy; keďže Rusko je z hľadiska príjmov z vývozu a rozpočtových príjmov vo veľkej miere závislé od predaja ropy, a preto je ropa kľúčovým zdrojom financovania jeho vojny na Ukrajine;</w:t>
      </w:r>
    </w:p>
    <w:p w:rsidR="00A147AC" w:rsidRPr="006A467B" w:rsidRDefault="00A147AC" w:rsidP="00A147AC">
      <w:pPr>
        <w:pStyle w:val="NormalHanging12a"/>
      </w:pPr>
      <w:r w:rsidRPr="006A467B">
        <w:t>C.</w:t>
      </w:r>
      <w:r w:rsidRPr="006A467B">
        <w:tab/>
        <w:t>keďže EÚ a ďalší členovia Koalície G7+ pre cenové stropy stanovili cenový strop pre surovú ropu a ropné výrobky ruského pôvodu s cieľom zachovať celosvetové dodávky a zároveň obmedziť toky príjmov, ktoré Rusko používa na financovanie svojej útočnej vojny proti Ukrajine; keďže Rusko v reakcii na to vynaložilo odhadom 9 miliárd EUR na vybudovanie svojej „tieňovej flotily“; keďže ropné tankery naplnené ruskou ropou dennodenne prechádzajú európskymi vodami ako súčasť ruského úsilia o obchádzanie sankcií EÚ a skupiny G7;</w:t>
      </w:r>
    </w:p>
    <w:p w:rsidR="00A147AC" w:rsidRPr="006A467B" w:rsidRDefault="00A147AC" w:rsidP="00A147AC">
      <w:pPr>
        <w:pStyle w:val="NormalHanging12a"/>
        <w:rPr>
          <w:bCs/>
        </w:rPr>
      </w:pPr>
      <w:r w:rsidRPr="006A467B">
        <w:t>D.</w:t>
      </w:r>
      <w:r w:rsidRPr="006A467B">
        <w:tab/>
        <w:t xml:space="preserve">keďže od začiatku komplexnej vojenskej invázie Ruska na Ukrajinu 24. februára 2022 uvalila EÚ na Rusko rozsiahle a bezprecedentné reštriktívne opatrenia a sankcie s cieľom oslabiť jeho hospodársku, finančnú a vojenskú schopnosť pokračovať vo vojnovom úsilí; keďže šiesty balík sankcií Rady okrem iného zakazuje nákup, dovoz a transfer ropy a určitých ropných produktov prepravovaných po mori z Ruska do EÚ; keďže 11. a 12. balík sankcií Rady sa zaoberajú rizikami obchádzania sankcií „tieňovou flotilou“; keďže vo svojom 14. balíku sankcií v súvislosti s ruskou ropou zaviedla Rada nové opatrenie zamerané na konkrétne plavidlá </w:t>
      </w:r>
      <w:proofErr w:type="spellStart"/>
      <w:r w:rsidRPr="006A467B">
        <w:t>prispievajúce</w:t>
      </w:r>
      <w:proofErr w:type="spellEnd"/>
      <w:r w:rsidRPr="006A467B">
        <w:t xml:space="preserve"> k vojne Ruska proti Ukrajine, na ktoré uvalila zákaz vstupu do prístavov a poskytovania služieb; keďže EÚ doteraz zaradila na tento zoznam len 27 plavidiel vrátane tankerov prepravujúcich ruskú ropu ktoré sú zapojené do nebezpečných a nezákonných prepravných praktík; keďže v októbri 2024 vláda Spojeného kráľovstva uložila sankcie voči 18 ruským ropným tankerom a štyrom cisternovým lodiam na prepravu skvapalneného zemného plynu (LNG); keďže doposiaľ mala samotná identifikácia plavidiel „tieňovej flotily“ najväčší vplyv na jej fungovanie;</w:t>
      </w:r>
    </w:p>
    <w:p w:rsidR="00A147AC" w:rsidRPr="006A467B" w:rsidRDefault="00A147AC" w:rsidP="00A147AC">
      <w:pPr>
        <w:pStyle w:val="NormalHanging12a"/>
        <w:rPr>
          <w:bCs/>
        </w:rPr>
      </w:pPr>
      <w:r w:rsidRPr="006A467B">
        <w:t>E.</w:t>
      </w:r>
      <w:r w:rsidRPr="006A467B">
        <w:tab/>
        <w:t>keďže „tieňové flotily“ už boli využívané nepriateľskými krajinami, napríklad Iránom, Venezuelou a Severnou Kóreou; keďže Rusko však vyniká rozsahom a dômyselnosťou svojich operácií vzhľadom na to, že ruská „tieňová flotila“ podľa odhadov využíva mesačne na prepravu ropy približne 160 – 200 tankerov, pričom flotilu tvorí celkovo asi 600 plavidiel, ktoré zohrávajú kľúčovú úlohu pri zabezpečovaní vývozu ruskej ropy;</w:t>
      </w:r>
    </w:p>
    <w:p w:rsidR="00A147AC" w:rsidRPr="006A467B" w:rsidRDefault="00A147AC" w:rsidP="00A147AC">
      <w:pPr>
        <w:pStyle w:val="NormalHanging12a"/>
      </w:pPr>
      <w:r w:rsidRPr="006A467B">
        <w:t>F.</w:t>
      </w:r>
      <w:r w:rsidRPr="006A467B">
        <w:tab/>
        <w:t>keďže „tieňová flotila“, ktorá je pre Rusko núdzovým riešením, výrazne obmedzila vplyv sankčného režimu a umožnila Rusku ďalej využívať tieto príjmy na financovanie svojej útočnej vojny proti Ukrajine, čo svedčí o tom, že treba posilniť a rozšíriť medzinárodnú koordináciu sankcií;</w:t>
      </w:r>
    </w:p>
    <w:p w:rsidR="00A147AC" w:rsidRPr="006A467B" w:rsidRDefault="00A147AC" w:rsidP="00A147AC">
      <w:pPr>
        <w:pStyle w:val="NormalHanging12a"/>
      </w:pPr>
      <w:r w:rsidRPr="006A467B">
        <w:t>G.</w:t>
      </w:r>
      <w:r w:rsidRPr="006A467B">
        <w:tab/>
        <w:t xml:space="preserve">keďže podľa odhadov patrí do „tieňovej flotily“ na celom svete najmenej 600 tankerov; keďže ide o staršie tankery, ktoré sa v mnohých prípadoch plavia bez štandardného poistenia zodpovednosti za škody spôsobené prevádzkou a často menia názvy a vlajky, čo Rusku umožňuje predávať značnú časť svojej ropy nad úrovňou cenového stropu a oslabuje schopnosť vlád brať majiteľov tankerov na zodpovednosť za čistiace operácie v prípade úniku ropy; keďže tieto lode sú vo všeobecnosti nevhodné na prevádzku, zvyšujú riziko námorných kolízií na medzinárodných obchodných trasách, a preto sú veľmi nebezpečné pre životné prostredie, keďže hrozí veľké riziko únikov ropy poškodzujúcich morské ekosystémy a pobrežné oblasti, a to aj v chránených morských oblastiach s obzvlášť citlivými voľne žijúcimi druhmi, kde by úniky ropy mali </w:t>
      </w:r>
      <w:r w:rsidRPr="006A467B">
        <w:lastRenderedPageBreak/>
        <w:t>katastrofálne dôsledky; keďže skúsenosti s únikmi ropy spôsobenými tankermi z minulosti ukazujú, že poškodenie pobrežných a podmorských ekosystémov, ako aj zvierat žijúcich na súši a morských vtákov môže trvať desaťročia; keďže rozšírenie flotily Európskej námornej bezpečnostnej agentúry (EMSA) o ďalšie plavidlá reakcie by bolo v súlade so záväzkom EÚ v oblasti ochrany životného prostredia, odolnosti v rámci Európskej zelenej dohody a s cieľmi mechanizmu EÚ v oblasti civilnej ochrany v záujme posilnenia spôsobilosti rýchlej reakcie a pripravenosti na katastrofy;</w:t>
      </w:r>
    </w:p>
    <w:p w:rsidR="00A147AC" w:rsidRPr="006A467B" w:rsidRDefault="00A147AC" w:rsidP="00A147AC">
      <w:pPr>
        <w:pStyle w:val="NormalHanging12a"/>
      </w:pPr>
      <w:r w:rsidRPr="006A467B">
        <w:t>H.</w:t>
      </w:r>
      <w:r w:rsidRPr="006A467B">
        <w:tab/>
        <w:t xml:space="preserve">keďže ruské „tieňové tankery“ pravidelne prečerpávajú ruskú ropu a ropné produkty z lode na loď v teritoriálnych vodách vrátane Stredozemného mora; keďže pri týchto operáciách premiestňujú a premiešavajú ruskú ropu medzi plavidlami bez toho, aby pristáli v ktoromkoľvek prístave, s cieľom zatajiť pôvod ropy; keďže tieto operácie prebiehajú v blízkosti pobrežia, čo veľmi ohrozuje životné prostredie; keďže tieto plavidlá majú často vypnuté transpondéry satelitného automatického identifikačného systému (AIS), aby sa vyhli monitorovaniu a oficiálnym kontrolám; keďže prímorské krajiny Európy by boli obzvlášť postihnuté; keďže v prípade nehôd by mohli úniky ropy z „tieňovej flotily“ spôsobiť prímorským krajinám a ich daňovým poplatníkom náklady na odstránenie škôd vo výške miliárd EUR, pretože vlastníci týchto plavidiel sú v zásade </w:t>
      </w:r>
      <w:proofErr w:type="spellStart"/>
      <w:r w:rsidRPr="006A467B">
        <w:t>nevystopovateľní</w:t>
      </w:r>
      <w:proofErr w:type="spellEnd"/>
      <w:r w:rsidRPr="006A467B">
        <w:t>; keďže úniky ropy môžu spôsobiť aj obrovské ekonomické škody, a to aj v dôsledku obmedzenia cestovného ruchu a rybolovných činností; keďže takéto úniky ropy sú významnou hrozbou pre kvalitu vody a miestne voľne žijúce živočíchy, poškodzujú morské ekosystémy, kontaminujú produkty určené pre spotrebiteľov, napríklad kôrovce, a tým predstavujú riziko pre ľudské zdravie, ďalej šíria kontamináciu a narúšajú reprodukciu rýb;</w:t>
      </w:r>
    </w:p>
    <w:p w:rsidR="00A147AC" w:rsidRPr="006A467B" w:rsidRDefault="00A147AC" w:rsidP="00A147AC">
      <w:pPr>
        <w:pStyle w:val="NormalHanging12a"/>
      </w:pPr>
      <w:r w:rsidRPr="006A467B">
        <w:t>I.</w:t>
      </w:r>
      <w:r w:rsidRPr="006A467B">
        <w:tab/>
        <w:t>keďže podľa dohovoru MARPOL, t. j. medzinárodnej dohody zameranej na obmedzenie znečisťovania z lodnej dopravy, je zámerné vypúšťanie odpadového oleja cez palubu nezákonné; keďže Rusko je signatárom dohovoru MARPOL; keďže existujú dôkazy o porušovaní dohovoru MARPOL; keďže sankcionovanie jednotlivých lodí sa ukázalo ako účinné, pretože lodiam, ktoré už boli zaradené na čiernu listinu, sa po uložení sankcií zúžili možnosti obchodovania s ropou;</w:t>
      </w:r>
    </w:p>
    <w:p w:rsidR="00A147AC" w:rsidRPr="006A467B" w:rsidRDefault="00A147AC" w:rsidP="00A147AC">
      <w:pPr>
        <w:pStyle w:val="NormalHanging12a"/>
        <w:rPr>
          <w:bCs/>
        </w:rPr>
      </w:pPr>
      <w:r w:rsidRPr="006A467B">
        <w:t>J.</w:t>
      </w:r>
      <w:r w:rsidRPr="006A467B">
        <w:tab/>
        <w:t>keďže smernica 2009/20/ES</w:t>
      </w:r>
      <w:r w:rsidRPr="006A467B">
        <w:rPr>
          <w:rStyle w:val="FootnoteReference"/>
        </w:rPr>
        <w:footnoteReference w:id="1"/>
      </w:r>
      <w:r w:rsidRPr="006A467B">
        <w:t xml:space="preserve"> o poistení vlastníkov lodí, ktoré sa vzťahuje na námorné pohľadávky, sa uplatňuje od roku 2009 a zabezpečuje, aby všetky lode plaviace sa pod vlajkou členského štátu EÚ boli poistené a mali so sebou osvedčenie o poistení; keďže jedným z cieľov smernice 2009/20/ES bolo vyradenie lodí nespĺňajúcich normy; keďže Medzinárodný dohovor o opatreniach na šírom mori v prípade nehôd spojených s ropným znečistením umožňuje krajinám prijať opatrenia „na zabránenie, zmiernenie alebo odstránenie vážneho a bezprostredného nebezpečenstva pre ich pobrežie alebo podobné záujmy vyplývajúceho zo znečisťovania alebo hrozby znečisťovania mora ropnými látkami v súvislosti s námornou nehodou alebo úkonmi súvisiacimi s takouto nehodou“;</w:t>
      </w:r>
    </w:p>
    <w:p w:rsidR="00A147AC" w:rsidRPr="006A467B" w:rsidRDefault="00A147AC" w:rsidP="00A147AC">
      <w:pPr>
        <w:pStyle w:val="NormalHanging12a"/>
        <w:rPr>
          <w:rFonts w:eastAsia="Arial Unicode MS"/>
          <w:u w:color="000000"/>
          <w:bdr w:val="nil"/>
        </w:rPr>
      </w:pPr>
      <w:r w:rsidRPr="006A467B">
        <w:rPr>
          <w:u w:color="000000"/>
          <w:bdr w:val="nil"/>
        </w:rPr>
        <w:t>K.</w:t>
      </w:r>
      <w:r w:rsidRPr="006A467B">
        <w:rPr>
          <w:u w:color="000000"/>
          <w:bdr w:val="nil"/>
        </w:rPr>
        <w:tab/>
        <w:t>keďže nedávne správy švédskeho námorníctva poukázali na bezpečnostné riziká spojené s činnosťami „tieňovej flotily“ a jej možné využitie v hybridných operáciách proti európskym krajinám;</w:t>
      </w:r>
    </w:p>
    <w:p w:rsidR="00A147AC" w:rsidRPr="006A467B" w:rsidRDefault="00A147AC" w:rsidP="00A147AC">
      <w:pPr>
        <w:pStyle w:val="NormalHanging12a"/>
        <w:rPr>
          <w:bCs/>
        </w:rPr>
      </w:pPr>
      <w:r w:rsidRPr="006A467B">
        <w:lastRenderedPageBreak/>
        <w:t>L.</w:t>
      </w:r>
      <w:r w:rsidRPr="006A467B">
        <w:tab/>
        <w:t>keďže napriek zákazu dovozu ropných produktov rafinovaných v Rusku neexistuje zákaz dovozu z rafinérií z tretích krajín, ktoré spracúvajú ruskú ropu; keďže „tieňová flotila“ dodáva ruskú ropu do rafinérií v tretích krajinách; keďže štáty EÚ a skupiny G7 naďalej dovážajú ropné produkty získané z ruskej ropy, napríklad z rafinérií v Turecku;</w:t>
      </w:r>
    </w:p>
    <w:p w:rsidR="00A147AC" w:rsidRPr="006A467B" w:rsidRDefault="00A147AC" w:rsidP="00A147AC">
      <w:pPr>
        <w:pStyle w:val="NormalHanging12a"/>
        <w:rPr>
          <w:bCs/>
        </w:rPr>
      </w:pPr>
      <w:r w:rsidRPr="006A467B">
        <w:t>M.</w:t>
      </w:r>
      <w:r w:rsidRPr="006A467B">
        <w:tab/>
        <w:t>keďže preprava takýmito plavidlami sa v priebehu roka 2024 dramaticky zvýšila, pričom počet plavieb ruských „tieňových plavidiel“ sa viac ako zdvojnásobil; keďže značná časť ruskej ropy sa prepravuje rušnými medzinárodnými námornými trasami; keďže Rusko prepravuje prevažnú väčšinu svojej ropy z prístavov v Baltskom a Čiernom mori;</w:t>
      </w:r>
    </w:p>
    <w:p w:rsidR="00A147AC" w:rsidRPr="006A467B" w:rsidRDefault="00A147AC" w:rsidP="00A147AC">
      <w:pPr>
        <w:pStyle w:val="NormalHanging12a"/>
        <w:rPr>
          <w:bCs/>
        </w:rPr>
      </w:pPr>
      <w:r w:rsidRPr="006A467B">
        <w:t>N.</w:t>
      </w:r>
      <w:r w:rsidRPr="006A467B">
        <w:tab/>
        <w:t>keďže tí, čo prepravujú ropu a riadia „tieňovú flotilu“, nejednajú osamotene; keďže ich činnosti sú prepojené s finančnými transakciami, ktoré ich podporujú; keďže do týchto transakcií môžu byť zapojené subjekty, na ktoré sa vzťahujú finančné sankcie; keďže dodržiavanie sankčného režimu by sa malo ucelene analyzovať, aby sa zabránilo obchádzaniu sankcií;</w:t>
      </w:r>
    </w:p>
    <w:p w:rsidR="00A147AC" w:rsidRPr="006A467B" w:rsidRDefault="00A147AC" w:rsidP="00A147AC">
      <w:pPr>
        <w:pStyle w:val="NormalHanging12a"/>
      </w:pPr>
      <w:r w:rsidRPr="006A467B">
        <w:t>O.</w:t>
      </w:r>
      <w:r w:rsidRPr="006A467B">
        <w:tab/>
        <w:t>keďže prevádzkovatelia lodí boli ochotní obchádzať sankcie tým, že svoje plavidlá zaregistrovali v krajinách, ktoré nie sú súčasťou dohody o cenovom strope; keďže Rusko využíva sprostredkovateľov, organizácie alebo jednotlivcov z tretích krajín na nákup niektorých tankerov „tieňovej flotily“; keďže niektorí vlastníci a manažéri tankerov a lodí na prepravu plynu „tieňovej flotily“ sú registrovaní aj v členských štátoch EÚ;</w:t>
      </w:r>
    </w:p>
    <w:p w:rsidR="00A147AC" w:rsidRPr="006A467B" w:rsidRDefault="00A147AC" w:rsidP="00A147AC">
      <w:pPr>
        <w:pStyle w:val="NormalHanging12a"/>
      </w:pPr>
      <w:r w:rsidRPr="006A467B">
        <w:t>P.</w:t>
      </w:r>
      <w:r w:rsidRPr="006A467B">
        <w:tab/>
        <w:t>keďže ruská „tieňová flotila“ sa pri obchádzaní sankcií do značnej miery spolieha na spoluúčasť a spoluprácu niekoľkých krajín, najmä Číny, Indie a Turecka;</w:t>
      </w:r>
    </w:p>
    <w:p w:rsidR="00A147AC" w:rsidRPr="006A467B" w:rsidRDefault="00A147AC" w:rsidP="00A147AC">
      <w:pPr>
        <w:pStyle w:val="NormalHanging12a"/>
      </w:pPr>
      <w:r w:rsidRPr="006A467B">
        <w:t>1.</w:t>
      </w:r>
      <w:r w:rsidRPr="006A467B">
        <w:tab/>
        <w:t>opakovane dôrazne odsudzuje nevyprovokovanú, protiprávnu a neodôvodnenú útočnú vojnu Ruska voči Ukrajine; vyzýva Rusko, aby bezodkladne ukončilo všetky vojenské operácie na Ukrajine a aby úplne a bezpodmienečne stiahlo všetky vojenské sily, zástupné sily a vojenské vybavenie z celého medzinárodne uznaného územia Ukrajiny, ukončilo nútené deportácie ukrajinských civilistov a prepustilo všetkých zadržiavaných a deportovaných Ukrajincov, najmä deti;</w:t>
      </w:r>
    </w:p>
    <w:p w:rsidR="00A147AC" w:rsidRPr="006A467B" w:rsidRDefault="00A147AC" w:rsidP="00A147AC">
      <w:pPr>
        <w:pStyle w:val="NormalHanging12a"/>
      </w:pPr>
      <w:r w:rsidRPr="006A467B">
        <w:t>2.</w:t>
      </w:r>
      <w:r w:rsidRPr="006A467B">
        <w:tab/>
        <w:t>opätovne vyjadruje jednoznačnú podporu sankčnému režimu EÚ, ktorého cieľom je oslabiť schopnosť ruského režimu pokračovať v agresívnej vojne proti Ukrajine; zdôrazňuje, že cieľom sankcií EÚ v reakcii na útočnú vojnu Ruska proti Ukrajine je strategicky oslabiť ruskú hospodársku a priemyselnú základňu, najmä vojensko-priemyselný komplex, ako aj schopnosť Ruskej federácie pokračovať vo vojne, útočiť na civilné obyvateľstvo a narúšať územnú celistvosť Ukrajiny, a cieľom sankcií EÚ je aj brániť Rusku v prístupe k vojenským technológiám a komponentom; konštatuje, že Rusko aktívne obchádza sankcie EÚ a hľadá nové spôsoby, ako to robiť, okrem iného prevádzkovaním ruskej „tieňovej flotily“ ropných tankerov, a preto môže v krátkodobom horizonte ešte zintenzívniť svoje vojnové úsilie proti Ukrajine, najmä počas nadchádzajúceho zimného obdobia;</w:t>
      </w:r>
    </w:p>
    <w:p w:rsidR="00A147AC" w:rsidRPr="006A467B" w:rsidRDefault="00A147AC" w:rsidP="00A147AC">
      <w:pPr>
        <w:pStyle w:val="NormalHanging12a"/>
      </w:pPr>
      <w:r w:rsidRPr="006A467B">
        <w:t>3.</w:t>
      </w:r>
      <w:r w:rsidRPr="006A467B">
        <w:tab/>
        <w:t xml:space="preserve">považuje „tieňovú flotilu“ za kľúčový a životne dôležitý finančný zdroj Ruska počas jeho nezákonnej a neospravedlniteľnej útočnej vojny proti Ukrajine a za významný nástroj vytvorený na obchádzanie sankčného režimu EÚ; odsudzuje riziko, ktoré tieto nebezpečné a nepoistené ruské plavidlá predstavujú pre námornú bezpečnosť a naše európske prímorské členské štáty a morské ekosystémy; odsudzuje Rusko za to, že pre </w:t>
      </w:r>
      <w:r w:rsidRPr="006A467B">
        <w:lastRenderedPageBreak/>
        <w:t xml:space="preserve">svoje finančné zisky vytvára obrovské riziká, pričom neberie ohľad na medzinárodnú bezpečnosť a ani na hrozbu nezvratných environmentálnych škôd; </w:t>
      </w:r>
      <w:r w:rsidRPr="006A467B">
        <w:rPr>
          <w:rStyle w:val="Aucun"/>
          <w:color w:val="000000"/>
        </w:rPr>
        <w:t>žiada EÚ a jej členské štáty, aby sa intenzívnejšie usilovali obmedziť vyhýbanie sa sankciám a ich obchádzanie Ruskom a aby zaviedli konkrétne opatrenia na zaistenie námornej bezpečnosti a predchádzanie environmentálnym rizikám v európskych vodách,</w:t>
      </w:r>
      <w:r w:rsidRPr="006A467B">
        <w:t xml:space="preserve"> najmä v Baltskom mori;</w:t>
      </w:r>
      <w:r w:rsidRPr="006A467B">
        <w:rPr>
          <w:rStyle w:val="Aucun"/>
          <w:color w:val="000000"/>
        </w:rPr>
        <w:t xml:space="preserve"> </w:t>
      </w:r>
      <w:r w:rsidRPr="006A467B">
        <w:t>považuje transfery z lode na loď na šírom mori za vysokorizikové činnosti, ktoré ohrozujú medzinárodnú námornú bezpečnosť a ochranu životného prostredia;</w:t>
      </w:r>
    </w:p>
    <w:p w:rsidR="00A147AC" w:rsidRPr="006A467B" w:rsidRDefault="00A147AC" w:rsidP="00A147AC">
      <w:pPr>
        <w:pStyle w:val="NormalHanging12a"/>
      </w:pPr>
      <w:r w:rsidRPr="006A467B">
        <w:t>4.</w:t>
      </w:r>
      <w:r w:rsidRPr="006A467B">
        <w:tab/>
      </w:r>
      <w:r w:rsidRPr="006A467B">
        <w:rPr>
          <w:rStyle w:val="Aucun"/>
          <w:color w:val="000000"/>
        </w:rPr>
        <w:t>požaduje cielenejšie sankcie voči „tieňovej flotile“ v ďalších balíkoch sankcií voči Rusku, napríklad identifikáciu všetkých individuálnych plavidiel „tieňovej flotily“, ako aj ich vlastníkov, prevádzkovateľov, správcov, účtov,</w:t>
      </w:r>
      <w:r w:rsidRPr="006A467B">
        <w:t xml:space="preserve"> bánk, poisťovacích spoločností </w:t>
      </w:r>
      <w:r w:rsidRPr="006A467B">
        <w:rPr>
          <w:rStyle w:val="Aucun"/>
          <w:color w:val="000000"/>
        </w:rPr>
        <w:t xml:space="preserve">atď.; vyzýva na okamžitý zákaz používania západných plavidiel na prepravu ruskej ropy; </w:t>
      </w:r>
      <w:r w:rsidRPr="006A467B">
        <w:t xml:space="preserve">v širšom zmysle žiada, aby ďalšie balíky sankcií EÚ zahŕňali systematické uvalenie sankcií na plavidlá plaviace sa vo vodách EÚ bez overeného poistenia s cieľom chrániť naše vody a zabrániť finančnej záťaži súvisiacej s čistením ropných škvŕn; vyzýva Európsku službu pre vonkajšiu činnosť a vyslanca pre sankcie EÚ, aby oslovili </w:t>
      </w:r>
      <w:r w:rsidRPr="006A467B">
        <w:rPr>
          <w:rStyle w:val="Aucun"/>
          <w:color w:val="000000"/>
        </w:rPr>
        <w:t xml:space="preserve">vlády krajín, v ktorých sú registrované spoločnosti prevádzkujúce „tieňové tankery“, ako aj </w:t>
      </w:r>
      <w:r w:rsidRPr="006A467B">
        <w:t>krajín, ktorých vlajkové lode sú vo vodách EÚ od zavedenia cenového stropu pre ropu oveľa viac zastúpené; vyzýva EÚ a jej členské štáty, aby sa obrátili na tieto vlajkové štáty a informovali ich o tom, čo predstavuje zaradenie na takýto zoznam a aké sú dôsledky takéhoto zaradenia, upozornili ich na riziká a nepriaznivý vplyv neregulárnej a vysokorizikovej lodnej dopravy na životné prostredie a pripomenuli im povinnosti vlajkových štátov; naliehavo vyzýva vlajkové štáty, aby zo svojich lodných registrov vyradili sankcionované plavidlá;</w:t>
      </w:r>
    </w:p>
    <w:p w:rsidR="00A147AC" w:rsidRPr="006A467B" w:rsidRDefault="00A147AC" w:rsidP="00A147AC">
      <w:pPr>
        <w:pStyle w:val="NormalHanging12a"/>
      </w:pPr>
      <w:r w:rsidRPr="006A467B">
        <w:t>5.</w:t>
      </w:r>
      <w:r w:rsidRPr="006A467B">
        <w:tab/>
        <w:t>konštatuje, že vlajkové štáty, ktoré pomáhajú ruskej „tieňovej flotile“, tým pomáhajú aj ruským vojnovým snahám; zdôrazňuje, že ak klasické diplomatické úsilie zlyhá, EÚ by mala vážne prehodnotiť svoju bilaterálnu spoluprácu s nečlenskými štátmi EÚ, ktoré pomáhajú Rusku obchádzať sankcie EÚ;</w:t>
      </w:r>
    </w:p>
    <w:p w:rsidR="00A147AC" w:rsidRPr="006A467B" w:rsidRDefault="00A147AC" w:rsidP="00A147AC">
      <w:pPr>
        <w:pStyle w:val="NormalHanging12a"/>
        <w:rPr>
          <w:rStyle w:val="Aucun"/>
          <w:color w:val="000000"/>
        </w:rPr>
      </w:pPr>
      <w:r w:rsidRPr="006A467B">
        <w:rPr>
          <w:rStyle w:val="Aucun"/>
          <w:color w:val="000000"/>
        </w:rPr>
        <w:t>6.</w:t>
      </w:r>
      <w:r w:rsidRPr="006A467B">
        <w:rPr>
          <w:rStyle w:val="Aucun"/>
          <w:color w:val="000000"/>
        </w:rPr>
        <w:tab/>
      </w:r>
      <w:r w:rsidRPr="006A467B">
        <w:t xml:space="preserve">odsudzuje zapojenie európskych vlastníkov lodí do budovania ruskej „tieňovej flotily“; </w:t>
      </w:r>
      <w:r w:rsidRPr="006A467B">
        <w:rPr>
          <w:rStyle w:val="Aucun"/>
          <w:color w:val="000000"/>
        </w:rPr>
        <w:t xml:space="preserve">odsudzuje správanie štátov, poskytovateľov právnych služieb a iných subjektov a jednotlivcov, ktorí pomáhajú Rusku vyhnúť sankciám EÚ alebo oslabovať ich účinok; </w:t>
      </w:r>
      <w:r w:rsidRPr="006A467B">
        <w:t xml:space="preserve">pripomína, že porušovanie sankcií je trestným činom na úrovni EÚ a má vážny dosah na finančné záujmy EÚ; vyzýva na rozšírenie a presadzovanie obmedzení predaja plavidiel a na </w:t>
      </w:r>
      <w:r w:rsidRPr="006A467B">
        <w:rPr>
          <w:rStyle w:val="Aucun"/>
          <w:color w:val="000000"/>
        </w:rPr>
        <w:t>zákaz predaja tankerov krajinám, ktoré uľahčujú predaj s Ruskom;</w:t>
      </w:r>
    </w:p>
    <w:p w:rsidR="00A147AC" w:rsidRPr="006A467B" w:rsidRDefault="00A147AC" w:rsidP="00A147AC">
      <w:pPr>
        <w:pStyle w:val="NormalHanging12a"/>
        <w:rPr>
          <w:bCs/>
        </w:rPr>
      </w:pPr>
      <w:r w:rsidRPr="006A467B">
        <w:t>7.</w:t>
      </w:r>
      <w:r w:rsidRPr="006A467B">
        <w:tab/>
        <w:t>vyzýva na posilnenie celoeurópskych opatrení na zabezpečenie prísnejšieho presadzovania a rozšírenia sankcií vrátane okamžitej inšpekcie plavidiel pôsobiacich vo vodách EÚ s cieľom overiť ich poistné krytie a súlad s požiadavkami IMO; vyzýva členské štáty, aby posúdili a posilnili svoje administratívne kapacity s cieľom zabezpečiť rýchle vykonávanie a prísne presadzovanie sankcií EÚ;</w:t>
      </w:r>
    </w:p>
    <w:p w:rsidR="00A147AC" w:rsidRPr="006A467B" w:rsidRDefault="00A147AC" w:rsidP="00A147AC">
      <w:pPr>
        <w:pStyle w:val="NormalHanging12a"/>
      </w:pPr>
      <w:r w:rsidRPr="006A467B">
        <w:t>8.</w:t>
      </w:r>
      <w:r w:rsidRPr="006A467B">
        <w:tab/>
        <w:t xml:space="preserve">vyzýva Komisiu, aby v rámci spolupráce EÚ s IMO prijala opatrenia na predchádzanie činnostiam „tieňovej flotily“ a ich obmedzenie; požaduje dôsledné vykonávanie rezolúcie zhromaždenia IMO A.1192(33), ktorá bola prijatá v decembri 2023 s cieľom bojovať proti škodlivým námorným operáciám, a to najmä povinnosti plavidiel hlásiť všetky transfery z lode na loď svojim vlajkovým štátom a prísnejších prístavných inšpekcií podozrivých lodí; vyzýva EÚ a jej členské štáty, aby obmedzili prístup ruských plavidiel „tieňovej flotily“ do vôd EÚ; zdôrazňuje, že Európska námorná </w:t>
      </w:r>
      <w:r w:rsidRPr="006A467B">
        <w:lastRenderedPageBreak/>
        <w:t>bezpečnostná agentúra sa musí naplno využiť na podporu členských štátov pri identifikácii lodí, na ktoré sa vzťahujú sankcie, a pri monitorovaní pohybu podozrivých lodí; vyzýva najmä, aby EÚ zostavila komplexný zoznam plavidiel ruskej „tieňovej flotily“, začala cielené inšpekcie, a to aj na mori, a ukladala sankcie, ktorými sa plavidlá trvalo alebo dočasne zablokujú z administratívnych dôvodov;</w:t>
      </w:r>
    </w:p>
    <w:p w:rsidR="00A147AC" w:rsidRPr="006A467B" w:rsidRDefault="00A147AC" w:rsidP="00A147AC">
      <w:pPr>
        <w:pStyle w:val="NormalHanging12a"/>
      </w:pPr>
      <w:r w:rsidRPr="006A467B">
        <w:t>9.</w:t>
      </w:r>
      <w:r w:rsidRPr="006A467B">
        <w:tab/>
        <w:t>vyzýva EÚ a jej členské štáty, aby pozorne monitorovali vykonávanie smernice 2009/20/ES o poistení vlastníkov lodí, pokiaľ ide o námorné pohľadávky, s cieľom zabrániť tomu, aby sa nepoistené plavidlá plavili vo vodách EÚ; zdôrazňuje, že treba posilniť mechanizmy presadzovania, napríklad umožniť členským štátom EÚ zabrániť nepoisteným alebo nevyhovujúcim plavidlám zakotviť v prístavoch EÚ alebo využívať vody EÚ na dopĺňanie paliva alebo iné služby, a zvýšiť monitorovanie takýchto plavidiel; vyzýva členské štáty, aby prijali opatrenia s cieľom zabezpečiť, aby nevyhovujúce plavidlá neboli dostupné na trhu;</w:t>
      </w:r>
    </w:p>
    <w:p w:rsidR="00A147AC" w:rsidRPr="006A467B" w:rsidRDefault="00A147AC" w:rsidP="00A147AC">
      <w:pPr>
        <w:pStyle w:val="NormalHanging12a"/>
      </w:pPr>
      <w:r w:rsidRPr="006A467B">
        <w:t>10.</w:t>
      </w:r>
      <w:r w:rsidRPr="006A467B">
        <w:tab/>
        <w:t>nabáda členské štáty, aby úzko spolupracovali so Spojeným kráľovstvom na opatreniach, ktorými sa ruským plavidlám „tieňovej flotily“ obmedzí využívanie Lamanšského prielivu; vyzýva krajiny s medzinárodnými prielivmi, aby od lodí vyžadovali dôkaz o poistení ochrany a náhrady škôd a dodržiavaní minimálnych bezpečnostných noriem; vyzýva všetky členské štáty, aby od všetkých plavidiel, ktoré prechádzajú ich vodami, požadovali dôkaz o poistení pre prípad úniku ropy s cieľom zabezpečiť transparentnosť, pokiaľ ide o poistné dohody;</w:t>
      </w:r>
    </w:p>
    <w:p w:rsidR="00A147AC" w:rsidRPr="006A467B" w:rsidRDefault="00A147AC" w:rsidP="00A147AC">
      <w:pPr>
        <w:pStyle w:val="NormalHanging12a"/>
      </w:pPr>
      <w:r w:rsidRPr="006A467B">
        <w:t>11.</w:t>
      </w:r>
      <w:r w:rsidRPr="006A467B">
        <w:tab/>
        <w:t xml:space="preserve">nabáda EÚ a jej členské štáty, aby rozšírili možnosti sledovania, najmä využitím bezpilotných vzdušných prostriedkov, ako aj satelitného sledovania, a to aj využívaním údajov zo satelitných snímok </w:t>
      </w:r>
      <w:proofErr w:type="spellStart"/>
      <w:r w:rsidRPr="006A467B">
        <w:t>Sentinel</w:t>
      </w:r>
      <w:proofErr w:type="spellEnd"/>
      <w:r w:rsidRPr="006A467B">
        <w:t>, na identifikáciu plavidiel „tieňovej flotily“ plaviacich sa vo vodách EÚ a na monitorovanie činností, napríklad transferov medzi plavidlami v rozpore so smernicami EÚ a dohovorom MARPOL, a aby vykonali urýchlené vyšetrovanie pri ohrození pobrežných oblastí a morských ekosystémov;</w:t>
      </w:r>
    </w:p>
    <w:p w:rsidR="00A147AC" w:rsidRPr="006A467B" w:rsidRDefault="00A147AC" w:rsidP="00A147AC">
      <w:pPr>
        <w:pStyle w:val="NormalHanging12a"/>
        <w:rPr>
          <w:bCs/>
        </w:rPr>
      </w:pPr>
      <w:r w:rsidRPr="006A467B">
        <w:t>12.</w:t>
      </w:r>
      <w:r w:rsidRPr="006A467B">
        <w:tab/>
        <w:t>žiada zákaz transferov ruskej ropy a ropných produktov z lode na loď vo vodách EÚ; žiada, aby sa použili potrebné zdroje na identifikáciu týchto transferov a na to, aby sa im zabránilo, a to aj zákazom kotvenia a tankovania všetkých takýchto lodí vo vodách EÚ;</w:t>
      </w:r>
    </w:p>
    <w:p w:rsidR="00A147AC" w:rsidRPr="006A467B" w:rsidRDefault="00A147AC" w:rsidP="00A147AC">
      <w:pPr>
        <w:pStyle w:val="NormalHanging12a"/>
      </w:pPr>
      <w:r w:rsidRPr="006A467B">
        <w:t>13.</w:t>
      </w:r>
      <w:r w:rsidRPr="006A467B">
        <w:tab/>
        <w:t>vyzýva členské štáty, aby vo svojich prístavoch a teritoriálnych vodách presadzovali prísne regulačné opatrenia; naliehavo vyzýva členské štáty, aby v prípade tankerov, ktoré potenciálne prevážajú ruskú ropu, v plnej miere využili svoje právo na to, aby sa na plavidlách vedených lodivodom z príslušného vnútroštátneho orgánu vykonávali kontroly pôvodu nákladu, konečného vlastníctva lode, poistných dokladov a dodržiavania bezpečnostných noriem, a aby zabezpečili, aby plavidlá podozrivé z vyhýbania sa sankciám a nedodržiavania environmentálnych predpisov boli podrobené vyšetrovaniu;</w:t>
      </w:r>
    </w:p>
    <w:p w:rsidR="00A147AC" w:rsidRPr="006A467B" w:rsidRDefault="00A147AC" w:rsidP="00A147AC">
      <w:pPr>
        <w:pStyle w:val="NormalHanging12a"/>
        <w:rPr>
          <w:rStyle w:val="s2"/>
          <w:color w:val="000000"/>
        </w:rPr>
      </w:pPr>
      <w:r w:rsidRPr="006A467B">
        <w:rPr>
          <w:rStyle w:val="s2"/>
          <w:color w:val="000000"/>
        </w:rPr>
        <w:t>14.</w:t>
      </w:r>
      <w:r w:rsidRPr="006A467B">
        <w:rPr>
          <w:rStyle w:val="s2"/>
          <w:color w:val="000000"/>
        </w:rPr>
        <w:tab/>
      </w:r>
      <w:r w:rsidRPr="006A467B">
        <w:t xml:space="preserve">vyzýva </w:t>
      </w:r>
      <w:r w:rsidRPr="006A467B">
        <w:rPr>
          <w:rStyle w:val="s2"/>
          <w:color w:val="000000"/>
        </w:rPr>
        <w:t>členské štáty, aby určili prístavy, ktoré môžu manipulovať so sankcionovanými plavidlami prepravujúcimi ropu a LNG a bez náhrady zadržať nezákonný náklad;</w:t>
      </w:r>
    </w:p>
    <w:p w:rsidR="00A147AC" w:rsidRPr="006A467B" w:rsidRDefault="00A147AC" w:rsidP="00A147AC">
      <w:pPr>
        <w:pStyle w:val="NormalHanging12a"/>
      </w:pPr>
      <w:r w:rsidRPr="006A467B">
        <w:t>15.</w:t>
      </w:r>
      <w:r w:rsidRPr="006A467B">
        <w:tab/>
        <w:t xml:space="preserve">zdôrazňuje, že vplyv existujúcich sankcií a finančnej a vojenskej podpory Ukrajine bude naďalej oslabený, ak bude EÚ naďalej dovážať ruské fosílne palivá; vyzýva preto EÚ a jej členské štáty, aby zakázali akýkoľvek dovoz ruských fosílnych palív vrátane LNG; vyzýva EÚ, aby zaviedla požiadavku, aby boli plavidlá vyvážajúce ruský LNG </w:t>
      </w:r>
      <w:r w:rsidRPr="006A467B">
        <w:lastRenderedPageBreak/>
        <w:t xml:space="preserve">zaradené na sankčný zoznam EÚ, čím sa im odoprie prístup do prístavov a k námorným službám EÚ; vyzýva EÚ a jej členské štáty, aby zakázali dovoz ruských jadrových produktov, a nalieha na členské štáty EÚ, aby neuzatvárali žiadne nové dohody so spoločnosťou </w:t>
      </w:r>
      <w:proofErr w:type="spellStart"/>
      <w:r w:rsidRPr="006A467B">
        <w:t>Rosatom</w:t>
      </w:r>
      <w:proofErr w:type="spellEnd"/>
      <w:r w:rsidRPr="006A467B">
        <w:t xml:space="preserve"> ani s jej vedením či dcérskymi spoločnosťami;</w:t>
      </w:r>
    </w:p>
    <w:p w:rsidR="00A147AC" w:rsidRPr="006A467B" w:rsidRDefault="00A147AC" w:rsidP="00A147AC">
      <w:pPr>
        <w:pStyle w:val="NormalHanging12a"/>
      </w:pPr>
      <w:r w:rsidRPr="006A467B">
        <w:t>16.</w:t>
      </w:r>
      <w:r w:rsidRPr="006A467B">
        <w:tab/>
        <w:t>vyzýva krajiny G7, aby účinnejšie presadzovali cenový strop uvalený na ruskú ropu prepravovanú po mori, podstatne znížili cenový strop pre ropu a aby účinne eliminovali medzery využívané Ruskom na prebaľovanie a predaj svojej ropy a ropných produktov za trhové ceny; vyzýva EÚ, jej členské štáty a partnerov zo skupiny G7, aby posilnili spoluprácu s obchodnými partnermi s cieľom rýchlejšie a účinnejšie identifikovať nákupcov ruskej ropy a zastaviť nákup ropných produktov od nich; žiada, aby boli tieto subjekty zaradené do zoznamu cielených sankcií, a zároveň požaduje úplný zákaz spätne vyvezených ruských výrobkov z rafinovanej ropy; požaduje harmonizované testovanie pôvodu fosílnych palív, skvapalneného zemného plynu a rafinovaných fosílnych palív s cieľom zabrániť spätnému vývozu ruskej energie do EÚ; vyzýva členské štáty, aby dôkladne preskúmali, či spoločnosti dodržiavajú vývozné obmedzenia na tovar uvedený v sankčnom zozname, a aby ukladali odrádzajúce sankcie;</w:t>
      </w:r>
    </w:p>
    <w:p w:rsidR="00A147AC" w:rsidRPr="006A467B" w:rsidRDefault="00A147AC" w:rsidP="00A147AC">
      <w:pPr>
        <w:pStyle w:val="NormalHanging12a"/>
      </w:pPr>
      <w:r w:rsidRPr="006A467B">
        <w:t>17.</w:t>
      </w:r>
      <w:r w:rsidRPr="006A467B">
        <w:tab/>
        <w:t>dôrazne odporúča, aby EÚ a jej partneri G7 výrazne rozšírili svoje zoznamy sankcií tak, aby zahŕňali ďalšie plavidlá, ktoré obchádzajú cenové stropy a pôsobia bez toho, aby dodržiavali medzinárodné normy;</w:t>
      </w:r>
      <w:r w:rsidRPr="006A467B">
        <w:rPr>
          <w:rStyle w:val="Aucun"/>
          <w:color w:val="000000"/>
        </w:rPr>
        <w:t xml:space="preserve"> vyzýva EÚ a partnerské krajiny, </w:t>
      </w:r>
      <w:r w:rsidRPr="006A467B">
        <w:t>aby pri uplatňovaní sankčného rámca dôsledne overovali primeranosť poistenia pokrývajúceho úniky ropy, napríklad pri poskytovaní alebo obnovovaní registrácií; požaduje prísnejšie požiadavky náležitej starostlivosti na získanie poistenia pre plavidlá, ako je dôkaz o kúpnych zmluvách spĺňajúcich cenový strop alebo spoľahlivé, overené bankové výpisy atď.;</w:t>
      </w:r>
    </w:p>
    <w:p w:rsidR="00A147AC" w:rsidRPr="006A467B" w:rsidRDefault="00A147AC" w:rsidP="00A147AC">
      <w:pPr>
        <w:pStyle w:val="NormalHanging12a"/>
      </w:pPr>
      <w:r w:rsidRPr="006A467B">
        <w:t>18.</w:t>
      </w:r>
      <w:r w:rsidRPr="006A467B">
        <w:tab/>
        <w:t>vyzýva Komisiu a členské štáty, aby zabezpečili dostatočnú pripravenosť na ekologické katastrofy, najmä v prípade veľkých ropných škvŕn, a aby zabezpečili, aby orgány členských štátov úzko spolupracovali, a to tak navzájom, ako aj s Európskou námornou bezpečnostnou agentúrou, pri odstraňovaní následkov rozsiahlych cezhraničných katastrof znečistenia, a to aj tým, že budú aj naďalej koordinovať inventáre zariadení a materiálu potrebného na čistiace operácie; upozorňuje, že takéto nehody povedú k závažnému dlhodobému zhoršovaniu životného prostredia, čo by mohlo výrazne postihnúť cestovný ruch, rybolov a námorné odvetvia v členských štátoch susediacich s postihnutými morami; vyzýva Komisiu, aby poskytla dodatočné financovanie na zabezpečenie dostatočných plavidiel Európskej námornej bezpečnostnej agentúre na operácie čistenia ropných škvŕn;</w:t>
      </w:r>
    </w:p>
    <w:p w:rsidR="00A147AC" w:rsidRPr="006A467B" w:rsidRDefault="00A147AC" w:rsidP="00A147AC">
      <w:pPr>
        <w:pStyle w:val="NormalHanging12a"/>
      </w:pPr>
      <w:r w:rsidRPr="006A467B">
        <w:t>19.</w:t>
      </w:r>
      <w:r w:rsidRPr="006A467B">
        <w:tab/>
        <w:t>vyzýva Komisiu, aby zabezpečila účinné vykonávanie a presadzovanie smernice Európskeho parlamentu a Rady 2009/123/ES, ktorou sa mení a dopĺňa smernica 2005/35/ES o znečisťovaní mora z lodí a o zavedení sankcií vrátane trestných sankcií za trestné činy v oblasti znečistenia</w:t>
      </w:r>
      <w:r w:rsidRPr="006A467B">
        <w:rPr>
          <w:rStyle w:val="FootnoteReference"/>
        </w:rPr>
        <w:footnoteReference w:id="2"/>
      </w:r>
      <w:r w:rsidRPr="006A467B">
        <w:t xml:space="preserve">; vyzýva členské štáty, aby urýchlene transponovali a vykonávali smernicu (EÚ) 2024/1226 o vymedzení trestných činov a sankcií v </w:t>
      </w:r>
      <w:r w:rsidRPr="006A467B">
        <w:lastRenderedPageBreak/>
        <w:t>súvislosti s porušením reštriktívnych opatrení Únie</w:t>
      </w:r>
      <w:r w:rsidRPr="006A467B">
        <w:rPr>
          <w:rStyle w:val="FootnoteReference"/>
        </w:rPr>
        <w:footnoteReference w:id="3"/>
      </w:r>
      <w:r w:rsidRPr="006A467B">
        <w:t xml:space="preserve"> a aby zabezpečili primerané finančné, technické a ľudské zdroje na riadne presadzovanie reštriktívnych opatrení EÚ;</w:t>
      </w:r>
    </w:p>
    <w:p w:rsidR="00A147AC" w:rsidRPr="006A467B" w:rsidRDefault="00A147AC" w:rsidP="00A147AC">
      <w:pPr>
        <w:pStyle w:val="NormalHanging12a"/>
      </w:pPr>
      <w:r w:rsidRPr="006A467B">
        <w:t>20.</w:t>
      </w:r>
      <w:r w:rsidRPr="006A467B">
        <w:tab/>
        <w:t>nabáda členské štáty a Komisiu, aby spolupracovali s medzinárodnými partnermi a zainteresovanými stranami, a to aj v odvetviach lodnej dopravy, energetiky, poisťovníctva a financií, s cieľom identifikovať najlepšie postupy na odhaľovanie a riešenie problému obchádzania sankcií a zmierňovanie vplyvov na životné prostredie vo vodách EÚ;</w:t>
      </w:r>
    </w:p>
    <w:p w:rsidR="00A147AC" w:rsidRPr="006A467B" w:rsidRDefault="00A147AC" w:rsidP="00A147AC">
      <w:pPr>
        <w:pStyle w:val="NormalHanging12a"/>
      </w:pPr>
      <w:r w:rsidRPr="006A467B">
        <w:t>21.</w:t>
      </w:r>
      <w:r w:rsidRPr="006A467B">
        <w:tab/>
        <w:t>vyzýva Komisiu, aby vypracovala zrozumiteľnejšie usmernenia a prísnejšie normy náležitej starostlivosti pre spoločnosti a finančné inštitúcie EÚ s cieľom zabrániť neúmyselným interakciám so subjektmi spojenými s „tieňovými flotilami“;</w:t>
      </w:r>
    </w:p>
    <w:p w:rsidR="00A147AC" w:rsidRPr="006A467B" w:rsidRDefault="00A147AC" w:rsidP="00A147AC">
      <w:pPr>
        <w:pStyle w:val="NormalHanging12a"/>
      </w:pPr>
      <w:r w:rsidRPr="006A467B">
        <w:t>22.</w:t>
      </w:r>
      <w:r w:rsidRPr="006A467B">
        <w:tab/>
        <w:t>vyzýva na podporu práce vyslanca pre sankcie EÚ, pokiaľ ide o boj proti ich obchádzaniu, s cieľom zabrániť systematickému spätnému vývozu tovaru EÚ, na ktorý boli uvalené sankcie, do Ruska, ktorý vážne oslabuje účinnosť sankcií EÚ a bráni medzinárodnému úsiliu o ukončenie vojny; žiada v tejto súvislosti všetky kandidátske a potenciálne kandidátske krajiny na pristúpenie k EÚ, aby prísne dodržiavali sankcie EÚ v reakcii na útočnú vojnu Ruska proti Ukrajine ako znak pripravenosti prijať záväzky vyplývajúce z členstva v EÚ; opakuje svoju výzvu Rade, aby rozšírila právomoci Európskej prokuratúry s cieľom riešiť trestný čin porušovania reštriktívnych opatrení EÚ; vyzýva EÚ a členské štáty, aby na úrovni EÚ sprísnili a centralizovali dohľad nad vykonávaním sankcií a aby vyvinuli mechanizmus prevencie a monitorovania vyhýbania sa sankciám;</w:t>
      </w:r>
    </w:p>
    <w:p w:rsidR="00A147AC" w:rsidRPr="006A467B" w:rsidRDefault="00A147AC" w:rsidP="00A147AC">
      <w:pPr>
        <w:pStyle w:val="NormalHanging12a"/>
      </w:pPr>
      <w:r w:rsidRPr="006A467B">
        <w:t>23.</w:t>
      </w:r>
      <w:r w:rsidRPr="006A467B">
        <w:tab/>
        <w:t>podporuje globálne normy transparentnosti pri registrácii plavidiel s cieľom obmedziť využívanie schránkových spoločností a lacných vlajok v záujme zvýšenia transparentnosti vlastníctva plavidiel;</w:t>
      </w:r>
    </w:p>
    <w:p w:rsidR="00A147AC" w:rsidRPr="006A467B" w:rsidRDefault="00A147AC" w:rsidP="00A147AC">
      <w:pPr>
        <w:pStyle w:val="NormalHanging12a"/>
      </w:pPr>
      <w:r w:rsidRPr="006A467B">
        <w:t>24.</w:t>
      </w:r>
      <w:r w:rsidRPr="006A467B">
        <w:tab/>
        <w:t>vyzýva Komisiu, aby preskúmala prijatie podobných nástrojov obchodnej politiky, aké využívajú Spojené štáty, zameraných na subjekty, ktoré vďaka sankčným režimom získavajú trhové výhody a v dôsledku toho môžu nečestne pôsobiť na trhu EÚ;</w:t>
      </w:r>
    </w:p>
    <w:p w:rsidR="00A147AC" w:rsidRPr="006A467B" w:rsidRDefault="00A147AC" w:rsidP="00A147AC">
      <w:pPr>
        <w:pStyle w:val="NormalHanging12a"/>
      </w:pPr>
      <w:r w:rsidRPr="006A467B">
        <w:t>25.</w:t>
      </w:r>
      <w:r w:rsidRPr="006A467B">
        <w:tab/>
        <w:t>vyjadruje znepokojenie v súvislosti so správami o prebytkoch vo výrobe ruskej ropy, ktoré omnoho presahujú kvótu pre Rusko stanovenú Organizáciou krajín vyvážajúcich ropu (OPEC+), umožňujú ďalej obchádzať stanovený cenový strop a Rusku prinášajú dodatočné zisky; vyzýva EÚ a jej členské štáty, aby situáciu pozorne sledovali a v spolupráci s medzinárodnými partnermi EÚ prijali náležité opatrenia;</w:t>
      </w:r>
    </w:p>
    <w:p w:rsidR="003D255B" w:rsidRPr="006A467B" w:rsidRDefault="00A147AC" w:rsidP="003D255B">
      <w:pPr>
        <w:pStyle w:val="NormalHanging12a"/>
      </w:pPr>
      <w:r w:rsidRPr="006A467B">
        <w:t>26.</w:t>
      </w:r>
      <w:r w:rsidRPr="006A467B">
        <w:tab/>
        <w:t xml:space="preserve">poveruje svoju predsedníčku, aby postúpila toto uznesenie Rade, Komisii, podpredsedovi Komisie/vysokému predstaviteľovi Únie pre zahraničné veci a bezpečnostnú politiku, prezidentovi, vláde a </w:t>
      </w:r>
      <w:proofErr w:type="spellStart"/>
      <w:r w:rsidRPr="006A467B">
        <w:t>Verchovnej</w:t>
      </w:r>
      <w:proofErr w:type="spellEnd"/>
      <w:r w:rsidRPr="006A467B">
        <w:t xml:space="preserve"> rade Ukrajiny, Rade Európy, Organizácii pre bezpečnosť a spoluprácu v Európe, Medzinárodnej námornej organizácii a ruským orgánom.</w:t>
      </w:r>
    </w:p>
    <w:sectPr w:rsidR="003D255B" w:rsidRPr="006A467B" w:rsidSect="003D25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4434" w:rsidRPr="003D255B" w:rsidRDefault="00694434">
      <w:r w:rsidRPr="003D255B">
        <w:separator/>
      </w:r>
    </w:p>
  </w:endnote>
  <w:endnote w:type="continuationSeparator" w:id="0">
    <w:p w:rsidR="00694434" w:rsidRPr="003D255B" w:rsidRDefault="00694434">
      <w:r w:rsidRPr="003D255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255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255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255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4434" w:rsidRPr="003D255B" w:rsidRDefault="00694434">
      <w:r w:rsidRPr="003D255B">
        <w:separator/>
      </w:r>
    </w:p>
  </w:footnote>
  <w:footnote w:type="continuationSeparator" w:id="0">
    <w:p w:rsidR="00694434" w:rsidRPr="003D255B" w:rsidRDefault="00694434">
      <w:r w:rsidRPr="003D255B">
        <w:continuationSeparator/>
      </w:r>
    </w:p>
  </w:footnote>
  <w:footnote w:id="1">
    <w:p w:rsidR="00A147AC" w:rsidRPr="003D255B" w:rsidRDefault="00A147AC" w:rsidP="003D255B">
      <w:pPr>
        <w:pStyle w:val="FootnoteText"/>
        <w:ind w:left="567" w:hanging="567"/>
        <w:rPr>
          <w:sz w:val="24"/>
          <w:lang w:val="sk-SK"/>
        </w:rPr>
      </w:pPr>
      <w:r w:rsidRPr="003D255B">
        <w:rPr>
          <w:rStyle w:val="FootnoteReference"/>
          <w:sz w:val="24"/>
          <w:lang w:val="sk-SK"/>
        </w:rPr>
        <w:footnoteRef/>
      </w:r>
      <w:r w:rsidR="003D255B" w:rsidRPr="003D255B">
        <w:rPr>
          <w:sz w:val="24"/>
          <w:lang w:val="sk-SK"/>
        </w:rPr>
        <w:t xml:space="preserve"> </w:t>
      </w:r>
      <w:r w:rsidR="003D255B" w:rsidRPr="003D255B">
        <w:rPr>
          <w:sz w:val="24"/>
          <w:lang w:val="sk-SK"/>
        </w:rPr>
        <w:tab/>
      </w:r>
      <w:r w:rsidRPr="003D255B">
        <w:rPr>
          <w:sz w:val="24"/>
          <w:lang w:val="sk-SK"/>
        </w:rPr>
        <w:t>Smernica Európskeho parlamentu a Rady 2009/20/ES z 23. apríla 2009 o poistení vlastníkov lodí, ktoré sa vzťahuje na námorné pohľadávky</w:t>
      </w:r>
      <w:r w:rsidR="005F2478">
        <w:rPr>
          <w:sz w:val="24"/>
          <w:lang w:val="sk-SK"/>
        </w:rPr>
        <w:t>,</w:t>
      </w:r>
      <w:r w:rsidRPr="003D255B">
        <w:rPr>
          <w:sz w:val="24"/>
          <w:lang w:val="sk-SK"/>
        </w:rPr>
        <w:t xml:space="preserve"> Ú. v. EÚ L 131, 28.5.2009, s. 128</w:t>
      </w:r>
      <w:r w:rsidR="005F2478">
        <w:rPr>
          <w:sz w:val="24"/>
          <w:lang w:val="sk-SK"/>
        </w:rPr>
        <w:t>,</w:t>
      </w:r>
      <w:r w:rsidRPr="003D255B">
        <w:rPr>
          <w:sz w:val="24"/>
          <w:lang w:val="sk-SK"/>
        </w:rPr>
        <w:t xml:space="preserve"> ELI: </w:t>
      </w:r>
      <w:hyperlink r:id="rId1" w:history="1">
        <w:r w:rsidRPr="003D255B">
          <w:rPr>
            <w:rStyle w:val="Hyperlink"/>
            <w:sz w:val="24"/>
            <w:lang w:val="sk-SK"/>
          </w:rPr>
          <w:t>http://data.europa.eu/eli/dir/2009/20/oj</w:t>
        </w:r>
      </w:hyperlink>
      <w:r w:rsidRPr="003D255B">
        <w:rPr>
          <w:sz w:val="24"/>
          <w:lang w:val="sk-SK"/>
        </w:rPr>
        <w:t>.</w:t>
      </w:r>
    </w:p>
  </w:footnote>
  <w:footnote w:id="2">
    <w:p w:rsidR="00A147AC" w:rsidRPr="003D255B" w:rsidRDefault="00A147AC" w:rsidP="003D255B">
      <w:pPr>
        <w:pStyle w:val="FootnoteText"/>
        <w:ind w:left="567" w:hanging="567"/>
        <w:rPr>
          <w:sz w:val="24"/>
          <w:lang w:val="sk-SK"/>
        </w:rPr>
      </w:pPr>
      <w:r w:rsidRPr="003D255B">
        <w:rPr>
          <w:rStyle w:val="FootnoteReference"/>
          <w:sz w:val="24"/>
          <w:lang w:val="sk-SK"/>
        </w:rPr>
        <w:footnoteRef/>
      </w:r>
      <w:r w:rsidR="003D255B" w:rsidRPr="003D255B">
        <w:rPr>
          <w:sz w:val="24"/>
          <w:lang w:val="sk-SK"/>
        </w:rPr>
        <w:t xml:space="preserve"> </w:t>
      </w:r>
      <w:r w:rsidR="003D255B" w:rsidRPr="003D255B">
        <w:rPr>
          <w:sz w:val="24"/>
          <w:lang w:val="sk-SK"/>
        </w:rPr>
        <w:tab/>
      </w:r>
      <w:r w:rsidRPr="003D255B">
        <w:rPr>
          <w:sz w:val="24"/>
          <w:lang w:val="sk-SK"/>
        </w:rPr>
        <w:t>Smernica Európskeho parlamentu a Rady 2009/123/ES z 21. </w:t>
      </w:r>
      <w:r w:rsidRPr="003D255B">
        <w:rPr>
          <w:sz w:val="24"/>
          <w:lang w:val="sk-SK"/>
        </w:rPr>
        <w:t>októbra 2009, ktorou sa mení a dopĺňa smernica 2005/35/ES o znečisťovaní mora z lodí a o zavedení sankcií vrátane trestných sankcií za trestné činy v oblasti znečistenia</w:t>
      </w:r>
      <w:r w:rsidR="005F2478">
        <w:rPr>
          <w:sz w:val="24"/>
          <w:lang w:val="sk-SK"/>
        </w:rPr>
        <w:t>,</w:t>
      </w:r>
      <w:r w:rsidRPr="003D255B">
        <w:rPr>
          <w:sz w:val="24"/>
          <w:lang w:val="sk-SK"/>
        </w:rPr>
        <w:t xml:space="preserve"> Ú. v. EÚ L 280, 27.10.2009, s. 52</w:t>
      </w:r>
      <w:r w:rsidR="005F2478">
        <w:rPr>
          <w:sz w:val="24"/>
          <w:lang w:val="sk-SK"/>
        </w:rPr>
        <w:t>,</w:t>
      </w:r>
      <w:r w:rsidRPr="003D255B">
        <w:rPr>
          <w:sz w:val="24"/>
          <w:lang w:val="sk-SK"/>
        </w:rPr>
        <w:t xml:space="preserve"> </w:t>
      </w:r>
      <w:hyperlink r:id="rId2" w:history="1">
        <w:r w:rsidRPr="003D255B">
          <w:rPr>
            <w:rStyle w:val="Hyperlink"/>
            <w:sz w:val="24"/>
            <w:lang w:val="sk-SK"/>
          </w:rPr>
          <w:t>http://data.europa.eu/eli/dir/2009/123/oj</w:t>
        </w:r>
      </w:hyperlink>
      <w:r w:rsidR="005F2478">
        <w:rPr>
          <w:rStyle w:val="Hyperlink"/>
          <w:sz w:val="24"/>
          <w:lang w:val="sk-SK"/>
        </w:rPr>
        <w:t>.</w:t>
      </w:r>
    </w:p>
  </w:footnote>
  <w:footnote w:id="3">
    <w:p w:rsidR="00A147AC" w:rsidRPr="003D255B" w:rsidRDefault="00A147AC" w:rsidP="003D255B">
      <w:pPr>
        <w:pStyle w:val="FootnoteText"/>
        <w:ind w:left="567" w:hanging="567"/>
        <w:rPr>
          <w:sz w:val="24"/>
          <w:lang w:val="sk-SK"/>
        </w:rPr>
      </w:pPr>
      <w:r w:rsidRPr="003D255B">
        <w:rPr>
          <w:rStyle w:val="FootnoteReference"/>
          <w:sz w:val="24"/>
          <w:lang w:val="sk-SK"/>
        </w:rPr>
        <w:footnoteRef/>
      </w:r>
      <w:r w:rsidR="003D255B" w:rsidRPr="003D255B">
        <w:rPr>
          <w:sz w:val="24"/>
          <w:lang w:val="sk-SK"/>
        </w:rPr>
        <w:t xml:space="preserve"> </w:t>
      </w:r>
      <w:r w:rsidR="003D255B" w:rsidRPr="003D255B">
        <w:rPr>
          <w:sz w:val="24"/>
          <w:lang w:val="sk-SK"/>
        </w:rPr>
        <w:tab/>
      </w:r>
      <w:r w:rsidRPr="003D255B">
        <w:rPr>
          <w:sz w:val="24"/>
          <w:lang w:val="sk-SK"/>
        </w:rPr>
        <w:t xml:space="preserve">Smernica Európskeho parlamentu a Rady (EÚ) 2024/1226 z 24. apríla 2024 o vymedzení trestných činov a sankcií za porušenie reštriktívnych opatrení Únie a zmene smernice (EÚ) 2018/1673, Ú. v. </w:t>
      </w:r>
      <w:r w:rsidRPr="003D255B">
        <w:rPr>
          <w:sz w:val="24"/>
          <w:lang w:val="sk-SK"/>
        </w:rPr>
        <w:t xml:space="preserve">EÚ L, 2024/1226, 29.4.2024, ELI: </w:t>
      </w:r>
      <w:hyperlink r:id="rId3" w:history="1">
        <w:r w:rsidRPr="003D255B">
          <w:rPr>
            <w:rStyle w:val="Hyperlink"/>
            <w:sz w:val="24"/>
            <w:lang w:val="sk-SK"/>
          </w:rPr>
          <w:t>http://data.europa.eu/eli/dir/2024/1226/oj</w:t>
        </w:r>
      </w:hyperlink>
      <w:r w:rsidRPr="003D255B">
        <w:rPr>
          <w:sz w:val="24"/>
          <w:lang w:val="sk-SK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255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255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255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61, 0162, 0163, 0164 a 0166/2024"/>
    <w:docVar w:name="dvlangue" w:val="SK"/>
    <w:docVar w:name="dvnumam" w:val="0"/>
    <w:docVar w:name="dvpe" w:val="764.162"/>
    <w:docVar w:name="dvtitre" w:val="Uznesenie Európskeho parlamentu z xx. novembra 2024 o opatreniach EÚ proti ruským tieňovým flotilám a zabezpečení úplného vykonávania sankcií proti Rusku(2024/2885(RSP))"/>
  </w:docVars>
  <w:rsids>
    <w:rsidRoot w:val="0069443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255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5814"/>
    <w:rsid w:val="005F1B17"/>
    <w:rsid w:val="005F2478"/>
    <w:rsid w:val="006037C0"/>
    <w:rsid w:val="006631B6"/>
    <w:rsid w:val="00680577"/>
    <w:rsid w:val="00693184"/>
    <w:rsid w:val="00694434"/>
    <w:rsid w:val="006A467B"/>
    <w:rsid w:val="006E2A2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47A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045108"/>
  <w15:chartTrackingRefBased/>
  <w15:docId w15:val="{7774B693-65CF-455E-9234-CDFB18443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147AC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A147AC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A147AC"/>
    <w:rPr>
      <w:sz w:val="24"/>
      <w:lang w:val="sk-SK"/>
    </w:rPr>
  </w:style>
  <w:style w:type="character" w:customStyle="1" w:styleId="Aucun">
    <w:name w:val="Aucun"/>
    <w:rsid w:val="00A147AC"/>
  </w:style>
  <w:style w:type="character" w:customStyle="1" w:styleId="NormalHanging12aChar">
    <w:name w:val="NormalHanging12a Char"/>
    <w:basedOn w:val="DefaultParagraphFont"/>
    <w:link w:val="NormalHanging12a"/>
    <w:rsid w:val="00A147AC"/>
    <w:rPr>
      <w:sz w:val="24"/>
      <w:lang w:val="sk-SK"/>
    </w:rPr>
  </w:style>
  <w:style w:type="character" w:customStyle="1" w:styleId="s2">
    <w:name w:val="s2"/>
    <w:basedOn w:val="DefaultParagraphFont"/>
    <w:rsid w:val="00A147AC"/>
  </w:style>
  <w:style w:type="character" w:styleId="Hyperlink">
    <w:name w:val="Hyperlink"/>
    <w:basedOn w:val="DefaultParagraphFont"/>
    <w:rsid w:val="00A147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24/1226/oj" TargetMode="External"/><Relationship Id="rId2" Type="http://schemas.openxmlformats.org/officeDocument/2006/relationships/hyperlink" Target="http://data.europa.eu/eli/dir/2009/123/oj" TargetMode="External"/><Relationship Id="rId1" Type="http://schemas.openxmlformats.org/officeDocument/2006/relationships/hyperlink" Target="http://data.europa.eu/eli/dir/2009/2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37427D-E8BE-499F-8C27-304437D99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3488</Words>
  <Characters>21511</Characters>
  <Application>Microsoft Office Word</Application>
  <DocSecurity>0</DocSecurity>
  <Lines>179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2024-11-14T09:52:00Z</dcterms:created>
  <dcterms:modified xsi:type="dcterms:W3CDTF">2024-11-14T09:52:00Z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B10-0161, 0162, 0163, 0164 a 0166/2024</vt:lpwstr>
  </property>
  <property fmtid="{D5CDD505-2E9C-101B-9397-08002B2CF9AE}" pid="4" name="&lt;Type&gt;">
    <vt:lpwstr>RR</vt:lpwstr>
  </property>
</Properties>
</file>