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7AF8" w14:paraId="483FD491" w14:textId="77777777" w:rsidTr="0010095E">
        <w:trPr>
          <w:trHeight w:hRule="exact" w:val="1418"/>
        </w:trPr>
        <w:tc>
          <w:tcPr>
            <w:tcW w:w="6804" w:type="dxa"/>
            <w:shd w:val="clear" w:color="auto" w:fill="auto"/>
            <w:vAlign w:val="center"/>
          </w:tcPr>
          <w:p w14:paraId="4742CF00" w14:textId="77777777" w:rsidR="00751A4A" w:rsidRPr="00147AF8" w:rsidRDefault="007D66AE" w:rsidP="0010095E">
            <w:pPr>
              <w:pStyle w:val="EPName"/>
            </w:pPr>
            <w:r w:rsidRPr="00147AF8">
              <w:t>Europaparlamentet</w:t>
            </w:r>
          </w:p>
          <w:p w14:paraId="690C0352" w14:textId="77777777" w:rsidR="00751A4A" w:rsidRPr="00147AF8" w:rsidRDefault="005F1B17" w:rsidP="005F1B17">
            <w:pPr>
              <w:pStyle w:val="EPTerm"/>
              <w:rPr>
                <w:rStyle w:val="HideTWBExt"/>
                <w:noProof w:val="0"/>
                <w:vanish w:val="0"/>
                <w:color w:val="auto"/>
              </w:rPr>
            </w:pPr>
            <w:r w:rsidRPr="00147AF8">
              <w:t>2024</w:t>
            </w:r>
            <w:r w:rsidR="00817416" w:rsidRPr="00147AF8">
              <w:t>-202</w:t>
            </w:r>
            <w:r w:rsidRPr="00147AF8">
              <w:t>9</w:t>
            </w:r>
          </w:p>
        </w:tc>
        <w:tc>
          <w:tcPr>
            <w:tcW w:w="2268" w:type="dxa"/>
            <w:shd w:val="clear" w:color="auto" w:fill="auto"/>
          </w:tcPr>
          <w:p w14:paraId="0CE85635" w14:textId="77777777" w:rsidR="00751A4A" w:rsidRPr="00147AF8" w:rsidRDefault="00187494" w:rsidP="0010095E">
            <w:pPr>
              <w:pStyle w:val="EPLogo"/>
            </w:pPr>
            <w:r w:rsidRPr="00147AF8">
              <w:rPr>
                <w:noProof/>
                <w:lang w:val="en-GB"/>
              </w:rPr>
              <w:drawing>
                <wp:inline distT="0" distB="0" distL="0" distR="0" wp14:anchorId="498E70E9" wp14:editId="788E66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AAA0C" w14:textId="77777777" w:rsidR="00D058B8" w:rsidRPr="00147AF8" w:rsidRDefault="00D058B8" w:rsidP="004C5D52">
      <w:pPr>
        <w:pStyle w:val="LineTop"/>
      </w:pPr>
    </w:p>
    <w:p w14:paraId="20EA735D" w14:textId="77777777" w:rsidR="00680577" w:rsidRPr="00147AF8" w:rsidRDefault="007D66AE" w:rsidP="00680577">
      <w:pPr>
        <w:pStyle w:val="EPBodyTA1"/>
      </w:pPr>
      <w:r w:rsidRPr="00147AF8">
        <w:t>ANTAGNA TEXTER</w:t>
      </w:r>
    </w:p>
    <w:p w14:paraId="5D588AEE" w14:textId="77777777" w:rsidR="00D058B8" w:rsidRPr="00147AF8" w:rsidRDefault="00D058B8" w:rsidP="00D058B8">
      <w:pPr>
        <w:pStyle w:val="LineBottom"/>
      </w:pPr>
    </w:p>
    <w:p w14:paraId="28D6A5A1" w14:textId="59584AFE" w:rsidR="007D66AE" w:rsidRPr="00147AF8" w:rsidRDefault="007D66AE" w:rsidP="007D66AE">
      <w:pPr>
        <w:pStyle w:val="ATHeading1"/>
      </w:pPr>
      <w:bookmarkStart w:id="0" w:name="TANumber"/>
      <w:r w:rsidRPr="00147AF8">
        <w:t>P10_TA(2024)00</w:t>
      </w:r>
      <w:bookmarkEnd w:id="0"/>
      <w:r w:rsidR="00705100">
        <w:t>36</w:t>
      </w:r>
    </w:p>
    <w:p w14:paraId="4D9CCACF" w14:textId="77777777" w:rsidR="007D66AE" w:rsidRPr="00147AF8" w:rsidRDefault="007D66AE" w:rsidP="007D66AE">
      <w:pPr>
        <w:pStyle w:val="ATHeading2"/>
      </w:pPr>
      <w:bookmarkStart w:id="1" w:name="title"/>
      <w:r w:rsidRPr="00147AF8">
        <w:t>EU:s åtgärder mot Ryssla</w:t>
      </w:r>
      <w:bookmarkStart w:id="2" w:name="_GoBack"/>
      <w:bookmarkEnd w:id="2"/>
      <w:r w:rsidRPr="00147AF8">
        <w:t>nds skuggflottor och säkerställande av ett fullständigt verkställande av sanktionerna mot Ryssland</w:t>
      </w:r>
      <w:bookmarkEnd w:id="1"/>
    </w:p>
    <w:p w14:paraId="131D3F51" w14:textId="77777777" w:rsidR="007D66AE" w:rsidRPr="00147AF8" w:rsidRDefault="007D66AE" w:rsidP="007D66AE">
      <w:pPr>
        <w:rPr>
          <w:i/>
          <w:vanish/>
        </w:rPr>
      </w:pPr>
      <w:r w:rsidRPr="00147AF8">
        <w:rPr>
          <w:i/>
        </w:rPr>
        <w:fldChar w:fldCharType="begin"/>
      </w:r>
      <w:r w:rsidRPr="00147AF8">
        <w:rPr>
          <w:i/>
        </w:rPr>
        <w:instrText xml:space="preserve"> TC"(</w:instrText>
      </w:r>
      <w:bookmarkStart w:id="3" w:name="DocNumber"/>
      <w:r w:rsidRPr="00147AF8">
        <w:rPr>
          <w:i/>
        </w:rPr>
        <w:instrText>B10-0161</w:instrText>
      </w:r>
      <w:r w:rsidR="004A0770">
        <w:rPr>
          <w:i/>
        </w:rPr>
        <w:instrText>, 0162, 0163, 0164 och 0166</w:instrText>
      </w:r>
      <w:r w:rsidRPr="00147AF8">
        <w:rPr>
          <w:i/>
        </w:rPr>
        <w:instrText>/2024</w:instrText>
      </w:r>
      <w:bookmarkEnd w:id="3"/>
      <w:r w:rsidRPr="00147AF8">
        <w:rPr>
          <w:i/>
        </w:rPr>
        <w:instrText xml:space="preserve">)"\l3 \n&gt; \* MERGEFORMAT </w:instrText>
      </w:r>
      <w:r w:rsidRPr="00147AF8">
        <w:rPr>
          <w:i/>
        </w:rPr>
        <w:fldChar w:fldCharType="end"/>
      </w:r>
    </w:p>
    <w:p w14:paraId="6412D147" w14:textId="77777777" w:rsidR="007D66AE" w:rsidRPr="00147AF8" w:rsidRDefault="007D66AE" w:rsidP="007D66AE">
      <w:pPr>
        <w:rPr>
          <w:vanish/>
        </w:rPr>
      </w:pPr>
      <w:bookmarkStart w:id="4" w:name="PE"/>
      <w:r w:rsidRPr="00147AF8">
        <w:rPr>
          <w:vanish/>
        </w:rPr>
        <w:t>PE764.162</w:t>
      </w:r>
      <w:bookmarkEnd w:id="4"/>
    </w:p>
    <w:p w14:paraId="40F37C3E" w14:textId="022BE5E8" w:rsidR="007D66AE" w:rsidRPr="00147AF8" w:rsidRDefault="007D66AE" w:rsidP="007D66AE">
      <w:pPr>
        <w:pStyle w:val="ATHeading3"/>
      </w:pPr>
      <w:bookmarkStart w:id="5" w:name="Sujet"/>
      <w:r w:rsidRPr="00147AF8">
        <w:t xml:space="preserve">Europaparlamentets resolution av den </w:t>
      </w:r>
      <w:r w:rsidR="004A0770">
        <w:t>14</w:t>
      </w:r>
      <w:r w:rsidR="004A0770" w:rsidRPr="00147AF8">
        <w:t xml:space="preserve"> </w:t>
      </w:r>
      <w:r w:rsidR="004A0770">
        <w:t>november</w:t>
      </w:r>
      <w:r w:rsidR="004A0770" w:rsidRPr="00147AF8">
        <w:t xml:space="preserve"> </w:t>
      </w:r>
      <w:r w:rsidRPr="00147AF8">
        <w:t>2024 om EU:s åtgärder mot Rysslands skuggflottor och säkerställande av ett fullständigt verkställande av sanktionerna mot Ryssland</w:t>
      </w:r>
      <w:bookmarkEnd w:id="5"/>
      <w:r w:rsidRPr="00147AF8">
        <w:t xml:space="preserve"> </w:t>
      </w:r>
      <w:bookmarkStart w:id="6" w:name="References"/>
      <w:r w:rsidRPr="00147AF8">
        <w:t>(2024/2885(RSP))</w:t>
      </w:r>
      <w:bookmarkEnd w:id="6"/>
    </w:p>
    <w:p w14:paraId="7E2E145F" w14:textId="77777777" w:rsidR="00840E86" w:rsidRPr="00147AF8" w:rsidRDefault="00840E86" w:rsidP="00840E86">
      <w:pPr>
        <w:pStyle w:val="EPComma"/>
      </w:pPr>
      <w:bookmarkStart w:id="7" w:name="TextBodyBegin"/>
      <w:bookmarkEnd w:id="7"/>
      <w:r w:rsidRPr="00147AF8">
        <w:rPr>
          <w:i/>
        </w:rPr>
        <w:t>Europaparlamentet utfärdar denna resolution</w:t>
      </w:r>
    </w:p>
    <w:p w14:paraId="48D0806A" w14:textId="77777777" w:rsidR="00840E86" w:rsidRPr="00147AF8" w:rsidRDefault="00840E86" w:rsidP="00840E86">
      <w:pPr>
        <w:pStyle w:val="NormalHanging12a"/>
      </w:pPr>
      <w:r w:rsidRPr="00147AF8">
        <w:t>–</w:t>
      </w:r>
      <w:r w:rsidRPr="00147AF8">
        <w:tab/>
        <w:t>med beaktande av sina tidigare resolutioner om Ryssland och Ukraina, särskilt sedan upptrappningen av Rysslands anfallskrig mot Ukraina i februari 2022,</w:t>
      </w:r>
    </w:p>
    <w:p w14:paraId="01DB3EC0" w14:textId="77777777" w:rsidR="00840E86" w:rsidRPr="00147AF8" w:rsidRDefault="00840E86" w:rsidP="00840E86">
      <w:pPr>
        <w:pStyle w:val="NormalHanging12a"/>
      </w:pPr>
      <w:r w:rsidRPr="00147AF8">
        <w:t>–</w:t>
      </w:r>
      <w:r w:rsidRPr="00147AF8">
        <w:tab/>
        <w:t>med beaktande av de 14 på varandra följande sanktionspaket mot Ryssland som EU har antagit sedan februari 2022,</w:t>
      </w:r>
    </w:p>
    <w:p w14:paraId="5302EFDD" w14:textId="77777777" w:rsidR="00840E86" w:rsidRPr="00147AF8" w:rsidRDefault="00840E86" w:rsidP="00840E86">
      <w:pPr>
        <w:pStyle w:val="NormalHanging12a"/>
      </w:pPr>
      <w:r w:rsidRPr="00147AF8">
        <w:t>–</w:t>
      </w:r>
      <w:r w:rsidRPr="00147AF8">
        <w:tab/>
        <w:t>med beaktande av FN-stadgan och Förenta nationernas havsrättskonvention,</w:t>
      </w:r>
    </w:p>
    <w:p w14:paraId="32B8E042" w14:textId="77777777" w:rsidR="00840E86" w:rsidRPr="00147AF8" w:rsidRDefault="00840E86" w:rsidP="00840E86">
      <w:pPr>
        <w:pStyle w:val="NormalHanging12a"/>
      </w:pPr>
      <w:r w:rsidRPr="00147AF8">
        <w:t>–</w:t>
      </w:r>
      <w:r w:rsidRPr="00147AF8">
        <w:tab/>
        <w:t>med beaktande av den internationella konventionen till förhindrande av förorening från fartyg (</w:t>
      </w:r>
      <w:proofErr w:type="spellStart"/>
      <w:r w:rsidRPr="00147AF8">
        <w:t>Marpol</w:t>
      </w:r>
      <w:proofErr w:type="spellEnd"/>
      <w:r w:rsidRPr="00147AF8">
        <w:t>), den internationella konventionen angående normer för sjöfolks utbildning, certifiering och vakthållning, den internationella konventionen om ansvarighet för skada orsakad av förorening genom olja samt andra relevanta konventioner från Internationella sjöfartsorganisationen (IMO),</w:t>
      </w:r>
    </w:p>
    <w:p w14:paraId="79800ED4" w14:textId="77777777" w:rsidR="00840E86" w:rsidRPr="00ED3AC3" w:rsidRDefault="00840E86" w:rsidP="00840E86">
      <w:pPr>
        <w:pStyle w:val="NormalHanging12a"/>
        <w:rPr>
          <w:lang w:val="en-GB"/>
        </w:rPr>
      </w:pPr>
      <w:r w:rsidRPr="00ED3AC3">
        <w:rPr>
          <w:lang w:val="en-GB"/>
        </w:rPr>
        <w:t>–</w:t>
      </w:r>
      <w:r w:rsidRPr="00ED3AC3">
        <w:rPr>
          <w:lang w:val="en-GB"/>
        </w:rPr>
        <w:tab/>
        <w:t xml:space="preserve">med </w:t>
      </w:r>
      <w:proofErr w:type="spellStart"/>
      <w:r w:rsidRPr="00ED3AC3">
        <w:rPr>
          <w:lang w:val="en-GB"/>
        </w:rPr>
        <w:t>beaktande</w:t>
      </w:r>
      <w:proofErr w:type="spellEnd"/>
      <w:r w:rsidRPr="00ED3AC3">
        <w:rPr>
          <w:lang w:val="en-GB"/>
        </w:rPr>
        <w:t xml:space="preserve"> </w:t>
      </w:r>
      <w:proofErr w:type="spellStart"/>
      <w:r w:rsidRPr="00ED3AC3">
        <w:rPr>
          <w:lang w:val="en-GB"/>
        </w:rPr>
        <w:t>av</w:t>
      </w:r>
      <w:proofErr w:type="spellEnd"/>
      <w:r w:rsidRPr="00ED3AC3">
        <w:rPr>
          <w:lang w:val="en-GB"/>
        </w:rPr>
        <w:t xml:space="preserve"> IMO:s resolution A.1192(33), </w:t>
      </w:r>
      <w:r w:rsidRPr="00ED3AC3">
        <w:rPr>
          <w:i/>
          <w:lang w:val="en-GB"/>
        </w:rPr>
        <w:t>Urging member states and all relevant stakeholders to promote actions to prevent illegal operations in the maritime sector by the “dark fleet” or “shadow fleet”</w:t>
      </w:r>
      <w:r w:rsidRPr="00ED3AC3">
        <w:rPr>
          <w:lang w:val="en-GB"/>
        </w:rPr>
        <w:t xml:space="preserve">, </w:t>
      </w:r>
      <w:proofErr w:type="spellStart"/>
      <w:r w:rsidRPr="00ED3AC3">
        <w:rPr>
          <w:lang w:val="en-GB"/>
        </w:rPr>
        <w:t>som</w:t>
      </w:r>
      <w:proofErr w:type="spellEnd"/>
      <w:r w:rsidRPr="00ED3AC3">
        <w:rPr>
          <w:lang w:val="en-GB"/>
        </w:rPr>
        <w:t xml:space="preserve"> </w:t>
      </w:r>
      <w:proofErr w:type="spellStart"/>
      <w:r w:rsidRPr="00ED3AC3">
        <w:rPr>
          <w:lang w:val="en-GB"/>
        </w:rPr>
        <w:t>antogs</w:t>
      </w:r>
      <w:proofErr w:type="spellEnd"/>
      <w:r w:rsidRPr="00ED3AC3">
        <w:rPr>
          <w:lang w:val="en-GB"/>
        </w:rPr>
        <w:t xml:space="preserve"> den 6 </w:t>
      </w:r>
      <w:proofErr w:type="spellStart"/>
      <w:r w:rsidRPr="00ED3AC3">
        <w:rPr>
          <w:lang w:val="en-GB"/>
        </w:rPr>
        <w:t>december</w:t>
      </w:r>
      <w:proofErr w:type="spellEnd"/>
      <w:r w:rsidRPr="00ED3AC3">
        <w:rPr>
          <w:lang w:val="en-GB"/>
        </w:rPr>
        <w:t xml:space="preserve"> 2023,</w:t>
      </w:r>
    </w:p>
    <w:p w14:paraId="40C5C677" w14:textId="77777777" w:rsidR="00840E86" w:rsidRPr="00147AF8" w:rsidRDefault="00840E86" w:rsidP="00840E86">
      <w:pPr>
        <w:pStyle w:val="NormalHanging12a"/>
      </w:pPr>
      <w:r w:rsidRPr="00147AF8">
        <w:t>–</w:t>
      </w:r>
      <w:r w:rsidRPr="00147AF8">
        <w:tab/>
        <w:t>med beaktande av G7-ledarnas uttalande av den 6 december 2023,</w:t>
      </w:r>
    </w:p>
    <w:p w14:paraId="7E5B88FC" w14:textId="77777777" w:rsidR="00840E86" w:rsidRPr="00147AF8" w:rsidRDefault="00840E86" w:rsidP="00840E86">
      <w:pPr>
        <w:pStyle w:val="NormalHanging12a"/>
      </w:pPr>
      <w:r w:rsidRPr="00147AF8">
        <w:t>–</w:t>
      </w:r>
      <w:r w:rsidRPr="00147AF8">
        <w:tab/>
        <w:t>med beaktande av artikel 136.2 och 136.4 i arbetsordningen, och av följande skäl:</w:t>
      </w:r>
    </w:p>
    <w:p w14:paraId="18A32FDF" w14:textId="196AB7DB" w:rsidR="00840E86" w:rsidRPr="00147AF8" w:rsidRDefault="00840E86" w:rsidP="00840E86">
      <w:pPr>
        <w:pStyle w:val="NormalHanging12a"/>
      </w:pPr>
      <w:r w:rsidRPr="00147AF8">
        <w:t>A.</w:t>
      </w:r>
      <w:r w:rsidRPr="00147AF8">
        <w:tab/>
        <w:t xml:space="preserve">Ryssland har fört ett olagligt, oprovocerat och omotiverat fullskaligt anfallskrig mot Ukraina sedan den 24 februari 2022 och fullföljer därmed det som landet inledde 2014 i och med annekteringen av Krim och den därpå följande ockupationen av delar av </w:t>
      </w:r>
      <w:r w:rsidR="003A6229">
        <w:t>regionerna</w:t>
      </w:r>
      <w:r w:rsidR="003A6229" w:rsidRPr="00147AF8">
        <w:t xml:space="preserve"> </w:t>
      </w:r>
      <w:r w:rsidRPr="00147AF8">
        <w:t>Donetsk och Luhansk.</w:t>
      </w:r>
      <w:r w:rsidRPr="00147AF8">
        <w:rPr>
          <w:rStyle w:val="Aucun"/>
          <w:color w:val="000000"/>
        </w:rPr>
        <w:t xml:space="preserve"> EU </w:t>
      </w:r>
      <w:r w:rsidR="003A6229">
        <w:rPr>
          <w:rStyle w:val="Aucun"/>
          <w:color w:val="000000"/>
        </w:rPr>
        <w:t xml:space="preserve">har </w:t>
      </w:r>
      <w:r w:rsidRPr="00147AF8">
        <w:rPr>
          <w:rStyle w:val="Aucun"/>
          <w:color w:val="000000"/>
        </w:rPr>
        <w:t>med kraft fördömt</w:t>
      </w:r>
      <w:r w:rsidR="003A6229">
        <w:rPr>
          <w:rStyle w:val="Aucun"/>
          <w:color w:val="000000"/>
        </w:rPr>
        <w:t xml:space="preserve"> Rysslands anfallskrig mot Ukraina alltsedan</w:t>
      </w:r>
      <w:r w:rsidRPr="00147AF8">
        <w:rPr>
          <w:rStyle w:val="Aucun"/>
          <w:color w:val="000000"/>
        </w:rPr>
        <w:t xml:space="preserve"> det</w:t>
      </w:r>
      <w:r w:rsidR="003A6229">
        <w:rPr>
          <w:rStyle w:val="Aucun"/>
          <w:color w:val="000000"/>
        </w:rPr>
        <w:t xml:space="preserve"> inleddes</w:t>
      </w:r>
      <w:r w:rsidRPr="00147AF8">
        <w:rPr>
          <w:rStyle w:val="Aucun"/>
          <w:color w:val="000000"/>
        </w:rPr>
        <w:t xml:space="preserve"> och </w:t>
      </w:r>
      <w:r w:rsidR="003A6229">
        <w:rPr>
          <w:rStyle w:val="Aucun"/>
          <w:color w:val="000000"/>
        </w:rPr>
        <w:t xml:space="preserve">har </w:t>
      </w:r>
      <w:r w:rsidRPr="00147AF8">
        <w:rPr>
          <w:rStyle w:val="Aucun"/>
          <w:color w:val="000000"/>
        </w:rPr>
        <w:t>uppmanat Ryssland att upphöra med dessa angrepp och respektera Ukrainas territoriella integritet.</w:t>
      </w:r>
    </w:p>
    <w:p w14:paraId="47704F75" w14:textId="3BDF00BE" w:rsidR="00840E86" w:rsidRPr="00147AF8" w:rsidRDefault="00840E86" w:rsidP="00840E86">
      <w:pPr>
        <w:pStyle w:val="NormalHanging12a"/>
      </w:pPr>
      <w:r w:rsidRPr="00147AF8">
        <w:lastRenderedPageBreak/>
        <w:t>B.</w:t>
      </w:r>
      <w:r w:rsidRPr="00147AF8">
        <w:tab/>
        <w:t>Ryssland är en av världens största oljeproducenter. Landet är i hög grad beroende av försäljning av olja för exportinkomster och budgetintäkter</w:t>
      </w:r>
      <w:r w:rsidR="00E90422">
        <w:t>,</w:t>
      </w:r>
      <w:r w:rsidRPr="00147AF8">
        <w:t xml:space="preserve"> och olja är därför en viktig källa för att finansiera dess krig i Ukraina.</w:t>
      </w:r>
    </w:p>
    <w:p w14:paraId="3AA5265A" w14:textId="77777777" w:rsidR="00840E86" w:rsidRPr="00147AF8" w:rsidRDefault="00840E86" w:rsidP="00840E86">
      <w:pPr>
        <w:pStyle w:val="NormalHanging12a"/>
      </w:pPr>
      <w:r w:rsidRPr="00147AF8">
        <w:t>C.</w:t>
      </w:r>
      <w:r w:rsidRPr="00147AF8">
        <w:tab/>
        <w:t>EU och de andra medlemmarna i G7+-gruppens pristakskoalition har fastställt ett pristak för råolja och petroleumprodukter med ryskt ursprung i syfte att upprätthålla den globala försörjningen och samtidigt begränsa de intäkter som Ryssland använder för att finansiera sitt anfallskrig mot Ukraina. Som svar på detta har Ryssland spenderat omkring 9 miljarder euro på att bygga upp sin så kallade skuggflotta. Oljetankfartyg fyllda med rysk olja trafikerar dagligen europeiska farvatten som ett led i Rysslands försök att kringgå EU:s och G7:s sanktioner.</w:t>
      </w:r>
    </w:p>
    <w:p w14:paraId="6CBD2548" w14:textId="03BB8520" w:rsidR="00840E86" w:rsidRPr="00147AF8" w:rsidRDefault="00840E86" w:rsidP="00840E86">
      <w:pPr>
        <w:pStyle w:val="NormalHanging12a"/>
        <w:rPr>
          <w:bCs/>
        </w:rPr>
      </w:pPr>
      <w:r w:rsidRPr="00147AF8">
        <w:t>D.</w:t>
      </w:r>
      <w:r w:rsidRPr="00147AF8">
        <w:tab/>
        <w:t xml:space="preserve">Sedan Rysslands fullskaliga invasion av Ukraina inleddes den 24 februari 2022 har EU infört kraftfulla </w:t>
      </w:r>
      <w:r w:rsidR="00E90422">
        <w:t xml:space="preserve">och aldrig tidigare skådade </w:t>
      </w:r>
      <w:r w:rsidRPr="00147AF8">
        <w:t xml:space="preserve">sanktioner mot Ryssland i syfte att urholka Rysslands ekonomiska, finansiella och militära förmåga att upprätthålla krigsinsatserna. Rådets sjätte sanktionspaket innebär bland annat ett förbud mot inköp, import och överföring sjövägen av råolja och vissa petroleumprodukter från Ryssland till EU. I rådets elfte och tolfte sanktionspaket behandlas de risker för kringgående som skuggflottan medför. I sitt 14:e sanktionspaket mot rysk olja införde rådet en ny åtgärd mot specifika fartyg som bidrar till Rysslands krig mot Ukraina: de omfattas nu av ett förbud mot tillträde till hamnar och ett förbud mot tillhandahållande av tjänster. Hittills har EU fört upp endast 27 fartyg på denna förteckning, däribland tankfartyg som transporterar rysk olja och tillämpar farliga och olagliga sjöfartsmetoder. I oktober 2024 införde den brittiska regeringen sanktioner mot 18 ryska oljetankfartyg och fyra tankfartyg med flytande naturgas. Att </w:t>
      </w:r>
      <w:r w:rsidR="00026EEE">
        <w:t>föra upp</w:t>
      </w:r>
      <w:r w:rsidRPr="00147AF8">
        <w:t xml:space="preserve"> skuggflottans fartyg </w:t>
      </w:r>
      <w:r w:rsidR="00026EEE">
        <w:t xml:space="preserve">på denna förteckning </w:t>
      </w:r>
      <w:r w:rsidRPr="00147AF8">
        <w:t>är det som hittills har haft den största effekten på skuggflottans verksamhet.</w:t>
      </w:r>
    </w:p>
    <w:p w14:paraId="2F4C2C26" w14:textId="4BEED605" w:rsidR="00840E86" w:rsidRPr="00147AF8" w:rsidRDefault="00840E86" w:rsidP="00840E86">
      <w:pPr>
        <w:pStyle w:val="NormalHanging12a"/>
        <w:rPr>
          <w:bCs/>
        </w:rPr>
      </w:pPr>
      <w:r w:rsidRPr="00147AF8">
        <w:t>E.</w:t>
      </w:r>
      <w:r w:rsidRPr="00147AF8">
        <w:tab/>
        <w:t xml:space="preserve">Skuggflottor har redan utnyttjats av fientliga länder som Iran, Venezuela och Nordkorea. Omfattningen och den sofistikerade utformningen av Rysslands verksamhet </w:t>
      </w:r>
      <w:r w:rsidR="00026EEE">
        <w:t>gör den emellertid unik</w:t>
      </w:r>
      <w:r w:rsidRPr="00147AF8">
        <w:t>. Rysslands skuggflotta beräknas nämligen använda omkring 160–200 tankfartyg varje månad för att transportera olja, och den har en uppskattad total flotta på 600 fartyg som spelar en central roll för att upprätthålla den ryska råoljeexporten.</w:t>
      </w:r>
    </w:p>
    <w:p w14:paraId="1846845A" w14:textId="77777777" w:rsidR="00840E86" w:rsidRPr="00147AF8" w:rsidRDefault="00840E86" w:rsidP="00840E86">
      <w:pPr>
        <w:pStyle w:val="NormalHanging12a"/>
      </w:pPr>
      <w:r w:rsidRPr="00147AF8">
        <w:t>F.</w:t>
      </w:r>
      <w:r w:rsidRPr="00147AF8">
        <w:tab/>
        <w:t>Den skuggflotta som Ryssland använder för att kringgå sanktionerna har gjort sanktionssystemet betydligt mindre effektivt och Ryssland har kunnat fortsätta att använda dessa inkomster för att finansiera sitt anfallskrig mot Ukraina. Detta tydliggör behovet av att stärka och bredda den internationella samordningen av sanktionerna.</w:t>
      </w:r>
    </w:p>
    <w:p w14:paraId="64501C4D" w14:textId="77777777" w:rsidR="00840E86" w:rsidRPr="00147AF8" w:rsidRDefault="00840E86" w:rsidP="00840E86">
      <w:pPr>
        <w:pStyle w:val="NormalHanging12a"/>
      </w:pPr>
      <w:r w:rsidRPr="00147AF8">
        <w:t>G.</w:t>
      </w:r>
      <w:r w:rsidRPr="00147AF8">
        <w:tab/>
        <w:t xml:space="preserve">Skuggflottan uppskattas bestå av minst 600 tankfartyg över hela världen. Det rör sig om äldre tankfartyg som ofta saknar försäkring som uppfyller industristandarder och ofta byter namn och flaggregistreringar, vilket innebär att Ryssland kan sälja en stor del av sin olja till ett pris som överstiger pristaket och gör det svårt för regeringar att utkräva skadestånd från tankfartygens ägare för sanering vid utsläpp. Fartygen är i allmänhet olämpliga för trafik och bidrar till den ökande risken för kollisioner till havs på internationella </w:t>
      </w:r>
      <w:proofErr w:type="spellStart"/>
      <w:r w:rsidRPr="00147AF8">
        <w:t>handelsrutter</w:t>
      </w:r>
      <w:proofErr w:type="spellEnd"/>
      <w:r w:rsidRPr="00147AF8">
        <w:t xml:space="preserve">. De utgör därför ett stort miljöhot på grund av den höga risken för oljeutsläpp som skadar marina ekosystem och kustområden, däribland i marina skyddsområden med särskilt känsliga vilda djur och växter, där oljeutsläpp skulle få katastrofala konsekvenser. Erfarenhet av tidigare oljeutsläpp från tankfartyg visar att skador på kust- och undervattensekosystem och på </w:t>
      </w:r>
      <w:proofErr w:type="spellStart"/>
      <w:r w:rsidRPr="00147AF8">
        <w:t>ytlevande</w:t>
      </w:r>
      <w:proofErr w:type="spellEnd"/>
      <w:r w:rsidRPr="00147AF8">
        <w:t xml:space="preserve"> djur och havsfåglar kan bestå i årtionden. En utvidgning av Europeiska sjösäkerhetsbyråns </w:t>
      </w:r>
      <w:r w:rsidRPr="00147AF8">
        <w:lastRenderedPageBreak/>
        <w:t>(</w:t>
      </w:r>
      <w:proofErr w:type="spellStart"/>
      <w:r w:rsidRPr="00147AF8">
        <w:t>Emsa</w:t>
      </w:r>
      <w:proofErr w:type="spellEnd"/>
      <w:r w:rsidRPr="00147AF8">
        <w:t xml:space="preserve">) flotta med ytterligare insatsfartyg skulle ligga i linje med EU:s åtagande gällande miljöskydd, </w:t>
      </w:r>
      <w:proofErr w:type="spellStart"/>
      <w:r w:rsidRPr="00147AF8">
        <w:t>resiliens</w:t>
      </w:r>
      <w:proofErr w:type="spellEnd"/>
      <w:r w:rsidRPr="00147AF8">
        <w:t xml:space="preserve"> i enlighet med den europeiska gröna given och målen för EU:s civilskyddsmekanism om att öka kapaciteten för snabba insatser och katastrofberedskap.</w:t>
      </w:r>
    </w:p>
    <w:p w14:paraId="705AAB3C" w14:textId="24955CE7" w:rsidR="00840E86" w:rsidRPr="00147AF8" w:rsidRDefault="00840E86" w:rsidP="00840E86">
      <w:pPr>
        <w:pStyle w:val="NormalHanging12a"/>
      </w:pPr>
      <w:r w:rsidRPr="00147AF8">
        <w:t>H.</w:t>
      </w:r>
      <w:r w:rsidRPr="00147AF8">
        <w:tab/>
        <w:t xml:space="preserve">De ryska skuggtankfartygen överför regelbundet rysk råolja och ryska oljeprodukter mellan fartyg i territorialvatten, bland annat i Medelhavet. De överför och blandar då rysk olja mellan fartyg utan att gå in i någon hamn, i syfte att dölja oljans ursprung. Att göra detta så nära kusten medför stora risker för miljöskador. </w:t>
      </w:r>
      <w:r w:rsidR="00026EEE">
        <w:t>Fartygen</w:t>
      </w:r>
      <w:r w:rsidR="00026EEE" w:rsidRPr="00147AF8">
        <w:t xml:space="preserve">s </w:t>
      </w:r>
      <w:r w:rsidRPr="00147AF8">
        <w:t xml:space="preserve">transpondrar för det satellitbaserade automatiska identifieringssystemet (AIS) stängs ofta av för att de ska undgå övervakning och officiella inspektioner. Europas kustländer skulle drabbas särskilt hårt. Vid eventuella olyckor med oljeutsläpp från skuggflottans fartyg kan kuststater och deras skattebetalare behöva stå för miljardtals euro i saneringskostnader, eftersom det ofta inte går att spåra fartygens ägare. Oljeutsläpp kan också medföra stora ekonomiska förluster, bland annat till följd av minskad turism och fiskeverksamhet. Sådana utsläpp utgör allvarliga hot mot vattenkvaliteten och </w:t>
      </w:r>
      <w:r w:rsidR="00122D3F">
        <w:t xml:space="preserve">mot </w:t>
      </w:r>
      <w:r w:rsidRPr="00147AF8">
        <w:t>de vilda djuren och växterna i området eftersom de skadar marina ekosystem, förorenar konsumentprodukter såsom skaldjur och därmed utgör ett hot mot människors hälsa, orsakar ytterligare föroreningar och stör fiskarnas fortplantning.</w:t>
      </w:r>
    </w:p>
    <w:p w14:paraId="616800E6" w14:textId="1119D0A7" w:rsidR="00840E86" w:rsidRPr="00147AF8" w:rsidRDefault="00840E86" w:rsidP="00840E86">
      <w:pPr>
        <w:pStyle w:val="NormalHanging12a"/>
      </w:pPr>
      <w:r w:rsidRPr="00147AF8">
        <w:t>I.</w:t>
      </w:r>
      <w:r w:rsidRPr="00147AF8">
        <w:tab/>
        <w:t xml:space="preserve">Avsiktliga utsläpp av spillolja överbord är olagliga enligt </w:t>
      </w:r>
      <w:proofErr w:type="spellStart"/>
      <w:r w:rsidRPr="00147AF8">
        <w:t>Marpol</w:t>
      </w:r>
      <w:proofErr w:type="spellEnd"/>
      <w:r w:rsidRPr="00147AF8">
        <w:t xml:space="preserve">, ett internationellt fördrag som syftar till att begränsa föroreningarna från sjöfarten. Ryssland har undertecknat </w:t>
      </w:r>
      <w:proofErr w:type="spellStart"/>
      <w:r w:rsidRPr="00147AF8">
        <w:t>Marpol</w:t>
      </w:r>
      <w:proofErr w:type="spellEnd"/>
      <w:r w:rsidRPr="00147AF8">
        <w:t xml:space="preserve">. Det finns bevis för att överträdelser av </w:t>
      </w:r>
      <w:proofErr w:type="spellStart"/>
      <w:r w:rsidRPr="00147AF8">
        <w:t>Marpol</w:t>
      </w:r>
      <w:proofErr w:type="spellEnd"/>
      <w:r w:rsidRPr="00147AF8">
        <w:t xml:space="preserve"> har skett. Att belägga enskilda fartyg med sanktioner har visat sig vara effektivt, eftersom fartyg som tidigare har svartlistats har fått försämrade möjligheter att handla med olja </w:t>
      </w:r>
      <w:r w:rsidR="00122D3F">
        <w:t>sedan</w:t>
      </w:r>
      <w:r w:rsidRPr="00147AF8">
        <w:t xml:space="preserve"> de belagts med sanktioner.</w:t>
      </w:r>
    </w:p>
    <w:p w14:paraId="6DF76B2B" w14:textId="77777777" w:rsidR="00840E86" w:rsidRPr="00147AF8" w:rsidRDefault="00840E86" w:rsidP="00840E86">
      <w:pPr>
        <w:pStyle w:val="NormalHanging12a"/>
        <w:rPr>
          <w:bCs/>
        </w:rPr>
      </w:pPr>
      <w:r w:rsidRPr="00147AF8">
        <w:t>J.</w:t>
      </w:r>
      <w:r w:rsidRPr="00147AF8">
        <w:tab/>
        <w:t>Direktiv 2009/20/EG</w:t>
      </w:r>
      <w:r w:rsidRPr="00147AF8">
        <w:rPr>
          <w:rStyle w:val="FootnoteReference"/>
        </w:rPr>
        <w:footnoteReference w:id="1"/>
      </w:r>
      <w:r w:rsidRPr="00147AF8">
        <w:t xml:space="preserve"> om fartygsägares försäkring för sjörättsliga skadeståndsanspråk är i kraft sedan 2009 och säkerställer att alla fartyg som för en EU-medlemsstats flagg har försäkring och medför försäkringsbevis. Ett av målen med direktiv 2009/20/EG är att säkerställa att undermåliga fartyg tas ur bruk. Enligt den internationella konventionen om ingripande på det fria havet vid olyckor som är ägnade att leda till förorening genom olja får länder ”förebygga, minska eller avvärja allvarlig och överhängande fara som förorening av havsvattnet genom olja eller hot om sådan förorening innebär för deras kuster eller därtill knutna intressen, om föroreningen eller hotet därom är en följd av en sjöolycka eller </w:t>
      </w:r>
      <w:proofErr w:type="spellStart"/>
      <w:r w:rsidRPr="00147AF8">
        <w:t>åtgöranden</w:t>
      </w:r>
      <w:proofErr w:type="spellEnd"/>
      <w:r w:rsidRPr="00147AF8">
        <w:t xml:space="preserve"> i samband med en sådan olycka”.</w:t>
      </w:r>
    </w:p>
    <w:p w14:paraId="47D734E0" w14:textId="768FB029" w:rsidR="00840E86" w:rsidRPr="00147AF8" w:rsidRDefault="00840E86" w:rsidP="00840E86">
      <w:pPr>
        <w:pStyle w:val="NormalHanging12a"/>
        <w:rPr>
          <w:rFonts w:eastAsia="Arial Unicode MS"/>
          <w:u w:color="000000"/>
          <w:bdr w:val="nil"/>
        </w:rPr>
      </w:pPr>
      <w:r w:rsidRPr="00147AF8">
        <w:rPr>
          <w:u w:color="000000"/>
          <w:bdr w:val="nil"/>
        </w:rPr>
        <w:t>K.</w:t>
      </w:r>
      <w:r w:rsidRPr="00147AF8">
        <w:rPr>
          <w:u w:color="000000"/>
          <w:bdr w:val="nil"/>
        </w:rPr>
        <w:tab/>
        <w:t>Färska rapporter från den svenska marinen har framhållit säkerhetsriskerna med skuggflottans verksamhet och eventuell</w:t>
      </w:r>
      <w:r w:rsidR="00122D3F">
        <w:rPr>
          <w:u w:color="000000"/>
          <w:bdr w:val="nil"/>
        </w:rPr>
        <w:t>a</w:t>
      </w:r>
      <w:r w:rsidRPr="00147AF8">
        <w:rPr>
          <w:u w:color="000000"/>
          <w:bdr w:val="nil"/>
        </w:rPr>
        <w:t xml:space="preserve"> användning i hybridinsatser mot europeiska länder.</w:t>
      </w:r>
    </w:p>
    <w:p w14:paraId="261450B7" w14:textId="3F76504F" w:rsidR="00840E86" w:rsidRPr="00147AF8" w:rsidRDefault="00840E86" w:rsidP="00840E86">
      <w:pPr>
        <w:pStyle w:val="NormalHanging12a"/>
        <w:rPr>
          <w:bCs/>
        </w:rPr>
      </w:pPr>
      <w:r w:rsidRPr="00147AF8">
        <w:t>L.</w:t>
      </w:r>
      <w:r w:rsidRPr="00147AF8">
        <w:tab/>
        <w:t xml:space="preserve">Trots förbudet mot att importera oljeprodukter som har raffinerats i Ryssland finns det inget förbud mot </w:t>
      </w:r>
      <w:r w:rsidR="00122D3F">
        <w:t xml:space="preserve">import från </w:t>
      </w:r>
      <w:r w:rsidRPr="00147AF8">
        <w:t xml:space="preserve">raffinaderier i tredjeländer som raffinerar rysk råolja. Skuggflottan levererar rysk råolja till raffinaderier i tredjeländer, och EU och G7-länderna fortsätter att importera oljeprodukter från rysk olja, till exempel från </w:t>
      </w:r>
      <w:r w:rsidRPr="00147AF8">
        <w:lastRenderedPageBreak/>
        <w:t>raffinaderier i Turkiet.</w:t>
      </w:r>
    </w:p>
    <w:p w14:paraId="74694010" w14:textId="77777777" w:rsidR="00840E86" w:rsidRPr="00147AF8" w:rsidRDefault="00840E86" w:rsidP="00840E86">
      <w:pPr>
        <w:pStyle w:val="NormalHanging12a"/>
        <w:rPr>
          <w:bCs/>
        </w:rPr>
      </w:pPr>
      <w:r w:rsidRPr="00147AF8">
        <w:t>M.</w:t>
      </w:r>
      <w:r w:rsidRPr="00147AF8">
        <w:tab/>
        <w:t>Trafiken med dessa fartyg har ökat dramatiskt under 2024, och de ryska skuggfartygen har mer än fördubblat antalet fullbordade resor. En stor del av den ryska oljan transporteras på starkt trafikerade internationella sjöfartsleder. Ryska fartyg transporterar en stor majoritet av sin olja från hamnar i Östersjön och Svarta havet.</w:t>
      </w:r>
    </w:p>
    <w:p w14:paraId="04CB9FE0" w14:textId="419DD05A" w:rsidR="00840E86" w:rsidRPr="00147AF8" w:rsidRDefault="00840E86" w:rsidP="00840E86">
      <w:pPr>
        <w:pStyle w:val="NormalHanging12a"/>
        <w:rPr>
          <w:bCs/>
        </w:rPr>
      </w:pPr>
      <w:r w:rsidRPr="00147AF8">
        <w:t>N.</w:t>
      </w:r>
      <w:r w:rsidRPr="00147AF8">
        <w:tab/>
        <w:t xml:space="preserve">De aktörer som transporterar oljan och förvaltar skuggflottan verkar inte isolerat. Deras verksamhet är kopplad till de finansiella transaktioner som stöder dem. Dessa transaktioner kan omfatta enheter som är föremål för ekonomiska sanktioner. </w:t>
      </w:r>
      <w:r w:rsidR="00122D3F">
        <w:t>E</w:t>
      </w:r>
      <w:r w:rsidRPr="00147AF8">
        <w:t xml:space="preserve">fterlevnaden av sanktionssystemet </w:t>
      </w:r>
      <w:r w:rsidR="00122D3F">
        <w:t xml:space="preserve">bör analyseras </w:t>
      </w:r>
      <w:r w:rsidRPr="00147AF8">
        <w:t>ur ett helhetsperspektiv för att se till att inte sanktionerna kringgås.</w:t>
      </w:r>
    </w:p>
    <w:p w14:paraId="12C103CF" w14:textId="77777777" w:rsidR="00840E86" w:rsidRPr="00147AF8" w:rsidRDefault="00840E86" w:rsidP="00840E86">
      <w:pPr>
        <w:pStyle w:val="NormalHanging12a"/>
      </w:pPr>
      <w:r w:rsidRPr="00147AF8">
        <w:t>O.</w:t>
      </w:r>
      <w:r w:rsidRPr="00147AF8">
        <w:tab/>
        <w:t>Fartygsoperatörer har visat sig villiga att strunta i sanktionerna genom att registrera sina fartyg i länder som inte deltar i pristaksöverenskommelsen. Ryssland använder förmedlare, organisationer och privatpersoner från tredjeländer för att köpa vissa tankfartyg till skuggflottan. En del ägare och förvaltare av skuggflottans tankfartyg och gasfartyg är också registrerade i EU-medlemsstater.</w:t>
      </w:r>
    </w:p>
    <w:p w14:paraId="11BBCEDB" w14:textId="77777777" w:rsidR="00840E86" w:rsidRPr="00147AF8" w:rsidRDefault="00840E86" w:rsidP="00840E86">
      <w:pPr>
        <w:pStyle w:val="NormalHanging12a"/>
      </w:pPr>
      <w:r w:rsidRPr="00147AF8">
        <w:t>P.</w:t>
      </w:r>
      <w:r w:rsidRPr="00147AF8">
        <w:tab/>
        <w:t>Rysslands skuggflotta är starkt beroende av flera länders delaktighet och samarbete för att kringgå sanktionerna, särskilt Kina, Indien och Turkiet.</w:t>
      </w:r>
    </w:p>
    <w:p w14:paraId="6CFB52F1" w14:textId="5E4ED42D" w:rsidR="00840E86" w:rsidRPr="00147AF8" w:rsidRDefault="00840E86" w:rsidP="00840E86">
      <w:pPr>
        <w:pStyle w:val="NormalHanging12a"/>
      </w:pPr>
      <w:r w:rsidRPr="00147AF8">
        <w:t>1.</w:t>
      </w:r>
      <w:r w:rsidRPr="00147AF8">
        <w:tab/>
        <w:t>Europaparlamentet upprepar i starkast möjliga ordalag</w:t>
      </w:r>
      <w:r w:rsidR="00122D3F">
        <w:t xml:space="preserve"> sitt fördömande</w:t>
      </w:r>
      <w:r w:rsidRPr="00147AF8">
        <w:t xml:space="preserve"> av Rysslands oprovocerade, olagliga och omotiverade anfallskrig mot Ukraina. Parlamentet uppmanar Ryssland att omedelbart upphöra med all militär verksamhet i Ukraina och att helt och villkorslöst dra tillbaka alla styrkor, </w:t>
      </w:r>
      <w:proofErr w:type="spellStart"/>
      <w:r w:rsidRPr="00147AF8">
        <w:t>proxystyrkor</w:t>
      </w:r>
      <w:proofErr w:type="spellEnd"/>
      <w:r w:rsidRPr="00147AF8">
        <w:t xml:space="preserve"> och militär utrustning från Ukrainas hela internationellt erkända territorium, att upphöra med sin tvångsdeportering av ukrainska civila och att frige alla frihetsberövade och deporterade ukrainare, särskilt barn.</w:t>
      </w:r>
    </w:p>
    <w:p w14:paraId="00A9C7EA" w14:textId="77777777" w:rsidR="00840E86" w:rsidRPr="00147AF8" w:rsidRDefault="00840E86" w:rsidP="00840E86">
      <w:pPr>
        <w:pStyle w:val="NormalHanging12a"/>
      </w:pPr>
      <w:r w:rsidRPr="00147AF8">
        <w:t>2.</w:t>
      </w:r>
      <w:r w:rsidRPr="00147AF8">
        <w:tab/>
        <w:t>Europaparlamentet bekräftar sitt entydiga stöd för EU:s sanktionssystem, som syftar till att undergräva den ryska regimens förmåga att bedriva sitt anfallskrig mot Ukraina. Parlamentet understryker att syftet med EU:s sanktioner som svar på Rysslands anfallskrig mot Ukraina är att strategiskt försvaga den ryska ekonomiska och industriella basen, särskilt det militärindustriella komplexet, i syfte att urholka Rysslands förmåga att fortsätta kriget, attackera civilbefolkningen och kränka Ukrainas territoriella integritet, samt att hindra Rysslands tillgång till militär teknik och militära komponenter. Parlamentet noterar att Ryssland aktivt kringgår EU:s sanktioner och försöker hitta nya sätt att göra det på, bland annat genom att driva en skuggflotta med oljetankfartyg, och därför fortfarande kan vara i stånd att intensifiera sina krigsinsatser mot Ukraina på kort sikt, särskilt under den stundande vintersäsongen.</w:t>
      </w:r>
    </w:p>
    <w:p w14:paraId="0C66FFE7" w14:textId="77777777" w:rsidR="00840E86" w:rsidRPr="00147AF8" w:rsidRDefault="00840E86" w:rsidP="00840E86">
      <w:pPr>
        <w:pStyle w:val="NormalHanging12a"/>
      </w:pPr>
      <w:r w:rsidRPr="00147AF8">
        <w:t>3.</w:t>
      </w:r>
      <w:r w:rsidRPr="00147AF8">
        <w:tab/>
        <w:t xml:space="preserve">Europaparlamentet anser att skuggflottan är en viktig finansiell livlina för Ryssland i dess olagliga och oförsvarliga anfallskrig mot Ukraina och ett viktigt verktyg som skapats för att kringgå EU:s sanktionssystem. Parlamentet fördömer den risk som dessa osäkra och oförsäkrade ryska fartyg utgör för säkerheten till havs och för våra europeiska kustmedlemsstater och marina ekosystem. Parlamentet fördömer Ryssland för att avsiktligen skapa enorma risker för sin egen ekonomiska vinnings skull, utan hänsyn till internationell säkerhet eller risken för oåterkalleliga miljöskador. Parlamentet uppmanar EU och dess medlemsstater att intensifiera sina insatser för att hindra Ryssland från att undvika och kringgå sanktioner, och att genomföra konkreta </w:t>
      </w:r>
      <w:r w:rsidRPr="00147AF8">
        <w:lastRenderedPageBreak/>
        <w:t>åtgärder för att säkerställa sjösäkerheten och förebygga miljöfaror i europeiska vatten, särskilt i Östersjön.</w:t>
      </w:r>
      <w:r w:rsidRPr="00147AF8">
        <w:rPr>
          <w:rStyle w:val="Aucun"/>
          <w:color w:val="000000"/>
        </w:rPr>
        <w:t xml:space="preserve"> </w:t>
      </w:r>
      <w:r w:rsidRPr="00147AF8">
        <w:t>Parlamentet anser att omlastningar mellan fartyg på öppet hav är högriskverksamhet som undergräver internationell sjösäkerhet och miljöskydd.</w:t>
      </w:r>
    </w:p>
    <w:p w14:paraId="6673F49E" w14:textId="00CA4BE0" w:rsidR="00840E86" w:rsidRPr="00147AF8" w:rsidRDefault="00840E86" w:rsidP="00840E86">
      <w:pPr>
        <w:pStyle w:val="NormalHanging12a"/>
      </w:pPr>
      <w:r w:rsidRPr="00147AF8">
        <w:t>4.</w:t>
      </w:r>
      <w:r w:rsidRPr="00147AF8">
        <w:tab/>
        <w:t xml:space="preserve">Europaparlamentet efterfrågar mer riktade sanktioner mot skuggflottan i de nästkommande sanktionspaketen mot Ryssland, såsom att upprätta en förteckning </w:t>
      </w:r>
      <w:r w:rsidR="00122D3F">
        <w:t>med</w:t>
      </w:r>
      <w:r w:rsidR="00122D3F" w:rsidRPr="00147AF8">
        <w:t xml:space="preserve"> </w:t>
      </w:r>
      <w:r w:rsidR="00122D3F">
        <w:t>varje</w:t>
      </w:r>
      <w:r w:rsidR="00122D3F" w:rsidRPr="00147AF8">
        <w:t xml:space="preserve"> </w:t>
      </w:r>
      <w:proofErr w:type="spellStart"/>
      <w:r w:rsidRPr="00147AF8">
        <w:t>enskild</w:t>
      </w:r>
      <w:r w:rsidR="00122D3F">
        <w:t>t</w:t>
      </w:r>
      <w:proofErr w:type="spellEnd"/>
      <w:r w:rsidRPr="00147AF8">
        <w:t xml:space="preserve"> fartyg i skuggflottan samt deras ägare, fartygsoperatörer, förvaltare, konton, banker, försäkringsbolag osv.</w:t>
      </w:r>
      <w:r w:rsidRPr="00147AF8">
        <w:rPr>
          <w:rStyle w:val="Aucun"/>
          <w:color w:val="000000"/>
        </w:rPr>
        <w:t xml:space="preserve"> Parlamentet efterlyser ett omedelbart förbud mot användning av västerländska fartyg för transport av rysk olja. </w:t>
      </w:r>
      <w:r w:rsidRPr="00147AF8">
        <w:t>Parlamentet vill mer allmänt att EU:s nästkommande sanktionspaket ska omfatta systematiska sanktioner mot fartyg med oviss försäkringsstatus som trafikerar EU:s farvatten, i syfte att skydda våra vatten och undvika kostnaderna för sanering efter oljeutsläpp. Parlamentet uppmanar med kraft Europeiska utrikestjänsten och det internationella särskilda sändebudet för genomförande av EU:s sanktioner att kontakta regeringarna i de länder där företagen som förvaltar skuggtankfartygen är registrerade och i de flaggstater vars närvaro har ökat avsevärt i EU:s farvatten sedan oljepristaket infördes. Parlamentet uppmanar EU och dess medlemsstater att vända sig till dessa flaggstater för att informera dem om grunden för förteckningen och konsekvenserna av ett potentiellt införande i förteckningen, belysa riskerna och de negativa miljöeffekterna av oreglerade transportmetoder med hög risk samt påminna dem om deras ansvar som flaggstater. Parlamentet uppmanar flaggstaterna att avföra fartyg som omfattas av sanktioner ur sina fartygsregister.</w:t>
      </w:r>
    </w:p>
    <w:p w14:paraId="097C437B" w14:textId="77777777" w:rsidR="00840E86" w:rsidRPr="00147AF8" w:rsidRDefault="00840E86" w:rsidP="00840E86">
      <w:pPr>
        <w:pStyle w:val="NormalHanging12a"/>
      </w:pPr>
      <w:r w:rsidRPr="00147AF8">
        <w:t>5.</w:t>
      </w:r>
      <w:r w:rsidRPr="00147AF8">
        <w:tab/>
        <w:t>Europaparlamentet konstaterar att de flaggstater som hjälper den ryska skuggflottan därmed också bidrar till de ryska krigsinsatserna. Parlamentet betonar att om klassiska diplomatiska insatser misslyckas bör EU allvarligt omvärdera sitt bilaterala samarbete med tredjeländer som hjälper Ryssland att kringgå EU:s sanktioner.</w:t>
      </w:r>
    </w:p>
    <w:p w14:paraId="7F357B07" w14:textId="77777777" w:rsidR="00840E86" w:rsidRPr="00147AF8" w:rsidRDefault="00840E86" w:rsidP="00840E86">
      <w:pPr>
        <w:pStyle w:val="NormalHanging12a"/>
        <w:rPr>
          <w:rStyle w:val="Aucun"/>
          <w:color w:val="000000"/>
        </w:rPr>
      </w:pPr>
      <w:r w:rsidRPr="00147AF8">
        <w:rPr>
          <w:rStyle w:val="Aucun"/>
          <w:color w:val="000000"/>
        </w:rPr>
        <w:t>6.</w:t>
      </w:r>
      <w:r w:rsidRPr="00147AF8">
        <w:rPr>
          <w:rStyle w:val="Aucun"/>
          <w:color w:val="000000"/>
        </w:rPr>
        <w:tab/>
      </w:r>
      <w:r w:rsidRPr="00147AF8">
        <w:t xml:space="preserve">Europaparlamentet fördömer de europeiska fartygsägarnas inblandning i skapandet av Rysslands skuggflotta. </w:t>
      </w:r>
      <w:r w:rsidRPr="00147AF8">
        <w:rPr>
          <w:rStyle w:val="Aucun"/>
          <w:color w:val="000000"/>
        </w:rPr>
        <w:t xml:space="preserve">Parlamentet fördömer agerandet hos stater, leverantörer av juridiska tjänster samt andra enheter och personer som hjälper Ryssland att undvika eller minska effekterna av EU:s sanktioner. </w:t>
      </w:r>
      <w:r w:rsidRPr="00147AF8">
        <w:t>Parlamentet påminner om att överträdelser av sanktionerna utgör ett brott på EU-nivå och har en allvarlig inverkan på EU:s ekonomiska intressen. Parlamentet efterlyser en utvidgning och ett verkställande av restriktioner för fartygsförsäljning och ett förbud mot försäljning av tankfartyg till länder som underlättar handeln med Ryssland.</w:t>
      </w:r>
    </w:p>
    <w:p w14:paraId="41BDC855" w14:textId="77777777" w:rsidR="00840E86" w:rsidRPr="00147AF8" w:rsidRDefault="00840E86" w:rsidP="00840E86">
      <w:pPr>
        <w:pStyle w:val="NormalHanging12a"/>
        <w:rPr>
          <w:bCs/>
        </w:rPr>
      </w:pPr>
      <w:r w:rsidRPr="00147AF8">
        <w:t>7.</w:t>
      </w:r>
      <w:r w:rsidRPr="00147AF8">
        <w:tab/>
        <w:t>Europaparlamentet begär starkare EU-omfattande åtgärder för att säkerställa en striktare tillämpning av sanktionerna och en utvidgning av dem till att även omfatta omedelbar inspektion av fartyg som trafikerar EU:s farvatten, för att verifiera att de har rätt försäkringsskydd och följer IMO:s krav. Parlamentet uppmanar medlemsstaterna att bedöma och stärka sin administrativa kapacitet för att säkerställa ett snabbt genomförande och strikt verkställande av EU:s sanktioner.</w:t>
      </w:r>
    </w:p>
    <w:p w14:paraId="28BB4A69" w14:textId="77777777" w:rsidR="00840E86" w:rsidRPr="00147AF8" w:rsidRDefault="00840E86" w:rsidP="00840E86">
      <w:pPr>
        <w:pStyle w:val="NormalHanging12a"/>
      </w:pPr>
      <w:r w:rsidRPr="00147AF8">
        <w:t>8.</w:t>
      </w:r>
      <w:r w:rsidRPr="00147AF8">
        <w:tab/>
        <w:t xml:space="preserve">Europaparlamentet uppmanar kommissionen att agera inom ramen för EU:s samarbete med IMO för att förhindra och begränsa skuggflottans verksamhet. Parlamentet efterlyser ett strikt genomförande av resolution A.1192(33) från IMO:s generalförsamling, som antogs i december 2023, om att bekämpa skadlig sjöfartsverksamhet, i synnerhet vad gäller fartygs skyldighet att meddela sin flaggstat alla överföringar mellan fartyg och skärpta inspektioner i hamn av misstänkta fartyg. Parlamentet uppmanar EU och dess medlemsstater att hindra den ryska skuggflottans </w:t>
      </w:r>
      <w:r w:rsidRPr="00147AF8">
        <w:lastRenderedPageBreak/>
        <w:t>fartyg från att få tillträde till EU:s farvatten. Parlamentet understryker att Europeiska sjösäkerhetsbyrån måste utnyttjas till sin fulla potential för att stödja medlemsstaterna i arbetet med att identifiera vilka fartyg som omfattas av sanktioner och övervaka hur misstänka fartyg förflyttar sig. Parlamentet uppmanar särskilt EU att upprätta en fullständig förteckning över fartyg som tillhör den ryska skuggflottan, att genomföra riktade inspektioner, även till havs, och att införa sanktioner som också leder till att fartyg blockeras permanent eller tillfälligt av administrativa skäl.</w:t>
      </w:r>
    </w:p>
    <w:p w14:paraId="34225658" w14:textId="77777777" w:rsidR="00840E86" w:rsidRPr="00147AF8" w:rsidRDefault="00840E86" w:rsidP="00840E86">
      <w:pPr>
        <w:pStyle w:val="NormalHanging12a"/>
      </w:pPr>
      <w:r w:rsidRPr="00147AF8">
        <w:t>9.</w:t>
      </w:r>
      <w:r w:rsidRPr="00147AF8">
        <w:tab/>
        <w:t>Europaparlamentet begär att EU och dess medlemsstater noggrant ska övervaka genomförandet av direktiv 2009/20/EG om fartygsägares försäkring för sjörättsliga skadeståndsanspråk, för att förhindra att oförsäkrade fartyg trafikerar EU:s farvatten. Parlamentet betonar att det behövs starkare verkställighetsmekanismer, bland annat en möjlighet för EU:s medlemsstater att hindra oförsäkrade fartyg eller fartyg som inte uppfyller gällande krav från att anlöpa hamnar i EU eller använda EU:s farvatten för att tanka eller för andra tjänster, samt att det behövs en ökad övervakning av sådana fartyg. Parlamentet uppmanar medlemsstaterna att vidta åtgärder för att se till att fartyg som inte uppfyller kraven inte tillhandahålls på marknaden.</w:t>
      </w:r>
    </w:p>
    <w:p w14:paraId="24572A4A" w14:textId="77777777" w:rsidR="00840E86" w:rsidRPr="00147AF8" w:rsidRDefault="00840E86" w:rsidP="00840E86">
      <w:pPr>
        <w:pStyle w:val="NormalHanging12a"/>
      </w:pPr>
      <w:r w:rsidRPr="00147AF8">
        <w:t>10.</w:t>
      </w:r>
      <w:r w:rsidRPr="00147AF8">
        <w:tab/>
        <w:t>Europaparlamentet uppmuntrar medlemsstaterna att föra ett nära samarbete med Förenade kungariket i fråga om åtgärder för att begränsa användningen av Engelska kanalen för fartyg från den ryska skuggflottan. Parlamentet uppmanar länder med internationella sund att kräva att fartyg bevisar att de har försäkring för redares ansvarsrisk och att de följer minimisäkerhetsnormerna. Parlamentet uppmanar alla medlemsstater att kräva att alla fartyg som passerar genom eller i närheten av deras vatten visar att de har försäkring som täcker oljeutsläpp, för att säkerställa transparens i försäkringsarrangemangen.</w:t>
      </w:r>
    </w:p>
    <w:p w14:paraId="3EFE14D3" w14:textId="6BCD752A" w:rsidR="00840E86" w:rsidRPr="00147AF8" w:rsidRDefault="00840E86" w:rsidP="00840E86">
      <w:pPr>
        <w:pStyle w:val="NormalHanging12a"/>
      </w:pPr>
      <w:r w:rsidRPr="00147AF8">
        <w:t>11.</w:t>
      </w:r>
      <w:r w:rsidRPr="00147AF8">
        <w:tab/>
        <w:t xml:space="preserve">Europaparlamentet uppmuntrar EU och dess medlemsstater att stärka sin övervakningskapacitet, särskilt drönar- och satellitövervakning, bland annat genom att använda Sentinel-satellitbilder, för att upptäcka fartyg från skuggflottan i EU:s farvatten och övervaka deras verksamhet, såsom omlastning mellan fartyg i strid med EU:s direktiv och </w:t>
      </w:r>
      <w:proofErr w:type="spellStart"/>
      <w:r w:rsidRPr="00147AF8">
        <w:t>Marpol</w:t>
      </w:r>
      <w:proofErr w:type="spellEnd"/>
      <w:r w:rsidRPr="00147AF8">
        <w:t>, och att snabbt genomföra undersökningar när risker uppstår för kustområden och marina ekosystem.</w:t>
      </w:r>
    </w:p>
    <w:p w14:paraId="3471C87B" w14:textId="77777777" w:rsidR="00840E86" w:rsidRPr="00147AF8" w:rsidRDefault="00840E86" w:rsidP="00840E86">
      <w:pPr>
        <w:pStyle w:val="NormalHanging12a"/>
        <w:rPr>
          <w:bCs/>
        </w:rPr>
      </w:pPr>
      <w:r w:rsidRPr="00147AF8">
        <w:t>12.</w:t>
      </w:r>
      <w:r w:rsidRPr="00147AF8">
        <w:tab/>
        <w:t>Europaparlamentet begär att överföringar av rysk råolja och oljeprodukter mellan fartyg i EU:s farvatten ska förbjudas. Parlamentet begär att man ska använda de resurser som krävs för att upptäcka och stoppa dessa överföringar, inbegripet införa ett förbud för alla sådana fartyg att ligga för ankar och tanka i EU:s farvatten.</w:t>
      </w:r>
    </w:p>
    <w:p w14:paraId="0C24EAC2" w14:textId="77777777" w:rsidR="00840E86" w:rsidRPr="00147AF8" w:rsidRDefault="00840E86" w:rsidP="00840E86">
      <w:pPr>
        <w:pStyle w:val="NormalHanging12a"/>
      </w:pPr>
      <w:r w:rsidRPr="00147AF8">
        <w:t>13.</w:t>
      </w:r>
      <w:r w:rsidRPr="00147AF8">
        <w:tab/>
        <w:t>Europaparlamentet uppmanar medlemsstaterna att vidta strikta regleringsåtgärder i sina hamnar och sina territorialvatten. Parlamentet uppmanar med kraft medlemsstaterna att, när det gäller tankfartyg som kan tänkas transportera rysk olja, fullt ut utnyttja sin rätt att låta fartyg ledas av en ombordvarande lots från den berörda nationella myndigheten för att kontrollera lastens ursprung, fartygets faktiska ägarskap, försäkringshandlingarna och efterlevnaden av säkerhetsnormer samt se till att fartyg som misstänks för kringgående av sanktioner och bristande efterlevnad av miljölagstiftningen flaggas för utredning.</w:t>
      </w:r>
    </w:p>
    <w:p w14:paraId="7F4EC04E" w14:textId="77777777" w:rsidR="00840E86" w:rsidRPr="00147AF8" w:rsidRDefault="00840E86" w:rsidP="00840E86">
      <w:pPr>
        <w:pStyle w:val="NormalHanging12a"/>
        <w:rPr>
          <w:rStyle w:val="s2"/>
          <w:color w:val="000000"/>
        </w:rPr>
      </w:pPr>
      <w:r w:rsidRPr="00147AF8">
        <w:rPr>
          <w:rStyle w:val="s2"/>
          <w:color w:val="000000"/>
        </w:rPr>
        <w:t>14.</w:t>
      </w:r>
      <w:r w:rsidRPr="00147AF8">
        <w:rPr>
          <w:rStyle w:val="s2"/>
          <w:color w:val="000000"/>
        </w:rPr>
        <w:tab/>
      </w:r>
      <w:r w:rsidRPr="00147AF8">
        <w:t>Europaparlamentet uppmanar medlemsstaterna att utse hamnar som kan hantera fartyg som omfattas av sanktioner och som transporterar råolja och flytande naturgas samt att beslagta olaglig last utan att lämna ersättning.</w:t>
      </w:r>
    </w:p>
    <w:p w14:paraId="0B347A82" w14:textId="4414AD37" w:rsidR="00840E86" w:rsidRPr="00147AF8" w:rsidRDefault="00840E86" w:rsidP="00840E86">
      <w:pPr>
        <w:pStyle w:val="NormalHanging12a"/>
      </w:pPr>
      <w:r w:rsidRPr="00147AF8">
        <w:lastRenderedPageBreak/>
        <w:t>15.</w:t>
      </w:r>
      <w:r w:rsidRPr="00147AF8">
        <w:tab/>
        <w:t xml:space="preserve">Europaparlamentet betonar att effekterna av befintliga sanktioner samt ekonomiskt och militärt stöd till Ukraina </w:t>
      </w:r>
      <w:r w:rsidR="00AE3F23">
        <w:t>fortsättningsvis kommer</w:t>
      </w:r>
      <w:r w:rsidRPr="00147AF8">
        <w:t xml:space="preserve"> att undergrävas så länge EU fortsätter att importera ryska fossila bränslen. Parlamentet uppmanar därför EU och dess medlemsstater att förbjuda all import av ryska fossila bränslen, inbegripet flytande naturgas. Parlamentet uppmanar EU att införa ett krav på att fartyg som exporterar rysk flytande naturgas ska tas upp på EU:s sanktionsförteckning, så att de inte får tillträde till EU:s hamnar eller sjöfartstjänster. Parlamentet uppmanar EU och dess medlemsstater att förbjuda import av ryska kärntekniska produkter, och uppmanar med kraft medlemsstaterna att inte ingå några nya avtal med </w:t>
      </w:r>
      <w:proofErr w:type="spellStart"/>
      <w:r w:rsidRPr="00147AF8">
        <w:t>Rosatom</w:t>
      </w:r>
      <w:proofErr w:type="spellEnd"/>
      <w:r w:rsidRPr="00147AF8">
        <w:t xml:space="preserve"> eller med dess ledning eller dotterbolag.</w:t>
      </w:r>
    </w:p>
    <w:p w14:paraId="774C7E9A" w14:textId="77777777" w:rsidR="00840E86" w:rsidRPr="00147AF8" w:rsidRDefault="00840E86" w:rsidP="00840E86">
      <w:pPr>
        <w:pStyle w:val="NormalHanging12a"/>
      </w:pPr>
      <w:r w:rsidRPr="00147AF8">
        <w:t>16.</w:t>
      </w:r>
      <w:r w:rsidRPr="00147AF8">
        <w:tab/>
        <w:t>Europaparlamentet uppmanar G7-länderna att effektivare se till att pristaket för rysk olja som transporteras sjövägen upprätthålls, att sänka pristaket för olja avsevärt och att ta itu med de kryphål som Ryssland utnyttjar för att ompaketera och sälja sin olja och sina oljeprodukter till marknadspriser. Parlamentet uppmanar EU, dess medlemsstater och dess G7-partner att stärka sitt samarbete med handelspartner för att snabbare och effektivare identifiera köpare av rysk olja och sluta köpa oljeprodukter från dem. Parlamentet begär att anläggningar som har identifierats som köpare ska föras upp på förteckningen för riktade sanktioner och att ett fullständigt förbud ska införas mot återexporterade ryska raffinerade oljeprodukter. Parlamentet efterlyser harmoniserad ursprungstestning av import av fossila bränslen, flytande naturgas och raffinerade fossila bränslen för att förhindra att rysk energi återexporteras till EU. Parlamentet uppmanar medlemsstaterna att grundligt undersöka företagens efterlevnad av exportrestriktioner för förtecknade varor och att införa avskräckande påföljder.</w:t>
      </w:r>
    </w:p>
    <w:p w14:paraId="4CA1CEAF" w14:textId="77777777" w:rsidR="00840E86" w:rsidRPr="00147AF8" w:rsidRDefault="00840E86" w:rsidP="00840E86">
      <w:pPr>
        <w:pStyle w:val="NormalHanging12a"/>
      </w:pPr>
      <w:r w:rsidRPr="00147AF8">
        <w:t>17.</w:t>
      </w:r>
      <w:r w:rsidRPr="00147AF8">
        <w:tab/>
        <w:t>Europaparlamentet rekommenderar med eftertryck EU och dess G7-partner att avsevärt utöka sina sanktionsförteckningar till att omfatta ytterligare fartyg som kringgår deras pristak och bedriver verksamhet utan respekt för internationella normer.</w:t>
      </w:r>
      <w:r w:rsidRPr="00147AF8">
        <w:rPr>
          <w:rStyle w:val="Aucun"/>
          <w:color w:val="000000"/>
        </w:rPr>
        <w:t xml:space="preserve"> </w:t>
      </w:r>
      <w:r w:rsidRPr="00147AF8">
        <w:t>Parlamentet uppmanar EU och partnerländerna att noggrant kontrollera huruvida försäkringar mot oljeutsläpp är adekvata när de tillämpar sanktionsramen, till exempel när de beviljar eller förnyar registreringar. Parlamentet begär stärkta krav på tillbörlig aktsamhet för att kunna försäkra fartyg, såsom bevis på köpekontrakt som är förenliga med pristaket eller tillförlitliga, verifierade bankutdrag osv.</w:t>
      </w:r>
    </w:p>
    <w:p w14:paraId="7682E969" w14:textId="62200EB2" w:rsidR="00840E86" w:rsidRPr="00147AF8" w:rsidRDefault="00840E86" w:rsidP="00840E86">
      <w:pPr>
        <w:pStyle w:val="NormalHanging12a"/>
      </w:pPr>
      <w:r w:rsidRPr="00147AF8">
        <w:t>18.</w:t>
      </w:r>
      <w:r w:rsidRPr="00147AF8">
        <w:tab/>
        <w:t>Europaparlamentet uppmanar kommissionen och medlemsstaterna att säkerställa en tillräckligt god beredskap för miljökatastrofer, särskilt för stora oljeutsläpp, och att se till att medlemsstaternas myndigheter bedriver ett nära samarbete, såväl med varandra som med Europeiska sjösäkerhetsbyrån, för att hantera storskaliga, gränsöverskridande föroreningskatastrofer, bland annat genom att fortsätta att samordna förteckningar över sådan utrustning som behövs för saneringsarbeten. Parlamentet betonar att incidenter av detta slag kommer att leda till allvarlig långsiktig miljöförstöring, vilket i sin tur avsevärt kan komma att påverka turismen, fisket och havsnäringen i de medlemsstater som gränsar till de drabbade haven. Parlamentet uppmanar kommissionen att tillhandahålla ytterligare finansiering för att säkerställa att Europeiska sjösäkerhetsbyrån förfogar över ett tillräckligt antal beredskapsfartyg som kan ingripa vid oljeutsläpp.</w:t>
      </w:r>
    </w:p>
    <w:p w14:paraId="1741592F" w14:textId="77777777" w:rsidR="00840E86" w:rsidRPr="00147AF8" w:rsidRDefault="00840E86" w:rsidP="00840E86">
      <w:pPr>
        <w:pStyle w:val="NormalHanging12a"/>
      </w:pPr>
      <w:r w:rsidRPr="00147AF8">
        <w:t>19.</w:t>
      </w:r>
      <w:r w:rsidRPr="00147AF8">
        <w:tab/>
        <w:t xml:space="preserve">Europaparlamentet uppmanar kommissionen att se till att Europaparlamentets och rådets direktiv 2009/123/EG om ändring av direktiv 2005/35/EG om föroreningar </w:t>
      </w:r>
      <w:r w:rsidRPr="00147AF8">
        <w:lastRenderedPageBreak/>
        <w:t>förorsakade av fartyg och införandet av sanktioner för överträdelser</w:t>
      </w:r>
      <w:r w:rsidRPr="00147AF8">
        <w:rPr>
          <w:rStyle w:val="FootnoteReference"/>
        </w:rPr>
        <w:footnoteReference w:id="2"/>
      </w:r>
      <w:r w:rsidRPr="00147AF8">
        <w:t xml:space="preserve"> genomförs och verkställs på ett ändamålsenligt sätt. Parlamentet uppmanar medlemsstaterna att snarast införliva och genomföra direktiv (EU) 2024/1226 om fastställande av brottsrekvisit och påföljder för överträdelse av unionens restriktiva åtgärder</w:t>
      </w:r>
      <w:r w:rsidRPr="00147AF8">
        <w:rPr>
          <w:rStyle w:val="FootnoteReference"/>
        </w:rPr>
        <w:footnoteReference w:id="3"/>
      </w:r>
      <w:r w:rsidRPr="00147AF8">
        <w:t xml:space="preserve"> och att säkerställa adekvata ekonomiska och tekniska resurser och personal för att på ett korrekt sätt verkställa EU:s restriktiva åtgärder.</w:t>
      </w:r>
    </w:p>
    <w:p w14:paraId="41071340" w14:textId="77777777" w:rsidR="00840E86" w:rsidRPr="00147AF8" w:rsidRDefault="00840E86" w:rsidP="00840E86">
      <w:pPr>
        <w:pStyle w:val="NormalHanging12a"/>
      </w:pPr>
      <w:r w:rsidRPr="00147AF8">
        <w:t>20.</w:t>
      </w:r>
      <w:r w:rsidRPr="00147AF8">
        <w:tab/>
        <w:t>Europaparlamentet uppmuntrar medlemsstaterna och kommissionen att samarbeta med berörda internationella partner och intressenter, bland annat inom sjöfarts-, energi-, försäkrings- och finanssektorn, för att identifiera bästa praxis för att upptäcka och hantera kringgående av sanktioner och mildra miljöpåverkan i EU:s vatten.</w:t>
      </w:r>
    </w:p>
    <w:p w14:paraId="477A5A69" w14:textId="02E0BB27" w:rsidR="00840E86" w:rsidRPr="00147AF8" w:rsidRDefault="00840E86" w:rsidP="00840E86">
      <w:pPr>
        <w:pStyle w:val="NormalHanging12a"/>
      </w:pPr>
      <w:r w:rsidRPr="00147AF8">
        <w:t>21.</w:t>
      </w:r>
      <w:r w:rsidRPr="00147AF8">
        <w:tab/>
        <w:t>Europaparlamentet uppmanar kommissionen att ta fram tydligare riktlinjer och robustare standarder för tillbörlig aktsamhet för företag och finansinstitut i EU</w:t>
      </w:r>
      <w:r w:rsidR="00AE3F23">
        <w:t>,</w:t>
      </w:r>
      <w:r w:rsidRPr="00147AF8">
        <w:t xml:space="preserve"> i syfte att undvika oavsiktligt samarbete med enheter som är kopplade till skuggflottor.</w:t>
      </w:r>
    </w:p>
    <w:p w14:paraId="3BEB5805" w14:textId="6845FE01" w:rsidR="00840E86" w:rsidRPr="00147AF8" w:rsidRDefault="00840E86" w:rsidP="00840E86">
      <w:pPr>
        <w:pStyle w:val="NormalHanging12a"/>
      </w:pPr>
      <w:r w:rsidRPr="00147AF8">
        <w:t>22.</w:t>
      </w:r>
      <w:r w:rsidRPr="00147AF8">
        <w:tab/>
        <w:t xml:space="preserve">Europaparlamentet manar till stöd för det arbete mot kringgående som sändebudet för genomförande av EU:s sanktioner utför i syfte att förhindra systematisk återexport till Ryssland av sanktionsbelagda EU-varor, något som allvarligt undergräver EU-sanktionernas effektivitet och hindrar de internationella ansträngningarna att få slut på kriget. Parlamentet uppmanar i detta avseende alla kandidatländer och potentiella kandidatländer för EU-anslutning att lägga sig strikt i linje med de sanktioner EU infört som svar på Rysslands anfallskrig mot Ukraina för att visa att de är beredda att åta sig de skyldigheter som följer av ett EU-medlemskap. Parlamentet upprepar sin uppmaning till rådet att utvidga Europeiska åklagarmyndighetens befogenheter så att den kan </w:t>
      </w:r>
      <w:r w:rsidR="00AE3F23">
        <w:t>hantera</w:t>
      </w:r>
      <w:r w:rsidR="00AE3F23" w:rsidRPr="00147AF8">
        <w:t xml:space="preserve"> </w:t>
      </w:r>
      <w:r w:rsidRPr="00147AF8">
        <w:t>brott mot EU:s restriktiva åtgärder. Parlamentet uppmanar EU och dess medlemsstater att stärka och centralisera tillsynen på EU-nivå när det gäller genomförandet av sanktioner och att utarbeta en mekanism för att förhindra och övervaka kringgående av sanktioner.</w:t>
      </w:r>
    </w:p>
    <w:p w14:paraId="4E9C848B" w14:textId="77777777" w:rsidR="00840E86" w:rsidRPr="00147AF8" w:rsidRDefault="00840E86" w:rsidP="00840E86">
      <w:pPr>
        <w:pStyle w:val="NormalHanging12a"/>
      </w:pPr>
      <w:r w:rsidRPr="00147AF8">
        <w:t>23.</w:t>
      </w:r>
      <w:r w:rsidRPr="00147AF8">
        <w:tab/>
        <w:t>Europaparlamentet vill se globala transparensstandarder för fartygsregistrering för att minska utnyttjandet av skalbolag och bekvämlighetsflagg, i syfte att förbättra transparensen när det gäller ägandet av fartygen.</w:t>
      </w:r>
    </w:p>
    <w:p w14:paraId="6595A255" w14:textId="77777777" w:rsidR="00840E86" w:rsidRPr="00147AF8" w:rsidRDefault="00840E86" w:rsidP="00840E86">
      <w:pPr>
        <w:pStyle w:val="NormalHanging12a"/>
      </w:pPr>
      <w:r w:rsidRPr="00147AF8">
        <w:t>24.</w:t>
      </w:r>
      <w:r w:rsidRPr="00147AF8">
        <w:tab/>
        <w:t>Europaparlamentet uppmanar kommissionen att överväga att anta handelspolitiska verktyg liknande dem som Förenta staterna använder, med inriktning på aktörer som får marknadsfördelar på grund av sanktionssystem och därmed kan agera otillbörligt på EU-marknaden.</w:t>
      </w:r>
    </w:p>
    <w:p w14:paraId="38818EEA" w14:textId="77777777" w:rsidR="00840E86" w:rsidRPr="00147AF8" w:rsidRDefault="00840E86" w:rsidP="00840E86">
      <w:pPr>
        <w:pStyle w:val="NormalHanging12a"/>
      </w:pPr>
      <w:r w:rsidRPr="00147AF8">
        <w:t>25.</w:t>
      </w:r>
      <w:r w:rsidRPr="00147AF8">
        <w:tab/>
        <w:t xml:space="preserve">Europaparlamentet uttrycker oro över det rapporterade överskottet i rysk oljeproduktion, som ligger avsevärt över den kvot som OPEC+ fastställt för Ryssland och som ytterligare möjliggör kringgående av det fastställda pristaket och gör att Ryssland kan generera ytterligare intäkter. Parlamentet uppmanar EU och dess </w:t>
      </w:r>
      <w:r w:rsidRPr="00147AF8">
        <w:lastRenderedPageBreak/>
        <w:t>medlemsstater att noga övervaka situationen och att vidta lämpliga åtgärder i samarbete med EU:s internationella partner.</w:t>
      </w:r>
    </w:p>
    <w:p w14:paraId="5D548065" w14:textId="77777777" w:rsidR="00147AF8" w:rsidRPr="00147AF8" w:rsidRDefault="00840E86" w:rsidP="00147AF8">
      <w:pPr>
        <w:pStyle w:val="NormalHanging12a"/>
      </w:pPr>
      <w:r w:rsidRPr="00147AF8">
        <w:t>26.</w:t>
      </w:r>
      <w:r w:rsidRPr="00147AF8">
        <w:tab/>
        <w:t xml:space="preserve">Europaparlamentet uppdrar åt talmannen att översända denna resolution till rådet, kommissionen, vice ordföranden för kommissionen / unionens höga representant för utrikes frågor och säkerhetspolitik, Ukrainas president, regering och </w:t>
      </w:r>
      <w:proofErr w:type="spellStart"/>
      <w:r w:rsidRPr="00147AF8">
        <w:t>Verkhovna</w:t>
      </w:r>
      <w:proofErr w:type="spellEnd"/>
      <w:r w:rsidRPr="00147AF8">
        <w:t xml:space="preserve"> Rada, Europarådet, Organisationen för säkerhet och samarbete i Europa, Internationella sjöfartsorganisationen och de ryska myndigheterna.</w:t>
      </w:r>
    </w:p>
    <w:p w14:paraId="0DCE9749" w14:textId="77777777" w:rsidR="00E365E1" w:rsidRPr="00147AF8" w:rsidRDefault="00E365E1" w:rsidP="007D66AE"/>
    <w:sectPr w:rsidR="00E365E1" w:rsidRPr="00147AF8" w:rsidSect="00147A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EEFEE" w14:textId="77777777" w:rsidR="007D66AE" w:rsidRPr="00147AF8" w:rsidRDefault="007D66AE">
      <w:r w:rsidRPr="00147AF8">
        <w:separator/>
      </w:r>
    </w:p>
  </w:endnote>
  <w:endnote w:type="continuationSeparator" w:id="0">
    <w:p w14:paraId="6BD7C3D5" w14:textId="77777777" w:rsidR="007D66AE" w:rsidRPr="00147AF8" w:rsidRDefault="007D66AE">
      <w:r w:rsidRPr="00147A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D0AEF" w14:textId="77777777" w:rsidR="00064002" w:rsidRPr="00147A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9F4F1" w14:textId="77777777" w:rsidR="00064002" w:rsidRPr="00147A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02603" w14:textId="77777777" w:rsidR="00064002" w:rsidRPr="00147A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A128E" w14:textId="77777777" w:rsidR="007D66AE" w:rsidRPr="00147AF8" w:rsidRDefault="007D66AE">
      <w:r w:rsidRPr="00147AF8">
        <w:separator/>
      </w:r>
    </w:p>
  </w:footnote>
  <w:footnote w:type="continuationSeparator" w:id="0">
    <w:p w14:paraId="19720319" w14:textId="77777777" w:rsidR="007D66AE" w:rsidRPr="00147AF8" w:rsidRDefault="007D66AE">
      <w:r w:rsidRPr="00147AF8">
        <w:continuationSeparator/>
      </w:r>
    </w:p>
  </w:footnote>
  <w:footnote w:id="1">
    <w:p w14:paraId="3891C86E" w14:textId="77777777" w:rsidR="00840E86" w:rsidRPr="00147AF8" w:rsidRDefault="00840E86" w:rsidP="00147AF8">
      <w:pPr>
        <w:pStyle w:val="FootnoteText"/>
        <w:ind w:left="567" w:hanging="567"/>
        <w:rPr>
          <w:sz w:val="24"/>
          <w:lang w:val="sv-SE"/>
        </w:rPr>
      </w:pPr>
      <w:r w:rsidRPr="00147AF8">
        <w:rPr>
          <w:rStyle w:val="FootnoteReference"/>
          <w:sz w:val="24"/>
          <w:lang w:val="sv-SE"/>
        </w:rPr>
        <w:footnoteRef/>
      </w:r>
      <w:r w:rsidR="00147AF8" w:rsidRPr="00147AF8">
        <w:rPr>
          <w:sz w:val="24"/>
          <w:lang w:val="sv-SE"/>
        </w:rPr>
        <w:t xml:space="preserve"> </w:t>
      </w:r>
      <w:r w:rsidR="00147AF8" w:rsidRPr="00147AF8">
        <w:rPr>
          <w:sz w:val="24"/>
          <w:lang w:val="sv-SE"/>
        </w:rPr>
        <w:tab/>
      </w:r>
      <w:r w:rsidRPr="00147AF8">
        <w:rPr>
          <w:sz w:val="24"/>
          <w:lang w:val="sv-SE"/>
        </w:rPr>
        <w:t xml:space="preserve">Europaparlamentets och rådets direktiv 2009/20/EG av den 23 april 2009 om fartygsägares försäkring för sjörättsliga skadeståndsanspråk (EUT L 131, 28.5.2009, s. 128). </w:t>
      </w:r>
      <w:hyperlink r:id="rId1" w:history="1">
        <w:r w:rsidRPr="00147AF8">
          <w:rPr>
            <w:rStyle w:val="Hyperlink"/>
            <w:sz w:val="24"/>
            <w:lang w:val="sv-SE"/>
          </w:rPr>
          <w:t>http://data.europa.eu/eli/dir/2009/20/oj</w:t>
        </w:r>
      </w:hyperlink>
      <w:r w:rsidRPr="00147AF8">
        <w:rPr>
          <w:sz w:val="24"/>
          <w:lang w:val="sv-SE"/>
        </w:rPr>
        <w:t>.</w:t>
      </w:r>
    </w:p>
  </w:footnote>
  <w:footnote w:id="2">
    <w:p w14:paraId="4BC2EBAB" w14:textId="77777777" w:rsidR="00840E86" w:rsidRPr="00147AF8" w:rsidRDefault="00840E86" w:rsidP="00147AF8">
      <w:pPr>
        <w:pStyle w:val="FootnoteText"/>
        <w:ind w:left="567" w:hanging="567"/>
        <w:rPr>
          <w:sz w:val="24"/>
          <w:lang w:val="sv-SE"/>
        </w:rPr>
      </w:pPr>
      <w:r w:rsidRPr="00147AF8">
        <w:rPr>
          <w:rStyle w:val="FootnoteReference"/>
          <w:sz w:val="24"/>
          <w:lang w:val="sv-SE"/>
        </w:rPr>
        <w:footnoteRef/>
      </w:r>
      <w:r w:rsidR="00147AF8" w:rsidRPr="00147AF8">
        <w:rPr>
          <w:sz w:val="24"/>
          <w:lang w:val="sv-SE"/>
        </w:rPr>
        <w:t xml:space="preserve"> </w:t>
      </w:r>
      <w:r w:rsidR="00147AF8" w:rsidRPr="00147AF8">
        <w:rPr>
          <w:sz w:val="24"/>
          <w:lang w:val="sv-SE"/>
        </w:rPr>
        <w:tab/>
      </w:r>
      <w:r w:rsidRPr="00147AF8">
        <w:rPr>
          <w:sz w:val="24"/>
          <w:lang w:val="sv-SE"/>
        </w:rPr>
        <w:t xml:space="preserve">Europaparlamentets och rådets direktiv 2009/123/EG av den 21 oktober 2009 om ändring av direktiv 2005/35/EG om föroreningar förorsakade av fartyg och införandet av sanktioner för överträdelser, EUT L 280, 27.10.2009, s. 52, ELI: </w:t>
      </w:r>
      <w:hyperlink r:id="rId2" w:history="1">
        <w:r w:rsidRPr="00147AF8">
          <w:rPr>
            <w:rStyle w:val="Hyperlink"/>
            <w:sz w:val="24"/>
            <w:lang w:val="sv-SE"/>
          </w:rPr>
          <w:t>http://data.europa.eu/eli/dir/2009/123/oj</w:t>
        </w:r>
      </w:hyperlink>
      <w:r w:rsidRPr="00147AF8">
        <w:rPr>
          <w:sz w:val="24"/>
          <w:lang w:val="sv-SE"/>
        </w:rPr>
        <w:t>.</w:t>
      </w:r>
    </w:p>
  </w:footnote>
  <w:footnote w:id="3">
    <w:p w14:paraId="0FD7D272" w14:textId="77777777" w:rsidR="00840E86" w:rsidRPr="00147AF8" w:rsidRDefault="00840E86" w:rsidP="00147AF8">
      <w:pPr>
        <w:pStyle w:val="FootnoteText"/>
        <w:ind w:left="567" w:hanging="567"/>
        <w:rPr>
          <w:sz w:val="24"/>
          <w:lang w:val="sv-SE"/>
        </w:rPr>
      </w:pPr>
      <w:r w:rsidRPr="00147AF8">
        <w:rPr>
          <w:rStyle w:val="FootnoteReference"/>
          <w:sz w:val="24"/>
          <w:lang w:val="sv-SE"/>
        </w:rPr>
        <w:footnoteRef/>
      </w:r>
      <w:r w:rsidR="00147AF8" w:rsidRPr="00147AF8">
        <w:rPr>
          <w:sz w:val="24"/>
          <w:lang w:val="sv-SE"/>
        </w:rPr>
        <w:t xml:space="preserve"> </w:t>
      </w:r>
      <w:r w:rsidR="00147AF8" w:rsidRPr="00147AF8">
        <w:rPr>
          <w:sz w:val="24"/>
          <w:lang w:val="sv-SE"/>
        </w:rPr>
        <w:tab/>
      </w:r>
      <w:r w:rsidRPr="00147AF8">
        <w:rPr>
          <w:sz w:val="24"/>
          <w:lang w:val="sv-SE"/>
        </w:rPr>
        <w:t xml:space="preserve">Europaparlamentets och rådets direktiv (EU) 2024/1226 av den 24 april 2024 om fastställande av brottsrekvisit och påföljder för överträdelse av unionens restriktiva åtgärder och om ändring av direktiv (EU) 2018/1673, EUT L, 2024/1226, 29.4.2024, ELI: </w:t>
      </w:r>
      <w:hyperlink r:id="rId3" w:history="1">
        <w:r w:rsidRPr="00147AF8">
          <w:rPr>
            <w:rStyle w:val="Hyperlink"/>
            <w:sz w:val="24"/>
            <w:lang w:val="sv-SE"/>
          </w:rPr>
          <w:t>http://data.europa.eu/eli/dir/2024/1226/oj</w:t>
        </w:r>
      </w:hyperlink>
      <w:r w:rsidRPr="00147AF8">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52380" w14:textId="77777777" w:rsidR="00064002" w:rsidRPr="00147A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214B9" w14:textId="77777777" w:rsidR="00064002" w:rsidRPr="00147A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57EB" w14:textId="77777777" w:rsidR="00064002" w:rsidRPr="00147A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SV"/>
    <w:docVar w:name="dvnumam" w:val="0"/>
    <w:docVar w:name="dvpe" w:val="764.162"/>
    <w:docVar w:name="dvtitre" w:val="Europaparlamentets resolution av den xx xx 2024 om EU:s åtgärder mot Rysslands skuggflottor och säkerställande av ett fullständigt verkställande av sanktionerna mot Ryssland(2024/2885(RSP))"/>
  </w:docVars>
  <w:rsids>
    <w:rsidRoot w:val="007D66AE"/>
    <w:rsid w:val="00002272"/>
    <w:rsid w:val="00026EEE"/>
    <w:rsid w:val="00064002"/>
    <w:rsid w:val="000677B9"/>
    <w:rsid w:val="000831BA"/>
    <w:rsid w:val="000A42CC"/>
    <w:rsid w:val="000E7DD9"/>
    <w:rsid w:val="0010095E"/>
    <w:rsid w:val="00122D3F"/>
    <w:rsid w:val="00125B37"/>
    <w:rsid w:val="00147AF8"/>
    <w:rsid w:val="00187494"/>
    <w:rsid w:val="001D115C"/>
    <w:rsid w:val="001F32AE"/>
    <w:rsid w:val="002767FF"/>
    <w:rsid w:val="002B18FE"/>
    <w:rsid w:val="002B5493"/>
    <w:rsid w:val="00343214"/>
    <w:rsid w:val="00361C00"/>
    <w:rsid w:val="00395FA1"/>
    <w:rsid w:val="003A6229"/>
    <w:rsid w:val="003E15D4"/>
    <w:rsid w:val="00411CCE"/>
    <w:rsid w:val="0041666E"/>
    <w:rsid w:val="00421060"/>
    <w:rsid w:val="00433C80"/>
    <w:rsid w:val="00471C19"/>
    <w:rsid w:val="004867E3"/>
    <w:rsid w:val="00494A28"/>
    <w:rsid w:val="004A0770"/>
    <w:rsid w:val="004C0004"/>
    <w:rsid w:val="004C5D52"/>
    <w:rsid w:val="0050519A"/>
    <w:rsid w:val="005072A1"/>
    <w:rsid w:val="00514517"/>
    <w:rsid w:val="00545827"/>
    <w:rsid w:val="00560270"/>
    <w:rsid w:val="005C2568"/>
    <w:rsid w:val="005F1B17"/>
    <w:rsid w:val="006037C0"/>
    <w:rsid w:val="006631B6"/>
    <w:rsid w:val="00680577"/>
    <w:rsid w:val="006F74FA"/>
    <w:rsid w:val="00705100"/>
    <w:rsid w:val="00731ADD"/>
    <w:rsid w:val="00734777"/>
    <w:rsid w:val="00747932"/>
    <w:rsid w:val="00751A4A"/>
    <w:rsid w:val="00756632"/>
    <w:rsid w:val="00762C74"/>
    <w:rsid w:val="00786EC0"/>
    <w:rsid w:val="007D1690"/>
    <w:rsid w:val="007D66AE"/>
    <w:rsid w:val="007E22AD"/>
    <w:rsid w:val="00817416"/>
    <w:rsid w:val="00840E8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F23"/>
    <w:rsid w:val="00AF3B82"/>
    <w:rsid w:val="00B12E95"/>
    <w:rsid w:val="00B22876"/>
    <w:rsid w:val="00B558F0"/>
    <w:rsid w:val="00BD48FE"/>
    <w:rsid w:val="00BD7BD8"/>
    <w:rsid w:val="00BE6ADC"/>
    <w:rsid w:val="00C05BFE"/>
    <w:rsid w:val="00C23CD4"/>
    <w:rsid w:val="00C40436"/>
    <w:rsid w:val="00C61C0C"/>
    <w:rsid w:val="00C941CB"/>
    <w:rsid w:val="00CC2357"/>
    <w:rsid w:val="00CF071A"/>
    <w:rsid w:val="00D058B8"/>
    <w:rsid w:val="00D56C11"/>
    <w:rsid w:val="00D834A0"/>
    <w:rsid w:val="00D872DF"/>
    <w:rsid w:val="00D91E21"/>
    <w:rsid w:val="00DA7FCD"/>
    <w:rsid w:val="00E365E1"/>
    <w:rsid w:val="00E820A4"/>
    <w:rsid w:val="00E90422"/>
    <w:rsid w:val="00EB006A"/>
    <w:rsid w:val="00EB4772"/>
    <w:rsid w:val="00ED169E"/>
    <w:rsid w:val="00ED3AC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766C5"/>
  <w15:chartTrackingRefBased/>
  <w15:docId w15:val="{7539A2C8-6673-42C5-827C-18526D558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0E86"/>
    <w:pPr>
      <w:spacing w:after="240"/>
      <w:ind w:left="567" w:hanging="567"/>
    </w:pPr>
  </w:style>
  <w:style w:type="paragraph" w:customStyle="1" w:styleId="EPComma">
    <w:name w:val="EPComma"/>
    <w:basedOn w:val="Normal"/>
    <w:link w:val="EPCommaChar"/>
    <w:rsid w:val="00840E86"/>
    <w:pPr>
      <w:spacing w:before="480" w:after="240"/>
    </w:pPr>
  </w:style>
  <w:style w:type="character" w:customStyle="1" w:styleId="EPCommaChar">
    <w:name w:val="EPComma Char"/>
    <w:basedOn w:val="DefaultParagraphFont"/>
    <w:link w:val="EPComma"/>
    <w:rsid w:val="00840E86"/>
    <w:rPr>
      <w:sz w:val="24"/>
      <w:lang w:val="sv-SE"/>
    </w:rPr>
  </w:style>
  <w:style w:type="character" w:customStyle="1" w:styleId="Aucun">
    <w:name w:val="Aucun"/>
    <w:rsid w:val="00840E86"/>
  </w:style>
  <w:style w:type="character" w:customStyle="1" w:styleId="NormalHanging12aChar">
    <w:name w:val="NormalHanging12a Char"/>
    <w:basedOn w:val="DefaultParagraphFont"/>
    <w:link w:val="NormalHanging12a"/>
    <w:rsid w:val="00840E86"/>
    <w:rPr>
      <w:sz w:val="24"/>
      <w:lang w:val="sv-SE"/>
    </w:rPr>
  </w:style>
  <w:style w:type="character" w:customStyle="1" w:styleId="s2">
    <w:name w:val="s2"/>
    <w:basedOn w:val="DefaultParagraphFont"/>
    <w:rsid w:val="00840E86"/>
  </w:style>
  <w:style w:type="character" w:styleId="Hyperlink">
    <w:name w:val="Hyperlink"/>
    <w:basedOn w:val="DefaultParagraphFont"/>
    <w:rsid w:val="00840E86"/>
    <w:rPr>
      <w:color w:val="0563C1" w:themeColor="hyperlink"/>
      <w:u w:val="single"/>
    </w:rPr>
  </w:style>
  <w:style w:type="paragraph" w:styleId="BalloonText">
    <w:name w:val="Balloon Text"/>
    <w:basedOn w:val="Normal"/>
    <w:link w:val="BalloonTextChar"/>
    <w:rsid w:val="004A0770"/>
    <w:rPr>
      <w:rFonts w:ascii="Segoe UI" w:hAnsi="Segoe UI" w:cs="Segoe UI"/>
      <w:sz w:val="18"/>
      <w:szCs w:val="18"/>
    </w:rPr>
  </w:style>
  <w:style w:type="character" w:customStyle="1" w:styleId="BalloonTextChar">
    <w:name w:val="Balloon Text Char"/>
    <w:basedOn w:val="DefaultParagraphFont"/>
    <w:link w:val="BalloonText"/>
    <w:rsid w:val="004A0770"/>
    <w:rPr>
      <w:rFonts w:ascii="Segoe UI" w:hAnsi="Segoe UI" w:cs="Segoe UI"/>
      <w:sz w:val="18"/>
      <w:szCs w:val="18"/>
      <w:lang w:val="sv-SE"/>
    </w:rPr>
  </w:style>
  <w:style w:type="character" w:styleId="FollowedHyperlink">
    <w:name w:val="FollowedHyperlink"/>
    <w:basedOn w:val="DefaultParagraphFont"/>
    <w:rsid w:val="001D115C"/>
    <w:rPr>
      <w:color w:val="954F72" w:themeColor="followedHyperlink"/>
      <w:u w:val="single"/>
    </w:rPr>
  </w:style>
  <w:style w:type="character" w:styleId="CommentReference">
    <w:name w:val="annotation reference"/>
    <w:basedOn w:val="DefaultParagraphFont"/>
    <w:rsid w:val="00C40436"/>
    <w:rPr>
      <w:sz w:val="16"/>
      <w:szCs w:val="16"/>
    </w:rPr>
  </w:style>
  <w:style w:type="paragraph" w:styleId="CommentText">
    <w:name w:val="annotation text"/>
    <w:basedOn w:val="Normal"/>
    <w:link w:val="CommentTextChar"/>
    <w:rsid w:val="00C40436"/>
    <w:rPr>
      <w:sz w:val="20"/>
    </w:rPr>
  </w:style>
  <w:style w:type="character" w:customStyle="1" w:styleId="CommentTextChar">
    <w:name w:val="Comment Text Char"/>
    <w:basedOn w:val="DefaultParagraphFont"/>
    <w:link w:val="CommentText"/>
    <w:rsid w:val="00C40436"/>
    <w:rPr>
      <w:lang w:val="sv-SE"/>
    </w:rPr>
  </w:style>
  <w:style w:type="paragraph" w:styleId="CommentSubject">
    <w:name w:val="annotation subject"/>
    <w:basedOn w:val="CommentText"/>
    <w:next w:val="CommentText"/>
    <w:link w:val="CommentSubjectChar"/>
    <w:rsid w:val="00C40436"/>
    <w:rPr>
      <w:b/>
      <w:bCs/>
    </w:rPr>
  </w:style>
  <w:style w:type="character" w:customStyle="1" w:styleId="CommentSubjectChar">
    <w:name w:val="Comment Subject Char"/>
    <w:basedOn w:val="CommentTextChar"/>
    <w:link w:val="CommentSubject"/>
    <w:rsid w:val="00C4043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96AF4-D750-495C-8340-BB4BD9D99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3625</Words>
  <Characters>23235</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2024-11-14T12:21:00Z</dcterms:created>
  <dcterms:modified xsi:type="dcterms:W3CDTF">2024-11-14T12:21:00Z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B10-0161/2024</vt:lpwstr>
  </property>
  <property fmtid="{D5CDD505-2E9C-101B-9397-08002B2CF9AE}" pid="4" name="&lt;Type&gt;">
    <vt:lpwstr>RR</vt:lpwstr>
  </property>
</Properties>
</file>