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598D" w:rsidTr="0010095E">
        <w:trPr>
          <w:trHeight w:hRule="exact" w:val="1418"/>
        </w:trPr>
        <w:tc>
          <w:tcPr>
            <w:tcW w:w="6804" w:type="dxa"/>
            <w:shd w:val="clear" w:color="auto" w:fill="auto"/>
            <w:vAlign w:val="center"/>
          </w:tcPr>
          <w:p w:rsidR="00751A4A" w:rsidRPr="0036598D" w:rsidRDefault="00470A0D" w:rsidP="0010095E">
            <w:pPr>
              <w:pStyle w:val="EPName"/>
            </w:pPr>
            <w:r w:rsidRPr="0036598D">
              <w:t>Европейски</w:t>
            </w:r>
            <w:r w:rsidR="00221156" w:rsidRPr="0036598D">
              <w:t xml:space="preserve"> парламент</w:t>
            </w:r>
          </w:p>
          <w:p w:rsidR="00751A4A" w:rsidRPr="0036598D" w:rsidRDefault="005F1B17" w:rsidP="005F1B17">
            <w:pPr>
              <w:pStyle w:val="EPTerm"/>
              <w:rPr>
                <w:rStyle w:val="HideTWBExt"/>
                <w:noProof w:val="0"/>
                <w:vanish w:val="0"/>
                <w:color w:val="auto"/>
              </w:rPr>
            </w:pPr>
            <w:r w:rsidRPr="0036598D">
              <w:t>2024</w:t>
            </w:r>
            <w:r w:rsidR="00470A0D">
              <w:t> – </w:t>
            </w:r>
            <w:r w:rsidR="00817416" w:rsidRPr="0036598D">
              <w:t>202</w:t>
            </w:r>
            <w:r w:rsidRPr="0036598D">
              <w:t>9</w:t>
            </w:r>
          </w:p>
        </w:tc>
        <w:tc>
          <w:tcPr>
            <w:tcW w:w="2268" w:type="dxa"/>
            <w:shd w:val="clear" w:color="auto" w:fill="auto"/>
          </w:tcPr>
          <w:p w:rsidR="00751A4A" w:rsidRPr="0036598D" w:rsidRDefault="00187494" w:rsidP="0010095E">
            <w:pPr>
              <w:pStyle w:val="EPLogo"/>
            </w:pPr>
            <w:r w:rsidRPr="003659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598D" w:rsidRDefault="00D058B8" w:rsidP="004C5D52">
      <w:pPr>
        <w:pStyle w:val="LineTop"/>
      </w:pPr>
    </w:p>
    <w:p w:rsidR="00680577" w:rsidRPr="0036598D" w:rsidRDefault="00221156" w:rsidP="00680577">
      <w:pPr>
        <w:pStyle w:val="EPBodyTA1"/>
      </w:pPr>
      <w:r w:rsidRPr="0036598D">
        <w:t>ПРИЕТИ ТЕКСТОВЕ</w:t>
      </w:r>
    </w:p>
    <w:p w:rsidR="00D058B8" w:rsidRPr="0036598D" w:rsidRDefault="00D058B8" w:rsidP="00D058B8">
      <w:pPr>
        <w:pStyle w:val="LineBottom"/>
      </w:pPr>
    </w:p>
    <w:p w:rsidR="00221156" w:rsidRPr="007E6731" w:rsidRDefault="00221156" w:rsidP="00221156">
      <w:pPr>
        <w:pStyle w:val="ATHeading1"/>
      </w:pPr>
      <w:bookmarkStart w:id="0" w:name="TANumber"/>
      <w:r w:rsidRPr="0036598D">
        <w:t>P10_TA(2024)00</w:t>
      </w:r>
      <w:bookmarkEnd w:id="0"/>
      <w:r w:rsidR="0050480D" w:rsidRPr="007E6731">
        <w:t>38</w:t>
      </w:r>
    </w:p>
    <w:p w:rsidR="00221156" w:rsidRPr="0036598D" w:rsidRDefault="00221156" w:rsidP="00470A0D">
      <w:pPr>
        <w:pStyle w:val="ATHeading2"/>
      </w:pPr>
      <w:bookmarkStart w:id="1" w:name="title"/>
      <w:r w:rsidRPr="0036598D">
        <w:t>Генетично модифицирана царевица MON</w:t>
      </w:r>
      <w:r w:rsidR="00470A0D">
        <w:t xml:space="preserve"> </w:t>
      </w:r>
      <w:r w:rsidRPr="0036598D">
        <w:t>89034 × 1507 × NK603</w:t>
      </w:r>
      <w:bookmarkEnd w:id="1"/>
    </w:p>
    <w:p w:rsidR="00221156" w:rsidRPr="0036598D" w:rsidRDefault="00221156" w:rsidP="00221156">
      <w:pPr>
        <w:rPr>
          <w:i/>
          <w:vanish/>
        </w:rPr>
      </w:pPr>
      <w:r w:rsidRPr="0036598D">
        <w:rPr>
          <w:i/>
        </w:rPr>
        <w:fldChar w:fldCharType="begin"/>
      </w:r>
      <w:r w:rsidRPr="0036598D">
        <w:rPr>
          <w:i/>
        </w:rPr>
        <w:instrText xml:space="preserve"> TC"(</w:instrText>
      </w:r>
      <w:bookmarkStart w:id="2" w:name="DocNumber"/>
      <w:r w:rsidRPr="0036598D">
        <w:rPr>
          <w:i/>
        </w:rPr>
        <w:instrText>B10-0148/2024</w:instrText>
      </w:r>
      <w:bookmarkEnd w:id="2"/>
      <w:r w:rsidRPr="0036598D">
        <w:rPr>
          <w:i/>
        </w:rPr>
        <w:instrText xml:space="preserve">)"\l3 \n&gt; \* MERGEFORMAT </w:instrText>
      </w:r>
      <w:r w:rsidRPr="0036598D">
        <w:rPr>
          <w:i/>
        </w:rPr>
        <w:fldChar w:fldCharType="end"/>
      </w:r>
    </w:p>
    <w:p w:rsidR="00221156" w:rsidRPr="0036598D" w:rsidRDefault="00221156" w:rsidP="00221156">
      <w:pPr>
        <w:rPr>
          <w:vanish/>
        </w:rPr>
      </w:pPr>
      <w:bookmarkStart w:id="3" w:name="PE"/>
      <w:r w:rsidRPr="0036598D">
        <w:rPr>
          <w:vanish/>
        </w:rPr>
        <w:t>PE763.279</w:t>
      </w:r>
      <w:bookmarkEnd w:id="3"/>
    </w:p>
    <w:p w:rsidR="00221156" w:rsidRPr="0036598D" w:rsidRDefault="00221156" w:rsidP="006A419E">
      <w:pPr>
        <w:pStyle w:val="ATHeading3"/>
      </w:pPr>
      <w:bookmarkStart w:id="4" w:name="Sujet"/>
      <w:r w:rsidRPr="0036598D">
        <w:t xml:space="preserve">Резолюция на Европейския парламент от </w:t>
      </w:r>
      <w:r w:rsidR="00470A0D">
        <w:t>26 ноември</w:t>
      </w:r>
      <w:r w:rsidRPr="0036598D">
        <w:t xml:space="preserve"> 2024 г. относно </w:t>
      </w:r>
      <w:r w:rsidR="006A419E">
        <w:t>Р</w:t>
      </w:r>
      <w:r w:rsidRPr="0036598D">
        <w:t xml:space="preserve">ешение за изпълнение </w:t>
      </w:r>
      <w:r w:rsidR="006A419E">
        <w:t xml:space="preserve">(ЕС) 2024/2628 </w:t>
      </w:r>
      <w:r w:rsidRPr="0036598D">
        <w:t>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NK603, съгласно Регламент (ЕО) № 1829/2003 на Европейския парламент и на Съвета</w:t>
      </w:r>
      <w:bookmarkEnd w:id="4"/>
      <w:r w:rsidRPr="0036598D">
        <w:t xml:space="preserve"> </w:t>
      </w:r>
      <w:bookmarkStart w:id="5" w:name="References"/>
      <w:r w:rsidRPr="0036598D">
        <w:t>(2024/2836(RSP))</w:t>
      </w:r>
      <w:bookmarkEnd w:id="5"/>
    </w:p>
    <w:p w:rsidR="003E6E0B" w:rsidRPr="0036598D" w:rsidRDefault="003E6E0B" w:rsidP="003E6E0B">
      <w:pPr>
        <w:pStyle w:val="EPComma"/>
      </w:pPr>
      <w:bookmarkStart w:id="6" w:name="TextBodyBegin"/>
      <w:bookmarkEnd w:id="6"/>
      <w:r w:rsidRPr="0036598D">
        <w:rPr>
          <w:i/>
          <w:iCs/>
        </w:rPr>
        <w:t>Европейският парламент</w:t>
      </w:r>
      <w:r w:rsidRPr="0036598D">
        <w:t>,</w:t>
      </w:r>
      <w:bookmarkStart w:id="7" w:name="_GoBack"/>
      <w:bookmarkEnd w:id="7"/>
    </w:p>
    <w:p w:rsidR="003E6E0B" w:rsidRPr="0036598D" w:rsidRDefault="003E6E0B" w:rsidP="006A419E">
      <w:pPr>
        <w:pStyle w:val="NormalHanging12a"/>
        <w:rPr>
          <w:szCs w:val="24"/>
        </w:rPr>
      </w:pPr>
      <w:r w:rsidRPr="0036598D">
        <w:t>–</w:t>
      </w:r>
      <w:r w:rsidRPr="0036598D">
        <w:tab/>
        <w:t xml:space="preserve">като взе предвид </w:t>
      </w:r>
      <w:r w:rsidR="006A419E">
        <w:t>Р</w:t>
      </w:r>
      <w:r w:rsidRPr="0036598D">
        <w:t xml:space="preserve">ешение за изпълнение </w:t>
      </w:r>
      <w:r w:rsidR="006A419E">
        <w:t xml:space="preserve">(ЕС) 2024/2628 </w:t>
      </w:r>
      <w:r w:rsidRPr="0036598D">
        <w:t>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NK603, съгласно Регламент (ЕО) № 1829/2003 на Европейския парламент и на Съвета</w:t>
      </w:r>
      <w:r w:rsidR="007E6731">
        <w:rPr>
          <w:rStyle w:val="FootnoteReference"/>
        </w:rPr>
        <w:footnoteReference w:id="1"/>
      </w:r>
      <w:r w:rsidRPr="0036598D">
        <w:t>,</w:t>
      </w:r>
    </w:p>
    <w:p w:rsidR="003E6E0B" w:rsidRPr="0036598D" w:rsidRDefault="003E6E0B" w:rsidP="003E6E0B">
      <w:pPr>
        <w:pStyle w:val="NormalHanging12a"/>
        <w:rPr>
          <w:szCs w:val="24"/>
        </w:rPr>
      </w:pPr>
      <w:r w:rsidRPr="0036598D">
        <w:t>–</w:t>
      </w:r>
      <w:r w:rsidRPr="0036598D">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36598D">
        <w:rPr>
          <w:rStyle w:val="FootnoteReference"/>
          <w:szCs w:val="24"/>
        </w:rPr>
        <w:footnoteReference w:id="2"/>
      </w:r>
      <w:r w:rsidRPr="0036598D">
        <w:t>, и по-специално член 11, параграф 3 и член 23, параграф 3 от него,</w:t>
      </w:r>
    </w:p>
    <w:p w:rsidR="003E6E0B" w:rsidRPr="0036598D" w:rsidRDefault="003E6E0B" w:rsidP="003E6E0B">
      <w:pPr>
        <w:pStyle w:val="NormalHanging12a"/>
        <w:rPr>
          <w:szCs w:val="24"/>
        </w:rPr>
      </w:pPr>
      <w:r w:rsidRPr="0036598D">
        <w:t>–</w:t>
      </w:r>
      <w:r w:rsidRPr="0036598D">
        <w:tab/>
        <w:t>като взе предвид гласуването</w:t>
      </w:r>
      <w:r w:rsidRPr="0036598D">
        <w:rPr>
          <w:shd w:val="clear" w:color="auto" w:fill="FFFFFF"/>
        </w:rPr>
        <w:t xml:space="preserve"> </w:t>
      </w:r>
      <w:r w:rsidRPr="0036598D">
        <w:t>на 8 юли 2024 г. в Постоянния комитет по растенията, животните, храните и фуражите, посочен в член 35 от Регламент (ЕО) № 1829/2003, при което не беше изразено становище, както и гласуването в апелативния комитет на 3 септември 2024 г., при което също не беше изразено становище,</w:t>
      </w:r>
    </w:p>
    <w:p w:rsidR="003E6E0B" w:rsidRPr="0036598D" w:rsidRDefault="003E6E0B" w:rsidP="003E6E0B">
      <w:pPr>
        <w:pStyle w:val="NormalHanging12a"/>
        <w:rPr>
          <w:szCs w:val="24"/>
        </w:rPr>
      </w:pPr>
      <w:r w:rsidRPr="0036598D">
        <w:t>–</w:t>
      </w:r>
      <w:r w:rsidRPr="0036598D">
        <w:tab/>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36598D">
        <w:rPr>
          <w:rStyle w:val="FootnoteReference"/>
          <w:szCs w:val="24"/>
        </w:rPr>
        <w:footnoteReference w:id="3"/>
      </w:r>
      <w:r w:rsidRPr="0036598D">
        <w:t>,</w:t>
      </w:r>
    </w:p>
    <w:p w:rsidR="003E6E0B" w:rsidRPr="0036598D" w:rsidRDefault="003E6E0B" w:rsidP="003E6E0B">
      <w:pPr>
        <w:pStyle w:val="NormalHanging12a"/>
        <w:rPr>
          <w:szCs w:val="24"/>
        </w:rPr>
      </w:pPr>
      <w:r w:rsidRPr="0036598D">
        <w:t>–</w:t>
      </w:r>
      <w:r w:rsidRPr="0036598D">
        <w:tab/>
        <w:t xml:space="preserve">като взе предвид становището, прието от Европейския орган за безопасност на </w:t>
      </w:r>
      <w:r w:rsidRPr="0036598D">
        <w:lastRenderedPageBreak/>
        <w:t>храните (ЕОБХ) на 13 март 2024 г. и публикувано на 29 април 2024 г.</w:t>
      </w:r>
      <w:r w:rsidRPr="0036598D">
        <w:rPr>
          <w:rStyle w:val="FootnoteReference"/>
          <w:szCs w:val="24"/>
        </w:rPr>
        <w:footnoteReference w:id="4"/>
      </w:r>
      <w:r w:rsidRPr="0036598D">
        <w:t>,</w:t>
      </w:r>
    </w:p>
    <w:p w:rsidR="003E6E0B" w:rsidRPr="0036598D" w:rsidRDefault="003E6E0B" w:rsidP="003E6E0B">
      <w:pPr>
        <w:pStyle w:val="NormalHanging12a"/>
        <w:rPr>
          <w:szCs w:val="24"/>
        </w:rPr>
      </w:pPr>
      <w:r w:rsidRPr="0036598D">
        <w:t>–</w:t>
      </w:r>
      <w:r w:rsidRPr="0036598D">
        <w:tab/>
      </w:r>
      <w:r w:rsidRPr="0036598D">
        <w:rPr>
          <w:shd w:val="clear" w:color="auto" w:fill="FFFFFF"/>
        </w:rPr>
        <w:t>като взе предвид предходните си резолюции, в които възразява срещу разрешаването на генетично модифицирани организми („ГМО“)</w:t>
      </w:r>
      <w:r w:rsidRPr="0036598D">
        <w:rPr>
          <w:szCs w:val="24"/>
          <w:shd w:val="clear" w:color="auto" w:fill="FFFFFF"/>
          <w:vertAlign w:val="superscript"/>
        </w:rPr>
        <w:footnoteReference w:id="5"/>
      </w:r>
      <w:r w:rsidRPr="0036598D">
        <w:rPr>
          <w:shd w:val="clear" w:color="auto" w:fill="FFFFFF"/>
        </w:rPr>
        <w:t>,</w:t>
      </w:r>
    </w:p>
    <w:p w:rsidR="003E6E0B" w:rsidRPr="0036598D" w:rsidRDefault="003E6E0B" w:rsidP="003E6E0B">
      <w:pPr>
        <w:pStyle w:val="NormalHanging12a"/>
        <w:rPr>
          <w:szCs w:val="24"/>
        </w:rPr>
      </w:pPr>
      <w:r w:rsidRPr="0036598D">
        <w:t>–</w:t>
      </w:r>
      <w:r w:rsidRPr="0036598D">
        <w:tab/>
        <w:t>като взе предвид член 115, параграфи 2 и 3 от своя Правилник за дейността,</w:t>
      </w:r>
    </w:p>
    <w:p w:rsidR="003E6E0B" w:rsidRPr="0036598D" w:rsidRDefault="003E6E0B" w:rsidP="003E6E0B">
      <w:pPr>
        <w:pStyle w:val="NormalHanging12a"/>
        <w:rPr>
          <w:szCs w:val="24"/>
        </w:rPr>
      </w:pPr>
      <w:r w:rsidRPr="0036598D">
        <w:t>–</w:t>
      </w:r>
      <w:r w:rsidRPr="0036598D">
        <w:tab/>
        <w:t>като взе предвид предложението за резолюция на комисията по околна среда, обществено здраве и безопасност на храните,</w:t>
      </w:r>
    </w:p>
    <w:p w:rsidR="003E6E0B" w:rsidRPr="0036598D" w:rsidRDefault="003E6E0B" w:rsidP="003E6E0B">
      <w:pPr>
        <w:pStyle w:val="NormalHanging12a"/>
        <w:rPr>
          <w:szCs w:val="24"/>
        </w:rPr>
      </w:pPr>
      <w:r w:rsidRPr="0036598D">
        <w:t>А.</w:t>
      </w:r>
      <w:r w:rsidRPr="0036598D">
        <w:tab/>
        <w:t xml:space="preserve">като има предвид, че на 21 октомври 2022 г. дружеството </w:t>
      </w:r>
      <w:proofErr w:type="spellStart"/>
      <w:r w:rsidRPr="0036598D">
        <w:rPr>
          <w:i/>
          <w:iCs/>
        </w:rPr>
        <w:t>Corteva</w:t>
      </w:r>
      <w:proofErr w:type="spellEnd"/>
      <w:r w:rsidRPr="0036598D">
        <w:rPr>
          <w:i/>
          <w:iCs/>
        </w:rPr>
        <w:t xml:space="preserve"> </w:t>
      </w:r>
      <w:proofErr w:type="spellStart"/>
      <w:r w:rsidRPr="0036598D">
        <w:rPr>
          <w:i/>
          <w:iCs/>
        </w:rPr>
        <w:t>Agriscience</w:t>
      </w:r>
      <w:proofErr w:type="spellEnd"/>
      <w:r w:rsidRPr="0036598D">
        <w:rPr>
          <w:i/>
          <w:iCs/>
        </w:rPr>
        <w:t xml:space="preserve"> </w:t>
      </w:r>
      <w:proofErr w:type="spellStart"/>
      <w:r w:rsidRPr="0036598D">
        <w:rPr>
          <w:i/>
          <w:iCs/>
        </w:rPr>
        <w:t>Belgium</w:t>
      </w:r>
      <w:proofErr w:type="spellEnd"/>
      <w:r w:rsidRPr="0036598D">
        <w:rPr>
          <w:i/>
          <w:iCs/>
        </w:rPr>
        <w:t xml:space="preserve"> BV</w:t>
      </w:r>
      <w:r w:rsidRPr="0036598D">
        <w:t xml:space="preserve">, установено в Белгия, от името на </w:t>
      </w:r>
      <w:proofErr w:type="spellStart"/>
      <w:r w:rsidRPr="0036598D">
        <w:rPr>
          <w:i/>
          <w:iCs/>
        </w:rPr>
        <w:t>Corteva</w:t>
      </w:r>
      <w:proofErr w:type="spellEnd"/>
      <w:r w:rsidRPr="0036598D">
        <w:rPr>
          <w:i/>
          <w:iCs/>
        </w:rPr>
        <w:t xml:space="preserve"> </w:t>
      </w:r>
      <w:proofErr w:type="spellStart"/>
      <w:r w:rsidRPr="0036598D">
        <w:rPr>
          <w:i/>
          <w:iCs/>
        </w:rPr>
        <w:t>Agriscience</w:t>
      </w:r>
      <w:proofErr w:type="spellEnd"/>
      <w:r w:rsidRPr="0036598D">
        <w:rPr>
          <w:i/>
          <w:iCs/>
        </w:rPr>
        <w:t xml:space="preserve"> LLC</w:t>
      </w:r>
      <w:r w:rsidRPr="0036598D">
        <w:t xml:space="preserve"> със седалище в Съединените щати, и дружеството </w:t>
      </w:r>
      <w:r w:rsidRPr="0036598D">
        <w:rPr>
          <w:i/>
          <w:iCs/>
        </w:rPr>
        <w:t xml:space="preserve">Bayer </w:t>
      </w:r>
      <w:proofErr w:type="spellStart"/>
      <w:r w:rsidRPr="0036598D">
        <w:rPr>
          <w:i/>
          <w:iCs/>
        </w:rPr>
        <w:t>Agriculture</w:t>
      </w:r>
      <w:proofErr w:type="spellEnd"/>
      <w:r w:rsidRPr="0036598D">
        <w:rPr>
          <w:i/>
          <w:iCs/>
        </w:rPr>
        <w:t xml:space="preserve"> BV</w:t>
      </w:r>
      <w:r w:rsidRPr="0036598D">
        <w:t xml:space="preserve">, установено в Белгия, от името на </w:t>
      </w:r>
      <w:r w:rsidRPr="0036598D">
        <w:rPr>
          <w:i/>
          <w:iCs/>
        </w:rPr>
        <w:t xml:space="preserve">Bayer </w:t>
      </w:r>
      <w:proofErr w:type="spellStart"/>
      <w:r w:rsidRPr="0036598D">
        <w:rPr>
          <w:i/>
          <w:iCs/>
        </w:rPr>
        <w:t>CropScience</w:t>
      </w:r>
      <w:proofErr w:type="spellEnd"/>
      <w:r w:rsidRPr="0036598D">
        <w:rPr>
          <w:i/>
          <w:iCs/>
        </w:rPr>
        <w:t xml:space="preserve"> LP</w:t>
      </w:r>
      <w:r w:rsidRPr="0036598D">
        <w:t xml:space="preserve"> със седалище в Съединените щати, съвместно подадоха заявление до Комисията за подновяване на разрешението за генетично модифицираната царевица MON 89034 × 1507 × NK603 („генетично модифицираната царевица“);</w:t>
      </w:r>
    </w:p>
    <w:p w:rsidR="003E6E0B" w:rsidRPr="0036598D" w:rsidRDefault="003E6E0B" w:rsidP="003E6E0B">
      <w:pPr>
        <w:pStyle w:val="NormalHanging12a"/>
        <w:rPr>
          <w:szCs w:val="24"/>
        </w:rPr>
      </w:pPr>
      <w:r w:rsidRPr="0036598D">
        <w:t>Б.</w:t>
      </w:r>
      <w:r w:rsidRPr="0036598D">
        <w:tab/>
        <w:t>като има предвид, че на 13 март 2024 г. ЕОБХ даде положително становище, което беше публикувано на 26 април 2024 г.;</w:t>
      </w:r>
    </w:p>
    <w:p w:rsidR="003E6E0B" w:rsidRPr="0036598D" w:rsidRDefault="003E6E0B" w:rsidP="003E6E0B">
      <w:pPr>
        <w:pStyle w:val="NormalHanging12a"/>
        <w:rPr>
          <w:szCs w:val="24"/>
        </w:rPr>
      </w:pPr>
      <w:r w:rsidRPr="0036598D">
        <w:t>В.</w:t>
      </w:r>
      <w:r w:rsidRPr="0036598D">
        <w:tab/>
        <w:t xml:space="preserve">като има предвид, че генетично модифицираната царевица съдържа гени, които придават резистентност към </w:t>
      </w:r>
      <w:proofErr w:type="spellStart"/>
      <w:r w:rsidRPr="0036598D">
        <w:t>глуфосат</w:t>
      </w:r>
      <w:proofErr w:type="spellEnd"/>
      <w:r w:rsidRPr="0036598D">
        <w:t xml:space="preserve">, и произвежда </w:t>
      </w:r>
      <w:proofErr w:type="spellStart"/>
      <w:r w:rsidRPr="0036598D">
        <w:t>инсектицидни</w:t>
      </w:r>
      <w:proofErr w:type="spellEnd"/>
      <w:r w:rsidRPr="0036598D">
        <w:t xml:space="preserve"> протеини („</w:t>
      </w:r>
      <w:proofErr w:type="spellStart"/>
      <w:r w:rsidRPr="0036598D">
        <w:t>Bt</w:t>
      </w:r>
      <w:proofErr w:type="spellEnd"/>
      <w:r w:rsidRPr="0036598D">
        <w:t> токсини“);</w:t>
      </w:r>
    </w:p>
    <w:p w:rsidR="003E6E0B" w:rsidRPr="0036598D" w:rsidRDefault="003E6E0B" w:rsidP="003E6E0B">
      <w:pPr>
        <w:pStyle w:val="NormalHanging12a"/>
        <w:rPr>
          <w:b/>
          <w:i/>
          <w:szCs w:val="24"/>
        </w:rPr>
      </w:pPr>
      <w:r w:rsidRPr="0036598D">
        <w:rPr>
          <w:b/>
          <w:i/>
        </w:rPr>
        <w:t>Липса на оценка на добавъчните хербициди</w:t>
      </w:r>
    </w:p>
    <w:p w:rsidR="003E6E0B" w:rsidRPr="0036598D" w:rsidRDefault="003E6E0B" w:rsidP="003E6E0B">
      <w:pPr>
        <w:pStyle w:val="NormalHanging12a"/>
        <w:rPr>
          <w:szCs w:val="24"/>
        </w:rPr>
      </w:pPr>
      <w:r w:rsidRPr="0036598D">
        <w:t>Г.</w:t>
      </w:r>
      <w:r w:rsidRPr="0036598D">
        <w:tab/>
        <w:t>като има предвид, че в Регламент за изпълнение (ЕС) № 503/2013 на Комисията</w:t>
      </w:r>
      <w:r w:rsidRPr="0036598D">
        <w:rPr>
          <w:rStyle w:val="FootnoteReference"/>
          <w:szCs w:val="24"/>
        </w:rPr>
        <w:footnoteReference w:id="6"/>
      </w:r>
      <w:r w:rsidRPr="0036598D">
        <w:t xml:space="preserve"> се изисква оценка по въпроса дали очакваните селскостопански практики влияят на резултата от анализираните крайни точки; като има предвид, че съгласно посочения регламент за изпълнение това е от особено значение за растенията, устойчиви на хербициди;</w:t>
      </w:r>
    </w:p>
    <w:p w:rsidR="003E6E0B" w:rsidRPr="0036598D" w:rsidRDefault="003E6E0B" w:rsidP="003E6E0B">
      <w:pPr>
        <w:pStyle w:val="NormalHanging12a"/>
        <w:rPr>
          <w:szCs w:val="24"/>
        </w:rPr>
      </w:pPr>
      <w:r w:rsidRPr="0036598D">
        <w:t>Д.</w:t>
      </w:r>
      <w:r w:rsidRPr="0036598D">
        <w:tab/>
        <w:t xml:space="preserve">като има предвид, че по-голямата част от генетично модифицираните култури са генетично модифицирани, за да бъдат устойчиви на един или повече „добавъчни“ хербициди, които могат да се използват по време на отглеждането на генетично модифицираната култура, без тя да загине, както би се случило с неустойчива на хербициди култура; като има предвид, че редица изследвания показват, че генетично модифицираните култури, които са устойчиви на хербициди, водят до </w:t>
      </w:r>
      <w:r w:rsidRPr="0036598D">
        <w:lastRenderedPageBreak/>
        <w:t>по-широка употреба на добавъчни хербициди, до голяма степен поради появата на плевели, които са устойчиви на хербициди</w:t>
      </w:r>
      <w:r w:rsidRPr="0036598D">
        <w:rPr>
          <w:rStyle w:val="FootnoteReference"/>
          <w:szCs w:val="24"/>
        </w:rPr>
        <w:footnoteReference w:id="7"/>
      </w:r>
      <w:r w:rsidRPr="0036598D">
        <w:t>;</w:t>
      </w:r>
    </w:p>
    <w:p w:rsidR="003E6E0B" w:rsidRPr="0036598D" w:rsidRDefault="003E6E0B" w:rsidP="003E6E0B">
      <w:pPr>
        <w:pStyle w:val="NormalHanging12a"/>
        <w:rPr>
          <w:szCs w:val="24"/>
        </w:rPr>
      </w:pPr>
      <w:r w:rsidRPr="0036598D">
        <w:t>Е.</w:t>
      </w:r>
      <w:r w:rsidRPr="0036598D">
        <w:tab/>
        <w:t>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до голяма степен или изцяло е зависима от хербициди, и това се прави чрез начисляване на премия за генетично модифицирани семена, която може да бъде оправдана само ако земеделските стопани, които закупуват такива семена, също така пръскат с добавъчните хербициди; като има предвид, че засилената зависимост от добавъчни хербициди в земеделските стопанства, в които се засаждат генетично модифицирани култури, ускорява появата и разпространението на плевели, устойчиви на тези хербициди, и по този начин води до необходимостта от още по-голяма употреба на хербициди, създавайки своеобразен порочен кръг за земеделските стопани;</w:t>
      </w:r>
    </w:p>
    <w:p w:rsidR="003E6E0B" w:rsidRPr="0036598D" w:rsidRDefault="003E6E0B" w:rsidP="003E6E0B">
      <w:pPr>
        <w:pStyle w:val="NormalHanging12a"/>
        <w:rPr>
          <w:szCs w:val="24"/>
        </w:rPr>
      </w:pPr>
      <w:r w:rsidRPr="0036598D">
        <w:t>Ж.</w:t>
      </w:r>
      <w:r w:rsidRPr="0036598D">
        <w:tab/>
        <w:t>като има предвид, че неблагоприятните 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също и поради увеличаване на остатъчните вещества от хербициди в храните и фуражите;</w:t>
      </w:r>
    </w:p>
    <w:p w:rsidR="003E6E0B" w:rsidRPr="0036598D" w:rsidRDefault="003E6E0B" w:rsidP="003E6E0B">
      <w:pPr>
        <w:pStyle w:val="NormalHanging12a"/>
        <w:rPr>
          <w:szCs w:val="24"/>
        </w:rPr>
      </w:pPr>
      <w:r w:rsidRPr="0036598D">
        <w:t>З.</w:t>
      </w:r>
      <w:r w:rsidRPr="0036598D">
        <w:tab/>
        <w:t xml:space="preserve">като има предвид, че през ноември 2015 г. ЕОБХ заключи, че е малко вероятно </w:t>
      </w:r>
      <w:proofErr w:type="spellStart"/>
      <w:r w:rsidRPr="0036598D">
        <w:t>глифосатът</w:t>
      </w:r>
      <w:proofErr w:type="spellEnd"/>
      <w:r w:rsidRPr="0036598D">
        <w:t xml:space="preserve"> да е канцерогенен, а през март 2017 г. Европейската агенция по химикали заключи, че не е необходимо класифициране; като има предвид, че противно на това през 2015 г. Международната агенция за изследване на рака — специализираната агенция по ракови заболявания на Световната здравна организация, класифицира </w:t>
      </w:r>
      <w:proofErr w:type="spellStart"/>
      <w:r w:rsidRPr="0036598D">
        <w:t>глифосата</w:t>
      </w:r>
      <w:proofErr w:type="spellEnd"/>
      <w:r w:rsidRPr="0036598D">
        <w:t xml:space="preserve"> като вещество, което вероятно е канцерогенно за хората; като има предвид, че редица неотдавнашни рецензирани научни изследвания потвърждават канцерогенния потенциал на </w:t>
      </w:r>
      <w:proofErr w:type="spellStart"/>
      <w:r w:rsidRPr="0036598D">
        <w:t>глифосата</w:t>
      </w:r>
      <w:proofErr w:type="spellEnd"/>
      <w:r w:rsidRPr="0036598D">
        <w:rPr>
          <w:rStyle w:val="FootnoteReference"/>
          <w:szCs w:val="24"/>
        </w:rPr>
        <w:footnoteReference w:id="8"/>
      </w:r>
      <w:r w:rsidRPr="0036598D">
        <w:t>;</w:t>
      </w:r>
    </w:p>
    <w:p w:rsidR="003E6E0B" w:rsidRPr="0036598D" w:rsidRDefault="003E6E0B" w:rsidP="003E6E0B">
      <w:pPr>
        <w:pStyle w:val="NormalHanging12a"/>
        <w:rPr>
          <w:szCs w:val="24"/>
        </w:rPr>
      </w:pPr>
      <w:r w:rsidRPr="0036598D">
        <w:t>И.</w:t>
      </w:r>
      <w:r w:rsidRPr="0036598D">
        <w:tab/>
        <w:t xml:space="preserve">като има предвид, че се счита, че оценката на остатъчните вещества от хербициди и </w:t>
      </w:r>
      <w:proofErr w:type="spellStart"/>
      <w:r w:rsidRPr="0036598D">
        <w:t>метаболитите</w:t>
      </w:r>
      <w:proofErr w:type="spellEnd"/>
      <w:r w:rsidRPr="0036598D">
        <w:t xml:space="preserve">, открити в генетично модифицираните растения, е извън правомощията на Експертната група на ЕОБХ по генетично модифицирани организми и че следователно такава оценка не се извършва като част от процеса </w:t>
      </w:r>
      <w:r w:rsidRPr="0036598D">
        <w:lastRenderedPageBreak/>
        <w:t>на разрешаване на генетично модифицирани организми;</w:t>
      </w:r>
    </w:p>
    <w:p w:rsidR="003E6E0B" w:rsidRPr="0036598D" w:rsidRDefault="003E6E0B" w:rsidP="003E6E0B">
      <w:pPr>
        <w:pStyle w:val="NormalHanging12a"/>
        <w:rPr>
          <w:b/>
          <w:i/>
          <w:szCs w:val="24"/>
        </w:rPr>
      </w:pPr>
      <w:r w:rsidRPr="0036598D">
        <w:rPr>
          <w:b/>
          <w:i/>
        </w:rPr>
        <w:t xml:space="preserve">Нерешени въпроси относно </w:t>
      </w:r>
      <w:proofErr w:type="spellStart"/>
      <w:r w:rsidRPr="0036598D">
        <w:rPr>
          <w:b/>
          <w:i/>
        </w:rPr>
        <w:t>Bt</w:t>
      </w:r>
      <w:proofErr w:type="spellEnd"/>
      <w:r w:rsidRPr="0036598D">
        <w:rPr>
          <w:b/>
          <w:i/>
        </w:rPr>
        <w:t xml:space="preserve"> токсините</w:t>
      </w:r>
    </w:p>
    <w:p w:rsidR="003E6E0B" w:rsidRPr="0036598D" w:rsidRDefault="003E6E0B" w:rsidP="003E6E0B">
      <w:pPr>
        <w:pStyle w:val="NormalHanging12a"/>
        <w:rPr>
          <w:szCs w:val="24"/>
        </w:rPr>
      </w:pPr>
      <w:r w:rsidRPr="0036598D">
        <w:t>Й.</w:t>
      </w:r>
      <w:r w:rsidRPr="0036598D">
        <w:tab/>
        <w:t xml:space="preserve">като има предвид, че редица проучвания показват, че са наблюдавани странични ефекти, които могат да засегнат имунната система, вследствие на експозиция на </w:t>
      </w:r>
      <w:proofErr w:type="spellStart"/>
      <w:r w:rsidRPr="0036598D">
        <w:t>Bt</w:t>
      </w:r>
      <w:proofErr w:type="spellEnd"/>
      <w:r w:rsidRPr="0036598D">
        <w:t xml:space="preserve"> токсини, както и че някои </w:t>
      </w:r>
      <w:proofErr w:type="spellStart"/>
      <w:r w:rsidRPr="0036598D">
        <w:t>Bt</w:t>
      </w:r>
      <w:proofErr w:type="spellEnd"/>
      <w:r w:rsidRPr="0036598D">
        <w:t xml:space="preserve"> токсини могат да имат </w:t>
      </w:r>
      <w:proofErr w:type="spellStart"/>
      <w:r w:rsidRPr="0036598D">
        <w:t>адювантни</w:t>
      </w:r>
      <w:proofErr w:type="spellEnd"/>
      <w:r w:rsidRPr="0036598D">
        <w:t xml:space="preserve"> свойства</w:t>
      </w:r>
      <w:r w:rsidRPr="0036598D">
        <w:rPr>
          <w:rStyle w:val="FootnoteReference"/>
          <w:szCs w:val="24"/>
        </w:rPr>
        <w:footnoteReference w:id="9"/>
      </w:r>
      <w:r w:rsidRPr="0036598D">
        <w:t xml:space="preserve">, което означава, че те могат да увеличат </w:t>
      </w:r>
      <w:proofErr w:type="spellStart"/>
      <w:r w:rsidRPr="0036598D">
        <w:t>алергенността</w:t>
      </w:r>
      <w:proofErr w:type="spellEnd"/>
      <w:r w:rsidRPr="0036598D">
        <w:t xml:space="preserve"> на други протеини, с които влизат в контакт;</w:t>
      </w:r>
    </w:p>
    <w:p w:rsidR="003E6E0B" w:rsidRPr="0036598D" w:rsidRDefault="003E6E0B" w:rsidP="003E6E0B">
      <w:pPr>
        <w:pStyle w:val="NormalHanging12a"/>
        <w:rPr>
          <w:szCs w:val="24"/>
        </w:rPr>
      </w:pPr>
      <w:r w:rsidRPr="0036598D">
        <w:t>К.</w:t>
      </w:r>
      <w:r w:rsidRPr="0036598D">
        <w:tab/>
        <w:t xml:space="preserve">като има предвид, че в рамките на научно изследване беше установено, че токсичността на </w:t>
      </w:r>
      <w:proofErr w:type="spellStart"/>
      <w:r w:rsidRPr="0036598D">
        <w:t>Bt</w:t>
      </w:r>
      <w:proofErr w:type="spellEnd"/>
      <w:r w:rsidRPr="0036598D">
        <w:t xml:space="preserve"> токсините може също така да бъде повишена чрез взаимодействие с остатъчни вещества от пръскането с хербициди и че са необходими допълнителни изследвания относно комбинаторните ефекти от повече от едно трансформационно събитие (генетично модифицирани култури, които са били модифицирани, за да бъдат устойчиви на хербициди и да произвеждат инсектициди под формата на </w:t>
      </w:r>
      <w:proofErr w:type="spellStart"/>
      <w:r w:rsidRPr="0036598D">
        <w:t>Bt</w:t>
      </w:r>
      <w:proofErr w:type="spellEnd"/>
      <w:r w:rsidRPr="0036598D">
        <w:t> токсини)</w:t>
      </w:r>
      <w:r w:rsidRPr="0036598D">
        <w:rPr>
          <w:rStyle w:val="FootnoteReference"/>
          <w:szCs w:val="24"/>
        </w:rPr>
        <w:footnoteReference w:id="10"/>
      </w:r>
      <w:r w:rsidRPr="0036598D">
        <w:t xml:space="preserve">; като има предвид обаче, че се счита, че оценката на потенциалното взаимодействие на остатъците от хербициди и техните </w:t>
      </w:r>
      <w:proofErr w:type="spellStart"/>
      <w:r w:rsidRPr="0036598D">
        <w:t>метаболити</w:t>
      </w:r>
      <w:proofErr w:type="spellEnd"/>
      <w:r w:rsidRPr="0036598D">
        <w:t xml:space="preserve"> с </w:t>
      </w:r>
      <w:proofErr w:type="spellStart"/>
      <w:r w:rsidRPr="0036598D">
        <w:t>Bt</w:t>
      </w:r>
      <w:proofErr w:type="spellEnd"/>
      <w:r w:rsidRPr="0036598D">
        <w:t> токсини е извън правомощията на Експертната група на ЕОБХ по ГМО, и че следователно тя не се извършва като част от оценката на риска;</w:t>
      </w:r>
    </w:p>
    <w:p w:rsidR="003E6E0B" w:rsidRPr="0036598D" w:rsidRDefault="003E6E0B" w:rsidP="003E6E0B">
      <w:pPr>
        <w:pStyle w:val="NormalHanging12a"/>
        <w:rPr>
          <w:b/>
          <w:i/>
          <w:szCs w:val="24"/>
        </w:rPr>
      </w:pPr>
      <w:proofErr w:type="spellStart"/>
      <w:r w:rsidRPr="0036598D">
        <w:rPr>
          <w:b/>
          <w:i/>
        </w:rPr>
        <w:t>Bt</w:t>
      </w:r>
      <w:proofErr w:type="spellEnd"/>
      <w:r w:rsidRPr="0036598D">
        <w:rPr>
          <w:b/>
          <w:i/>
        </w:rPr>
        <w:t> култури: влияние върху нецелевите организми</w:t>
      </w:r>
    </w:p>
    <w:p w:rsidR="003E6E0B" w:rsidRPr="0036598D" w:rsidRDefault="003E6E0B" w:rsidP="003E6E0B">
      <w:pPr>
        <w:pStyle w:val="NormalHanging12a"/>
        <w:rPr>
          <w:szCs w:val="24"/>
        </w:rPr>
      </w:pPr>
      <w:r w:rsidRPr="0036598D">
        <w:t>Л.</w:t>
      </w:r>
      <w:r w:rsidRPr="0036598D">
        <w:tab/>
        <w:t xml:space="preserve">като има предвид, че за разлика от употребата на инсектициди, при която експозицията е по време на пръскането и за ограничен период от време след това, използването на генетично модифицирани </w:t>
      </w:r>
      <w:proofErr w:type="spellStart"/>
      <w:r w:rsidRPr="0036598D">
        <w:t>Bt</w:t>
      </w:r>
      <w:proofErr w:type="spellEnd"/>
      <w:r w:rsidRPr="0036598D">
        <w:t xml:space="preserve"> култури води до непрекъсната експозиция на целевите и нецелевите организми на </w:t>
      </w:r>
      <w:proofErr w:type="spellStart"/>
      <w:r w:rsidRPr="0036598D">
        <w:t>Bt</w:t>
      </w:r>
      <w:proofErr w:type="spellEnd"/>
      <w:r w:rsidRPr="0036598D">
        <w:t> токсини;</w:t>
      </w:r>
    </w:p>
    <w:p w:rsidR="003E6E0B" w:rsidRPr="0036598D" w:rsidRDefault="003E6E0B" w:rsidP="003E6E0B">
      <w:pPr>
        <w:pStyle w:val="NormalHanging12a"/>
        <w:rPr>
          <w:szCs w:val="24"/>
        </w:rPr>
      </w:pPr>
      <w:r w:rsidRPr="0036598D">
        <w:t>М.</w:t>
      </w:r>
      <w:r w:rsidRPr="0036598D">
        <w:tab/>
        <w:t xml:space="preserve">като има предвид, че вече не може да се счита за правилно допускането, че </w:t>
      </w:r>
      <w:proofErr w:type="spellStart"/>
      <w:r w:rsidRPr="0036598D">
        <w:t>Bt</w:t>
      </w:r>
      <w:proofErr w:type="spellEnd"/>
      <w:r w:rsidRPr="0036598D">
        <w:t xml:space="preserve"> токсините имат единичен и насочен към конкретни целеви организми механизъм на действие и че не може да се изключи въздействие върху нецелеви организми; като има предвид, че се съобщава за нарастващ брой нецелеви организми, които са засегнати по много начини; като има предвид, че в неотдавна извършен преглед се посочват 39 рецензирани публикации, в които се съобщава за значително неблагоприятно въздействие на </w:t>
      </w:r>
      <w:proofErr w:type="spellStart"/>
      <w:r w:rsidRPr="0036598D">
        <w:t>Bt</w:t>
      </w:r>
      <w:proofErr w:type="spellEnd"/>
      <w:r w:rsidRPr="0036598D">
        <w:t> токсините върху редица видове, които не са целеви</w:t>
      </w:r>
      <w:r w:rsidRPr="0036598D">
        <w:rPr>
          <w:rStyle w:val="FootnoteReference"/>
          <w:szCs w:val="24"/>
        </w:rPr>
        <w:footnoteReference w:id="11"/>
      </w:r>
      <w:r w:rsidRPr="0036598D">
        <w:t>;</w:t>
      </w:r>
    </w:p>
    <w:p w:rsidR="003E6E0B" w:rsidRPr="0036598D" w:rsidRDefault="003E6E0B" w:rsidP="003E6E0B">
      <w:pPr>
        <w:pStyle w:val="NormalHanging12a"/>
        <w:rPr>
          <w:b/>
          <w:i/>
          <w:szCs w:val="24"/>
        </w:rPr>
      </w:pPr>
      <w:r w:rsidRPr="0036598D">
        <w:rPr>
          <w:b/>
          <w:i/>
        </w:rPr>
        <w:t>Коментари на държавите членки и заинтересованите лица</w:t>
      </w:r>
    </w:p>
    <w:p w:rsidR="003E6E0B" w:rsidRPr="0036598D" w:rsidRDefault="003E6E0B" w:rsidP="003E6E0B">
      <w:pPr>
        <w:pStyle w:val="NormalHanging12a"/>
        <w:rPr>
          <w:szCs w:val="24"/>
        </w:rPr>
      </w:pPr>
      <w:r w:rsidRPr="0036598D">
        <w:lastRenderedPageBreak/>
        <w:t>Н.</w:t>
      </w:r>
      <w:r w:rsidRPr="0036598D">
        <w:tab/>
        <w:t>като има предвид, че държавите членки представиха на ЕОБХ голям брой критични коментари в рамките на тримесечния период на консултации</w:t>
      </w:r>
      <w:r w:rsidRPr="0036598D">
        <w:rPr>
          <w:rStyle w:val="FootnoteReference"/>
          <w:szCs w:val="24"/>
        </w:rPr>
        <w:footnoteReference w:id="12"/>
      </w:r>
      <w:r w:rsidRPr="0036598D">
        <w:t xml:space="preserve">, включително че списъкът на съответните изследвания, посочен в прегледа на литературата на заявителя, не включва изследвания относно съдбата на </w:t>
      </w:r>
      <w:proofErr w:type="spellStart"/>
      <w:r w:rsidRPr="0036598D">
        <w:t>Bt</w:t>
      </w:r>
      <w:proofErr w:type="spellEnd"/>
      <w:r w:rsidRPr="0036598D">
        <w:t xml:space="preserve">-протеините в околната среда или относно потенциалното въздействие на остатъците от </w:t>
      </w:r>
      <w:proofErr w:type="spellStart"/>
      <w:r w:rsidRPr="0036598D">
        <w:t>Bt</w:t>
      </w:r>
      <w:proofErr w:type="spellEnd"/>
      <w:r w:rsidRPr="0036598D">
        <w:t xml:space="preserve"> култури върху нецелевите организми, въпреки че такива изследвания съществуват; </w:t>
      </w:r>
    </w:p>
    <w:p w:rsidR="003E6E0B" w:rsidRPr="0036598D" w:rsidRDefault="003E6E0B" w:rsidP="0050480D">
      <w:pPr>
        <w:pStyle w:val="NormalHanging12a"/>
        <w:ind w:left="0" w:firstLine="0"/>
        <w:rPr>
          <w:b/>
          <w:i/>
          <w:szCs w:val="24"/>
        </w:rPr>
      </w:pPr>
      <w:r w:rsidRPr="0036598D">
        <w:rPr>
          <w:b/>
          <w:i/>
        </w:rPr>
        <w:t>Гарантиране на еднакви условия на конкуренция в световен мащаб и спазване на международните задължения на Съюза</w:t>
      </w:r>
    </w:p>
    <w:p w:rsidR="003E6E0B" w:rsidRPr="0036598D" w:rsidRDefault="003E6E0B" w:rsidP="003E6E0B">
      <w:pPr>
        <w:pStyle w:val="NormalHanging12a"/>
        <w:rPr>
          <w:szCs w:val="24"/>
        </w:rPr>
      </w:pPr>
      <w:r w:rsidRPr="0036598D">
        <w:t>О.</w:t>
      </w:r>
      <w:r w:rsidRPr="0036598D">
        <w:tab/>
        <w:t>като има предвид, че в заключенията на стратегическия диалог относно бъдещето на селското стопанство в ЕС</w:t>
      </w:r>
      <w:r w:rsidRPr="0036598D">
        <w:rPr>
          <w:rStyle w:val="FootnoteReference"/>
          <w:szCs w:val="24"/>
        </w:rPr>
        <w:footnoteReference w:id="13"/>
      </w:r>
      <w:r w:rsidRPr="0036598D">
        <w:t xml:space="preserve"> Комисията се призовава да преразгледа своя подход към достъпа до пазара за вноса и износа на селскостопански хранителни продукти, като се има предвид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и 2024 г.;</w:t>
      </w:r>
    </w:p>
    <w:p w:rsidR="003E6E0B" w:rsidRPr="0036598D" w:rsidRDefault="003E6E0B" w:rsidP="003E6E0B">
      <w:pPr>
        <w:pStyle w:val="NormalHanging12a"/>
        <w:rPr>
          <w:szCs w:val="24"/>
        </w:rPr>
      </w:pPr>
      <w:r w:rsidRPr="0036598D">
        <w:t>П.</w:t>
      </w:r>
      <w:r w:rsidRPr="0036598D">
        <w:tab/>
        <w:t>като има предвид, че в доклад от 2017 г. на специалния докладчик на Организацията на обединените нации (ООН) относно правото на прехрана се посочва, че опасните пестициди оказват катастрофално въздействие върху здравето, особено в развиващите се страни</w:t>
      </w:r>
      <w:r w:rsidRPr="0036598D">
        <w:rPr>
          <w:rStyle w:val="FootnoteReference"/>
          <w:szCs w:val="24"/>
        </w:rPr>
        <w:footnoteReference w:id="14"/>
      </w:r>
      <w:r w:rsidRPr="0036598D">
        <w:t>; като има предвид, че в цел 3.9 от целите за устойчиво развитие на ООН (ЦУР на ООН) е заложено до 2030 г. да се постигне значително намаляване на смъртните случаи и заболяванията, причинени от опасни химикали и замърсяване на въздуха, водата и почвата и от заразяване;</w:t>
      </w:r>
    </w:p>
    <w:p w:rsidR="003E6E0B" w:rsidRPr="0036598D" w:rsidRDefault="003E6E0B" w:rsidP="003E6E0B">
      <w:pPr>
        <w:pStyle w:val="NormalHanging12a"/>
        <w:rPr>
          <w:szCs w:val="24"/>
        </w:rPr>
      </w:pPr>
      <w:r w:rsidRPr="0036598D">
        <w:t>Р.</w:t>
      </w:r>
      <w:r w:rsidRPr="0036598D">
        <w:tab/>
        <w:t>като има предвид, че глобалната рамка за биологичното разнообразие Кунмин — Монреал („рамката Кунмин — Монреал“), договорена на 15-ата конференция на страните по Конвенцията на ООН за биологичното разнообразие (COP15) през декември 2022 г., включва глобална цел за намаляване на риска от пестициди с най-малко 50% до 2030 г.</w:t>
      </w:r>
      <w:r w:rsidRPr="0036598D">
        <w:rPr>
          <w:rStyle w:val="FootnoteReference"/>
          <w:szCs w:val="24"/>
        </w:rPr>
        <w:footnoteReference w:id="15"/>
      </w:r>
      <w:r w:rsidRPr="0036598D">
        <w:t>;</w:t>
      </w:r>
    </w:p>
    <w:p w:rsidR="003E6E0B" w:rsidRPr="0036598D" w:rsidRDefault="003E6E0B" w:rsidP="003E6E0B">
      <w:pPr>
        <w:pStyle w:val="NormalHanging12a"/>
        <w:rPr>
          <w:szCs w:val="24"/>
        </w:rPr>
      </w:pPr>
      <w:r w:rsidRPr="0036598D">
        <w:t>С.</w:t>
      </w:r>
      <w:r w:rsidRPr="0036598D">
        <w:tab/>
        <w:t xml:space="preserve">като има предвид, че в Регламент (ЕО) № 1829/2003 се посочва, че генетично модифицираните храни и фуражи не трябва да имат отрицателни ефекти върху човешкото здраве, здравето на животните или околната среда, и се изисква при изготвянето на решението си Комисията да взема предвид всички съответни разпоредби на законодателството на Съюза и други законни фактори, свързани с разглеждания въпрос; като има предвид, че тези законни фактори следва да </w:t>
      </w:r>
      <w:r w:rsidRPr="0036598D">
        <w:lastRenderedPageBreak/>
        <w:t>включват задълженията на Съюза съгласно ЦУР на ООН и Конвенцията на ООН за биологичното разнообразие;</w:t>
      </w:r>
    </w:p>
    <w:p w:rsidR="003E6E0B" w:rsidRPr="0036598D" w:rsidRDefault="003E6E0B" w:rsidP="003E6E0B">
      <w:pPr>
        <w:pStyle w:val="NormalHanging12a"/>
        <w:rPr>
          <w:b/>
          <w:i/>
          <w:szCs w:val="24"/>
        </w:rPr>
      </w:pPr>
      <w:r w:rsidRPr="0036598D">
        <w:rPr>
          <w:b/>
          <w:i/>
        </w:rPr>
        <w:t>Намаляване на зависимостта от вносни фуражи</w:t>
      </w:r>
    </w:p>
    <w:p w:rsidR="003E6E0B" w:rsidRPr="0036598D" w:rsidRDefault="003E6E0B" w:rsidP="003E6E0B">
      <w:pPr>
        <w:pStyle w:val="NormalHanging12a"/>
        <w:rPr>
          <w:b/>
          <w:i/>
          <w:szCs w:val="24"/>
        </w:rPr>
      </w:pPr>
      <w:r w:rsidRPr="0036598D">
        <w:t>Т.</w:t>
      </w:r>
      <w:r w:rsidRPr="0036598D">
        <w:tab/>
        <w:t xml:space="preserve">като има предвид, че една от поуките от кризата с COVID-19 и все още продължаващата война в Украйна е необходимостта Съюзът да сложи край на зависимостта от някои материали от критично значение; като има предвид, че в писмото за определяне на ресора до кандидата за член на Комисията Кристоф Хансен председателят на Комисията Урсула фон </w:t>
      </w:r>
      <w:proofErr w:type="spellStart"/>
      <w:r w:rsidRPr="0036598D">
        <w:t>дер</w:t>
      </w:r>
      <w:proofErr w:type="spellEnd"/>
      <w:r w:rsidRPr="0036598D">
        <w:t xml:space="preserve"> </w:t>
      </w:r>
      <w:proofErr w:type="spellStart"/>
      <w:r w:rsidRPr="0036598D">
        <w:t>Лайен</w:t>
      </w:r>
      <w:proofErr w:type="spellEnd"/>
      <w:r w:rsidRPr="0036598D">
        <w:t xml:space="preserve"> отправя искане към него да потърси начини за намаляване на вноса на стоки от критично значение</w:t>
      </w:r>
      <w:r w:rsidRPr="0036598D">
        <w:rPr>
          <w:rStyle w:val="FootnoteReference"/>
          <w:szCs w:val="24"/>
        </w:rPr>
        <w:footnoteReference w:id="16"/>
      </w:r>
      <w:r w:rsidRPr="0036598D">
        <w:t xml:space="preserve">; </w:t>
      </w:r>
    </w:p>
    <w:p w:rsidR="003E6E0B" w:rsidRPr="0036598D" w:rsidRDefault="003E6E0B" w:rsidP="003E6E0B">
      <w:pPr>
        <w:pStyle w:val="NormalHanging12a"/>
        <w:rPr>
          <w:b/>
          <w:i/>
          <w:szCs w:val="24"/>
        </w:rPr>
      </w:pPr>
      <w:r w:rsidRPr="0036598D">
        <w:rPr>
          <w:b/>
          <w:i/>
        </w:rPr>
        <w:t>Недемократичен процес на вземане на решения</w:t>
      </w:r>
    </w:p>
    <w:p w:rsidR="003E6E0B" w:rsidRPr="0036598D" w:rsidRDefault="003E6E0B" w:rsidP="003E6E0B">
      <w:pPr>
        <w:pStyle w:val="NormalHanging12a"/>
        <w:rPr>
          <w:szCs w:val="24"/>
        </w:rPr>
      </w:pPr>
      <w:r w:rsidRPr="0036598D">
        <w:t>У.</w:t>
      </w:r>
      <w:r w:rsidRPr="0036598D">
        <w:tab/>
        <w:t>като има предвид, че през осмия си мандат Парламентът прие общо 36 резолюции, в които възразява срещу пускането на пазара на ГМО за храни и фуражи (33 резолюции) и срещу отглеждането на ГМО в Съюза (три резолюции); като има предвид, че през деветия си мандат Парламентът прие 38 възражения срещу пускането на ГМО на пазара;</w:t>
      </w:r>
    </w:p>
    <w:p w:rsidR="003E6E0B" w:rsidRPr="0036598D" w:rsidRDefault="003E6E0B" w:rsidP="003E6E0B">
      <w:pPr>
        <w:pStyle w:val="NormalHanging12a"/>
        <w:rPr>
          <w:szCs w:val="24"/>
        </w:rPr>
      </w:pPr>
      <w:r w:rsidRPr="0036598D">
        <w:t>Ф.</w:t>
      </w:r>
      <w:r w:rsidRPr="0036598D">
        <w:tab/>
        <w:t>като има предвид, че макар самата тя да отчита недостатъчно демократичния характер на процедурата, липсата на подкрепа от държавите членки и възраженията на Парламента, Комисията продължава да разрешава ГМО;</w:t>
      </w:r>
    </w:p>
    <w:p w:rsidR="003E6E0B" w:rsidRPr="0036598D" w:rsidRDefault="003E6E0B" w:rsidP="003E6E0B">
      <w:pPr>
        <w:pStyle w:val="NormalHanging12a"/>
        <w:rPr>
          <w:szCs w:val="24"/>
        </w:rPr>
      </w:pPr>
      <w:r w:rsidRPr="0036598D">
        <w:t>Х.</w:t>
      </w:r>
      <w:r w:rsidRPr="0036598D">
        <w:tab/>
        <w:t>като има предвид, че не се изисква промяна на законодателството, за да може Комисията да не разрешава ГМО, когато държавите членки не са изразили подкрепа с квалифицирано мнозинство в апелативния комитет</w:t>
      </w:r>
      <w:r w:rsidRPr="0036598D">
        <w:rPr>
          <w:rStyle w:val="FootnoteReference"/>
          <w:szCs w:val="24"/>
        </w:rPr>
        <w:footnoteReference w:id="17"/>
      </w:r>
      <w:r w:rsidRPr="0036598D">
        <w:t>;</w:t>
      </w:r>
    </w:p>
    <w:p w:rsidR="003E6E0B" w:rsidRPr="0036598D" w:rsidRDefault="003E6E0B" w:rsidP="003E6E0B">
      <w:pPr>
        <w:spacing w:after="240"/>
        <w:ind w:left="567" w:hanging="567"/>
        <w:rPr>
          <w:szCs w:val="24"/>
          <w:shd w:val="clear" w:color="auto" w:fill="FFFFFF"/>
        </w:rPr>
      </w:pPr>
      <w:r w:rsidRPr="0036598D">
        <w:t>Ц.</w:t>
      </w:r>
      <w:r w:rsidRPr="0036598D">
        <w:tab/>
      </w:r>
      <w:r w:rsidRPr="0036598D">
        <w:rPr>
          <w:shd w:val="clear" w:color="auto" w:fill="FFFFFF"/>
        </w:rPr>
        <w:t>като има предвид, че при гласуването на 8 юли 2024 г. в Постоянния комитет по растенията, животните, храните и фуражите, посочен в член 35 от Регламент (ЕО) № 1829/2003, не беше изразено становище, което означава, че разрешението не е подкрепено от квалифицирано мнозинство от държавите членки; като има предвид, че при гласуването в апелативния комитет на 3 септември 2024 г. също не беше изразено становище;</w:t>
      </w:r>
    </w:p>
    <w:p w:rsidR="003E6E0B" w:rsidRPr="0036598D" w:rsidRDefault="003E6E0B" w:rsidP="006A419E">
      <w:pPr>
        <w:pStyle w:val="NormalHanging12a"/>
        <w:rPr>
          <w:szCs w:val="24"/>
        </w:rPr>
      </w:pPr>
      <w:r w:rsidRPr="0036598D">
        <w:t>1.</w:t>
      </w:r>
      <w:r w:rsidRPr="0036598D">
        <w:tab/>
        <w:t xml:space="preserve">счита, че </w:t>
      </w:r>
      <w:r w:rsidR="006A419E">
        <w:t>Р</w:t>
      </w:r>
      <w:r w:rsidRPr="0036598D">
        <w:t xml:space="preserve">ешение за изпълнение </w:t>
      </w:r>
      <w:r w:rsidR="00B542A6" w:rsidRPr="007E6731">
        <w:t>(</w:t>
      </w:r>
      <w:r w:rsidR="00B542A6">
        <w:rPr>
          <w:lang w:val="en-GB"/>
        </w:rPr>
        <w:t>E</w:t>
      </w:r>
      <w:r w:rsidR="00B542A6">
        <w:t>С</w:t>
      </w:r>
      <w:r w:rsidR="006A419E" w:rsidRPr="007E6731">
        <w:t xml:space="preserve">) 2024/2628 </w:t>
      </w:r>
      <w:r w:rsidRPr="0036598D">
        <w:t>превишава изпълнителните правомощия, предвидени в Регламент (ЕО) № 1829/2003;</w:t>
      </w:r>
    </w:p>
    <w:p w:rsidR="003E6E0B" w:rsidRDefault="003E6E0B" w:rsidP="006A419E">
      <w:pPr>
        <w:pStyle w:val="NormalHanging12a"/>
      </w:pPr>
      <w:r w:rsidRPr="0036598D">
        <w:t>2.</w:t>
      </w:r>
      <w:r w:rsidRPr="0036598D">
        <w:tab/>
        <w:t xml:space="preserve">счита, че </w:t>
      </w:r>
      <w:r w:rsidR="006A419E">
        <w:t>Р</w:t>
      </w:r>
      <w:r w:rsidRPr="0036598D">
        <w:t xml:space="preserve">ешение за изпълнение </w:t>
      </w:r>
      <w:r w:rsidR="00B542A6" w:rsidRPr="007E6731">
        <w:t>(</w:t>
      </w:r>
      <w:r w:rsidR="00B542A6">
        <w:rPr>
          <w:lang w:val="en-GB"/>
        </w:rPr>
        <w:t>E</w:t>
      </w:r>
      <w:r w:rsidR="00B542A6">
        <w:t>С</w:t>
      </w:r>
      <w:r w:rsidR="006A419E" w:rsidRPr="007E6731">
        <w:t xml:space="preserve">) 2024/2628 </w:t>
      </w:r>
      <w:r w:rsidRPr="0036598D">
        <w:t xml:space="preserve"> не е в съответствие с правото на Съюза, доколкото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36598D">
        <w:rPr>
          <w:rStyle w:val="FootnoteReference"/>
          <w:szCs w:val="24"/>
        </w:rPr>
        <w:footnoteReference w:id="18"/>
      </w:r>
      <w:r w:rsidRPr="0036598D">
        <w:t xml:space="preserve">, е да се предвиди основата за гарантиране на висока степен на защита на живота и здравето на човека, на здравето на </w:t>
      </w:r>
      <w:r w:rsidRPr="0036598D">
        <w:lastRenderedPageBreak/>
        <w:t>животните и на хуманното отношение към тях и на интересите на околната среда и на потребителите по отношение на генетично модифицираните храни и фуражи, като същевременно се гарантира ефективното функциониране на вътрешния пазар;</w:t>
      </w:r>
    </w:p>
    <w:p w:rsidR="00CF2F56" w:rsidRPr="0036598D" w:rsidRDefault="00CF2F56" w:rsidP="006A419E">
      <w:pPr>
        <w:pStyle w:val="NormalHanging12a"/>
        <w:rPr>
          <w:szCs w:val="24"/>
        </w:rPr>
      </w:pPr>
      <w:r>
        <w:t>3.</w:t>
      </w:r>
      <w:r>
        <w:tab/>
      </w:r>
      <w:r w:rsidRPr="00CF2F56">
        <w:t>призовава Комисията да гарантира сближаване на стандартите между Съюза и неговите партньори в преговорите за споразумения за свободна търговия, за да се спазват стандартите на Съюза за безопасност;</w:t>
      </w:r>
    </w:p>
    <w:p w:rsidR="003E6E0B" w:rsidRPr="0036598D" w:rsidRDefault="00CF2F56" w:rsidP="006A419E">
      <w:pPr>
        <w:pStyle w:val="NormalHanging12a"/>
        <w:rPr>
          <w:szCs w:val="24"/>
        </w:rPr>
      </w:pPr>
      <w:r>
        <w:t>4</w:t>
      </w:r>
      <w:r w:rsidR="003E6E0B" w:rsidRPr="0036598D">
        <w:t>.</w:t>
      </w:r>
      <w:r w:rsidR="003E6E0B" w:rsidRPr="0036598D">
        <w:tab/>
        <w:t xml:space="preserve">отправя искане към Комисията да </w:t>
      </w:r>
      <w:r w:rsidR="006A419E">
        <w:t>отмени</w:t>
      </w:r>
      <w:r w:rsidR="00B542A6">
        <w:t xml:space="preserve"> </w:t>
      </w:r>
      <w:r w:rsidR="006A419E">
        <w:t>Р</w:t>
      </w:r>
      <w:r w:rsidR="003E6E0B" w:rsidRPr="0036598D">
        <w:t xml:space="preserve">ешение за изпълнение </w:t>
      </w:r>
      <w:r w:rsidR="00B542A6" w:rsidRPr="007E6731">
        <w:t>(</w:t>
      </w:r>
      <w:r w:rsidR="00B542A6">
        <w:t>ЕС</w:t>
      </w:r>
      <w:r w:rsidR="006A419E" w:rsidRPr="007E6731">
        <w:t xml:space="preserve">) 2024/2628 </w:t>
      </w:r>
      <w:r w:rsidR="003E6E0B" w:rsidRPr="0036598D">
        <w:t>и да внесе нов проект в комитета;</w:t>
      </w:r>
    </w:p>
    <w:p w:rsidR="003E6E0B" w:rsidRPr="0036598D" w:rsidRDefault="00CF2F56" w:rsidP="003E6E0B">
      <w:pPr>
        <w:pStyle w:val="NormalHanging12a"/>
        <w:rPr>
          <w:szCs w:val="24"/>
        </w:rPr>
      </w:pPr>
      <w:r>
        <w:t>5</w:t>
      </w:r>
      <w:r w:rsidR="003E6E0B" w:rsidRPr="0036598D">
        <w:t>.</w:t>
      </w:r>
      <w:r w:rsidR="003E6E0B" w:rsidRPr="0036598D">
        <w:tab/>
        <w:t>призовава Комисията да не разрешава устойчиви на хербициди генетично модифицирани култури поради свързаната с това повишена употреба на добавъчни хербициди и следователно повишените рискове за биологичното разнообразие, безопасността на храните и здравето на работниците, в съответствие с подхода „Едно здраве“;</w:t>
      </w:r>
    </w:p>
    <w:p w:rsidR="003E6E0B" w:rsidRPr="0036598D" w:rsidRDefault="00CF2F56" w:rsidP="003E6E0B">
      <w:pPr>
        <w:pStyle w:val="NormalHanging12a"/>
        <w:rPr>
          <w:szCs w:val="24"/>
        </w:rPr>
      </w:pPr>
      <w:r>
        <w:t>6</w:t>
      </w:r>
      <w:r w:rsidR="003E6E0B" w:rsidRPr="0036598D">
        <w:t>.</w:t>
      </w:r>
      <w:r w:rsidR="003E6E0B" w:rsidRPr="0036598D">
        <w:tab/>
        <w:t>подчертава в това отношение, че разрешаването на вноса за употреба като храни или фуражи на каквито и да било генетично модифицирани растения, при които е създадена устойчивост на хербициди, не съответства на международните ангажименти на Съюза съгласно, наред с другото, ЦУР на ООН и Конвенцията на ООН за биологичното разнообразие, включително наскоро приетата рамка Кунмин — Монреал</w:t>
      </w:r>
      <w:r w:rsidR="003E6E0B" w:rsidRPr="0036598D">
        <w:rPr>
          <w:rStyle w:val="FootnoteReference"/>
          <w:szCs w:val="24"/>
        </w:rPr>
        <w:footnoteReference w:id="19"/>
      </w:r>
      <w:r w:rsidR="003E6E0B" w:rsidRPr="0036598D">
        <w:t>;</w:t>
      </w:r>
    </w:p>
    <w:p w:rsidR="003E6E0B" w:rsidRPr="0036598D" w:rsidRDefault="00CF2F56" w:rsidP="003E6E0B">
      <w:pPr>
        <w:pStyle w:val="NormalHanging12a"/>
        <w:rPr>
          <w:szCs w:val="24"/>
        </w:rPr>
      </w:pPr>
      <w:r>
        <w:t>7</w:t>
      </w:r>
      <w:r w:rsidR="003E6E0B" w:rsidRPr="0036598D">
        <w:t>.</w:t>
      </w:r>
      <w:r w:rsidR="003E6E0B" w:rsidRPr="0036598D">
        <w:tab/>
        <w:t>приветства факта, че в писмо от 11 септември 2020 г. до членовете на ЕП Комисията в крайна сметка призна необходимостта да се взема предвид устойчивостта, когато става въпрос за решения за разрешаване на ГМО</w:t>
      </w:r>
      <w:r w:rsidR="003E6E0B" w:rsidRPr="0036598D">
        <w:rPr>
          <w:rStyle w:val="FootnoteReference"/>
          <w:szCs w:val="24"/>
        </w:rPr>
        <w:footnoteReference w:id="20"/>
      </w:r>
      <w:r w:rsidR="003E6E0B" w:rsidRPr="0036598D">
        <w:t>; изразява силно разочарование обаче, че след това Комисията продължи да разрешава вноса на ГМО в Съюза въпреки продължаващите възражения от страна на Парламента и факта, че мнозинството от държавите членки са гласували против;</w:t>
      </w:r>
    </w:p>
    <w:p w:rsidR="003E6E0B" w:rsidRPr="0036598D" w:rsidRDefault="00CF2F56" w:rsidP="003E6E0B">
      <w:pPr>
        <w:pStyle w:val="NormalHanging12a"/>
        <w:rPr>
          <w:szCs w:val="24"/>
        </w:rPr>
      </w:pPr>
      <w:r>
        <w:t>8</w:t>
      </w:r>
      <w:r w:rsidR="003E6E0B" w:rsidRPr="0036598D">
        <w:t>.</w:t>
      </w:r>
      <w:r w:rsidR="003E6E0B" w:rsidRPr="0036598D">
        <w:tab/>
        <w:t>отново настоятелно призовава Комисията да взема предвид задълженията на Съюза съгласно международни споразумения като Парижкото споразумение относно изменението на климата, Конвенцията на ООН за биологичното разнообразие и ЦУР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w:t>
      </w:r>
      <w:proofErr w:type="spellStart"/>
      <w:r w:rsidR="003E6E0B" w:rsidRPr="0036598D">
        <w:t>ненанасяне</w:t>
      </w:r>
      <w:proofErr w:type="spellEnd"/>
      <w:r w:rsidR="003E6E0B" w:rsidRPr="0036598D">
        <w:t xml:space="preserve"> на вреда“</w:t>
      </w:r>
      <w:r w:rsidR="003E6E0B" w:rsidRPr="0036598D">
        <w:rPr>
          <w:rStyle w:val="FootnoteReference"/>
          <w:szCs w:val="24"/>
        </w:rPr>
        <w:footnoteReference w:id="21"/>
      </w:r>
      <w:r w:rsidR="003E6E0B" w:rsidRPr="0036598D">
        <w:t xml:space="preserve">; </w:t>
      </w:r>
    </w:p>
    <w:p w:rsidR="00E365E1" w:rsidRPr="0036598D" w:rsidRDefault="00CF2F56" w:rsidP="0050480D">
      <w:pPr>
        <w:pStyle w:val="NormalHanging12a"/>
      </w:pPr>
      <w:r>
        <w:t>9</w:t>
      </w:r>
      <w:r w:rsidR="003E6E0B" w:rsidRPr="0036598D">
        <w:t>.</w:t>
      </w:r>
      <w:r w:rsidR="003E6E0B" w:rsidRPr="0036598D">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sectPr w:rsidR="00E365E1" w:rsidRPr="0036598D" w:rsidSect="0036598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156" w:rsidRPr="0036598D" w:rsidRDefault="00221156">
      <w:r w:rsidRPr="0036598D">
        <w:separator/>
      </w:r>
    </w:p>
  </w:endnote>
  <w:endnote w:type="continuationSeparator" w:id="0">
    <w:p w:rsidR="00221156" w:rsidRPr="0036598D" w:rsidRDefault="00221156">
      <w:r w:rsidRPr="003659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156" w:rsidRPr="0036598D" w:rsidRDefault="00221156">
      <w:r w:rsidRPr="0036598D">
        <w:separator/>
      </w:r>
    </w:p>
  </w:footnote>
  <w:footnote w:type="continuationSeparator" w:id="0">
    <w:p w:rsidR="00221156" w:rsidRPr="0036598D" w:rsidRDefault="00221156">
      <w:r w:rsidRPr="0036598D">
        <w:continuationSeparator/>
      </w:r>
    </w:p>
  </w:footnote>
  <w:footnote w:id="1">
    <w:p w:rsidR="007E6731" w:rsidRPr="0050480D" w:rsidRDefault="007E6731" w:rsidP="007E6731">
      <w:pPr>
        <w:pStyle w:val="FootnoteText"/>
        <w:ind w:left="567" w:hanging="567"/>
        <w:rPr>
          <w:sz w:val="24"/>
          <w:szCs w:val="24"/>
          <w:lang w:val="bg-BG"/>
        </w:rPr>
      </w:pPr>
      <w:r>
        <w:rPr>
          <w:rStyle w:val="FootnoteReference"/>
        </w:rPr>
        <w:footnoteRef/>
      </w:r>
      <w:r w:rsidRPr="007E6731">
        <w:rPr>
          <w:lang w:val="fi-FI"/>
        </w:rPr>
        <w:t xml:space="preserve"> </w:t>
      </w:r>
      <w:r>
        <w:rPr>
          <w:lang w:val="bg-BG"/>
        </w:rPr>
        <w:tab/>
      </w:r>
      <w:r w:rsidRPr="006A419E">
        <w:rPr>
          <w:sz w:val="24"/>
          <w:szCs w:val="24"/>
          <w:lang w:val="bg-BG"/>
        </w:rPr>
        <w:t>O</w:t>
      </w:r>
      <w:r>
        <w:rPr>
          <w:sz w:val="24"/>
          <w:szCs w:val="24"/>
          <w:lang w:val="bg-BG"/>
        </w:rPr>
        <w:t>В</w:t>
      </w:r>
      <w:r w:rsidRPr="0050480D">
        <w:rPr>
          <w:sz w:val="24"/>
          <w:szCs w:val="24"/>
          <w:lang w:val="bg-BG"/>
        </w:rPr>
        <w:t xml:space="preserve"> L, 2024/2628, 10.10.2024</w:t>
      </w:r>
      <w:r>
        <w:rPr>
          <w:sz w:val="24"/>
          <w:szCs w:val="24"/>
          <w:lang w:val="bg-BG"/>
        </w:rPr>
        <w:t> г.</w:t>
      </w:r>
      <w:r w:rsidRPr="0050480D">
        <w:rPr>
          <w:sz w:val="24"/>
          <w:szCs w:val="24"/>
          <w:lang w:val="bg-BG"/>
        </w:rPr>
        <w:t>, ELI: http://data.europa.eu/eli/dec_impl/2024/2628/oj.</w:t>
      </w:r>
    </w:p>
  </w:footnote>
  <w:footnote w:id="2">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ОВ L 268, 18.10.2003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36598D">
          <w:rPr>
            <w:rStyle w:val="Hyperlink"/>
            <w:sz w:val="24"/>
            <w:lang w:val="bg-BG"/>
          </w:rPr>
          <w:t>http://data.europa.eu/eli/reg/2003/1829/oj</w:t>
        </w:r>
      </w:hyperlink>
      <w:r w:rsidRPr="0036598D">
        <w:rPr>
          <w:sz w:val="24"/>
          <w:lang w:val="bg-BG"/>
        </w:rPr>
        <w:t>.</w:t>
      </w:r>
    </w:p>
  </w:footnote>
  <w:footnote w:id="3">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ОВ L 55, 28.2.2011 г., стр. </w:t>
      </w:r>
      <w:r w:rsidRPr="0036598D">
        <w:rPr>
          <w:sz w:val="24"/>
          <w:lang w:val="bg-BG"/>
        </w:rPr>
        <w:t>13, 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36598D">
          <w:rPr>
            <w:rStyle w:val="Hyperlink"/>
            <w:sz w:val="24"/>
            <w:lang w:val="bg-BG"/>
          </w:rPr>
          <w:t>http://data.europa.eu/eli/reg/2011/182/oj</w:t>
        </w:r>
      </w:hyperlink>
      <w:r w:rsidRPr="0036598D">
        <w:rPr>
          <w:sz w:val="24"/>
          <w:lang w:val="bg-BG"/>
        </w:rPr>
        <w:t>.</w:t>
      </w:r>
    </w:p>
  </w:footnote>
  <w:footnote w:id="4">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 xml:space="preserve">Научно становище на Експертната група по генетично модифицирани организми на ЕОБХ във връзка с оценката на генетично модифицирана царевица MON 89034 × 1507 × NK603 с оглед на подновяване на разрешението в съответствие с Регламент (ЕО) № 1829/2003 (досие GMFF-2022-3670), Бюлетин на ЕОБХ, 2024 г.; 22(4): 8716, </w:t>
      </w:r>
      <w:hyperlink r:id="rId3" w:history="1">
        <w:r w:rsidRPr="0036598D">
          <w:rPr>
            <w:rStyle w:val="Hyperlink"/>
            <w:sz w:val="24"/>
            <w:lang w:val="bg-BG"/>
          </w:rPr>
          <w:t>https://doi.org/10.2903/j.efsa.2024.8716</w:t>
        </w:r>
      </w:hyperlink>
      <w:r w:rsidRPr="0036598D">
        <w:rPr>
          <w:sz w:val="24"/>
          <w:lang w:val="bg-BG"/>
        </w:rPr>
        <w:t>.</w:t>
      </w:r>
    </w:p>
  </w:footnote>
  <w:footnote w:id="5">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color w:val="000000" w:themeColor="text1"/>
          <w:sz w:val="24"/>
          <w:lang w:val="bg-BG"/>
        </w:rPr>
        <w:t xml:space="preserve"> </w:t>
      </w:r>
      <w:r w:rsidR="0036598D" w:rsidRPr="0036598D">
        <w:rPr>
          <w:color w:val="000000" w:themeColor="text1"/>
          <w:sz w:val="24"/>
          <w:lang w:val="bg-BG"/>
        </w:rPr>
        <w:tab/>
      </w:r>
      <w:r w:rsidRPr="0036598D">
        <w:rPr>
          <w:color w:val="000000" w:themeColor="text1"/>
          <w:sz w:val="24"/>
          <w:lang w:val="bg-BG"/>
        </w:rPr>
        <w:t>През осмия си мандат Парламентът прие 36 резолюции, а през деветия си мандат — 38 резолюции, в които възразява срещу разрешаването на ГМО.</w:t>
      </w:r>
    </w:p>
  </w:footnote>
  <w:footnote w:id="6">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Регламент за изпълнение (ЕС) № 503/2013 на Комисията от 3 април 2013 г. относно заявленията за разрешение за генетично модифицирани храни и фуражи в съответствие с Регламент (ЕО) № 1829/2003 на Европейския парламент и на Съвета и за изменение на регламенти (ЕО) № 641/2004 и (ЕО) № 1981/2006 на Комисията (ОВ L 157, 8.6.2013 г., стр. </w:t>
      </w:r>
      <w:r w:rsidRPr="0036598D">
        <w:rPr>
          <w:sz w:val="24"/>
          <w:lang w:val="bg-BG"/>
        </w:rPr>
        <w:t xml:space="preserve">1, ELI: </w:t>
      </w:r>
      <w:hyperlink r:id="rId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36598D">
          <w:rPr>
            <w:rStyle w:val="Hyperlink"/>
            <w:sz w:val="24"/>
            <w:lang w:val="bg-BG"/>
          </w:rPr>
          <w:t>http://data.europa.eu/eli/reg_impl/2013/503/oj</w:t>
        </w:r>
      </w:hyperlink>
      <w:r w:rsidRPr="0036598D">
        <w:rPr>
          <w:sz w:val="24"/>
          <w:lang w:val="bg-BG"/>
        </w:rPr>
        <w:t>).</w:t>
      </w:r>
    </w:p>
  </w:footnote>
  <w:footnote w:id="7">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 xml:space="preserve">Вж. например </w:t>
      </w:r>
      <w:proofErr w:type="spellStart"/>
      <w:r w:rsidRPr="0036598D">
        <w:rPr>
          <w:sz w:val="24"/>
          <w:lang w:val="bg-BG"/>
        </w:rPr>
        <w:t>Schulz</w:t>
      </w:r>
      <w:proofErr w:type="spellEnd"/>
      <w:r w:rsidRPr="0036598D">
        <w:rPr>
          <w:sz w:val="24"/>
          <w:lang w:val="bg-BG"/>
        </w:rPr>
        <w:t xml:space="preserve">, R., </w:t>
      </w:r>
      <w:proofErr w:type="spellStart"/>
      <w:r w:rsidRPr="0036598D">
        <w:rPr>
          <w:sz w:val="24"/>
          <w:lang w:val="bg-BG"/>
        </w:rPr>
        <w:t>Bub</w:t>
      </w:r>
      <w:proofErr w:type="spellEnd"/>
      <w:r w:rsidRPr="0036598D">
        <w:rPr>
          <w:sz w:val="24"/>
          <w:lang w:val="bg-BG"/>
        </w:rPr>
        <w:t xml:space="preserve">, S., </w:t>
      </w:r>
      <w:proofErr w:type="spellStart"/>
      <w:r w:rsidRPr="0036598D">
        <w:rPr>
          <w:sz w:val="24"/>
          <w:lang w:val="bg-BG"/>
        </w:rPr>
        <w:t>Petschick</w:t>
      </w:r>
      <w:proofErr w:type="spellEnd"/>
      <w:r w:rsidRPr="0036598D">
        <w:rPr>
          <w:sz w:val="24"/>
          <w:lang w:val="bg-BG"/>
        </w:rPr>
        <w:t xml:space="preserve">, L. L., </w:t>
      </w:r>
      <w:proofErr w:type="spellStart"/>
      <w:r w:rsidRPr="0036598D">
        <w:rPr>
          <w:sz w:val="24"/>
          <w:lang w:val="bg-BG"/>
        </w:rPr>
        <w:t>Stehle</w:t>
      </w:r>
      <w:proofErr w:type="spellEnd"/>
      <w:r w:rsidRPr="0036598D">
        <w:rPr>
          <w:sz w:val="24"/>
          <w:lang w:val="bg-BG"/>
        </w:rPr>
        <w:t xml:space="preserve">, S., </w:t>
      </w:r>
      <w:proofErr w:type="spellStart"/>
      <w:r w:rsidRPr="0036598D">
        <w:rPr>
          <w:sz w:val="24"/>
          <w:lang w:val="bg-BG"/>
        </w:rPr>
        <w:t>Wolfram</w:t>
      </w:r>
      <w:proofErr w:type="spellEnd"/>
      <w:r w:rsidRPr="0036598D">
        <w:rPr>
          <w:sz w:val="24"/>
          <w:lang w:val="bg-BG"/>
        </w:rPr>
        <w:t>, J. (2021) ‘</w:t>
      </w:r>
      <w:proofErr w:type="spellStart"/>
      <w:r w:rsidRPr="0036598D">
        <w:rPr>
          <w:sz w:val="24"/>
          <w:lang w:val="bg-BG"/>
        </w:rPr>
        <w:t>Applied</w:t>
      </w:r>
      <w:proofErr w:type="spellEnd"/>
      <w:r w:rsidRPr="0036598D">
        <w:rPr>
          <w:sz w:val="24"/>
          <w:lang w:val="bg-BG"/>
        </w:rPr>
        <w:t xml:space="preserve"> </w:t>
      </w:r>
      <w:proofErr w:type="spellStart"/>
      <w:r w:rsidRPr="0036598D">
        <w:rPr>
          <w:sz w:val="24"/>
          <w:lang w:val="bg-BG"/>
        </w:rPr>
        <w:t>pesticide</w:t>
      </w:r>
      <w:proofErr w:type="spellEnd"/>
      <w:r w:rsidRPr="0036598D">
        <w:rPr>
          <w:sz w:val="24"/>
          <w:lang w:val="bg-BG"/>
        </w:rPr>
        <w:t xml:space="preserve"> </w:t>
      </w:r>
      <w:proofErr w:type="spellStart"/>
      <w:r w:rsidRPr="0036598D">
        <w:rPr>
          <w:sz w:val="24"/>
          <w:lang w:val="bg-BG"/>
        </w:rPr>
        <w:t>toxicity</w:t>
      </w:r>
      <w:proofErr w:type="spellEnd"/>
      <w:r w:rsidRPr="0036598D">
        <w:rPr>
          <w:sz w:val="24"/>
          <w:lang w:val="bg-BG"/>
        </w:rPr>
        <w:t xml:space="preserve"> </w:t>
      </w:r>
      <w:proofErr w:type="spellStart"/>
      <w:r w:rsidRPr="0036598D">
        <w:rPr>
          <w:sz w:val="24"/>
          <w:lang w:val="bg-BG"/>
        </w:rPr>
        <w:t>shifts</w:t>
      </w:r>
      <w:proofErr w:type="spellEnd"/>
      <w:r w:rsidRPr="0036598D">
        <w:rPr>
          <w:sz w:val="24"/>
          <w:lang w:val="bg-BG"/>
        </w:rPr>
        <w:t xml:space="preserve"> </w:t>
      </w:r>
      <w:proofErr w:type="spellStart"/>
      <w:r w:rsidRPr="0036598D">
        <w:rPr>
          <w:sz w:val="24"/>
          <w:lang w:val="bg-BG"/>
        </w:rPr>
        <w:t>toward</w:t>
      </w:r>
      <w:proofErr w:type="spellEnd"/>
      <w:r w:rsidRPr="0036598D">
        <w:rPr>
          <w:sz w:val="24"/>
          <w:lang w:val="bg-BG"/>
        </w:rPr>
        <w:t xml:space="preserve"> </w:t>
      </w:r>
      <w:proofErr w:type="spellStart"/>
      <w:r w:rsidRPr="0036598D">
        <w:rPr>
          <w:sz w:val="24"/>
          <w:lang w:val="bg-BG"/>
        </w:rPr>
        <w:t>plants</w:t>
      </w:r>
      <w:proofErr w:type="spellEnd"/>
      <w:r w:rsidRPr="0036598D">
        <w:rPr>
          <w:sz w:val="24"/>
          <w:lang w:val="bg-BG"/>
        </w:rPr>
        <w:t xml:space="preserve"> </w:t>
      </w:r>
      <w:proofErr w:type="spellStart"/>
      <w:r w:rsidRPr="0036598D">
        <w:rPr>
          <w:sz w:val="24"/>
          <w:lang w:val="bg-BG"/>
        </w:rPr>
        <w:t>and</w:t>
      </w:r>
      <w:proofErr w:type="spellEnd"/>
      <w:r w:rsidRPr="0036598D">
        <w:rPr>
          <w:sz w:val="24"/>
          <w:lang w:val="bg-BG"/>
        </w:rPr>
        <w:t xml:space="preserve"> </w:t>
      </w:r>
      <w:proofErr w:type="spellStart"/>
      <w:r w:rsidRPr="0036598D">
        <w:rPr>
          <w:sz w:val="24"/>
          <w:lang w:val="bg-BG"/>
        </w:rPr>
        <w:t>invertebrates</w:t>
      </w:r>
      <w:proofErr w:type="spellEnd"/>
      <w:r w:rsidRPr="0036598D">
        <w:rPr>
          <w:sz w:val="24"/>
          <w:lang w:val="bg-BG"/>
        </w:rPr>
        <w:t xml:space="preserve">, </w:t>
      </w:r>
      <w:proofErr w:type="spellStart"/>
      <w:r w:rsidRPr="0036598D">
        <w:rPr>
          <w:sz w:val="24"/>
          <w:lang w:val="bg-BG"/>
        </w:rPr>
        <w:t>even</w:t>
      </w:r>
      <w:proofErr w:type="spellEnd"/>
      <w:r w:rsidRPr="0036598D">
        <w:rPr>
          <w:sz w:val="24"/>
          <w:lang w:val="bg-BG"/>
        </w:rPr>
        <w:t xml:space="preserve"> </w:t>
      </w:r>
      <w:proofErr w:type="spellStart"/>
      <w:r w:rsidRPr="0036598D">
        <w:rPr>
          <w:sz w:val="24"/>
          <w:lang w:val="bg-BG"/>
        </w:rPr>
        <w:t>in</w:t>
      </w:r>
      <w:proofErr w:type="spellEnd"/>
      <w:r w:rsidRPr="0036598D">
        <w:rPr>
          <w:sz w:val="24"/>
          <w:lang w:val="bg-BG"/>
        </w:rPr>
        <w:t xml:space="preserve"> GM </w:t>
      </w:r>
      <w:proofErr w:type="spellStart"/>
      <w:r w:rsidRPr="0036598D">
        <w:rPr>
          <w:sz w:val="24"/>
          <w:lang w:val="bg-BG"/>
        </w:rPr>
        <w:t>crops</w:t>
      </w:r>
      <w:proofErr w:type="spellEnd"/>
      <w:r w:rsidRPr="0036598D">
        <w:rPr>
          <w:sz w:val="24"/>
          <w:lang w:val="bg-BG"/>
        </w:rPr>
        <w:t>’ (Токсичността на използваните пестициди се измества към растения и безгръбначни, дори при ГМ култури), Science 372(6537), стр. </w:t>
      </w:r>
      <w:r w:rsidRPr="0036598D">
        <w:rPr>
          <w:sz w:val="24"/>
          <w:lang w:val="bg-BG"/>
        </w:rPr>
        <w:t xml:space="preserve">81 — 84, </w:t>
      </w:r>
      <w:hyperlink r:id="rId5" w:history="1">
        <w:r w:rsidRPr="0036598D">
          <w:rPr>
            <w:rStyle w:val="Hyperlink"/>
            <w:sz w:val="24"/>
            <w:lang w:val="bg-BG"/>
          </w:rPr>
          <w:t>https://doi.org/10.1126/science.abe1148</w:t>
        </w:r>
      </w:hyperlink>
      <w:r w:rsidRPr="0036598D">
        <w:rPr>
          <w:sz w:val="24"/>
          <w:lang w:val="bg-BG"/>
        </w:rPr>
        <w:t xml:space="preserve">; </w:t>
      </w:r>
      <w:proofErr w:type="spellStart"/>
      <w:r w:rsidRPr="0036598D">
        <w:rPr>
          <w:sz w:val="24"/>
          <w:lang w:val="bg-BG"/>
        </w:rPr>
        <w:t>Bonny</w:t>
      </w:r>
      <w:proofErr w:type="spellEnd"/>
      <w:r w:rsidRPr="0036598D">
        <w:rPr>
          <w:sz w:val="24"/>
          <w:lang w:val="bg-BG"/>
        </w:rPr>
        <w:t>, S., ‘</w:t>
      </w:r>
      <w:proofErr w:type="spellStart"/>
      <w:r w:rsidRPr="0036598D">
        <w:rPr>
          <w:sz w:val="24"/>
          <w:lang w:val="bg-BG"/>
        </w:rPr>
        <w:t>Genetically</w:t>
      </w:r>
      <w:proofErr w:type="spellEnd"/>
      <w:r w:rsidRPr="0036598D">
        <w:rPr>
          <w:sz w:val="24"/>
          <w:lang w:val="bg-BG"/>
        </w:rPr>
        <w:t xml:space="preserve"> </w:t>
      </w:r>
      <w:proofErr w:type="spellStart"/>
      <w:r w:rsidRPr="0036598D">
        <w:rPr>
          <w:sz w:val="24"/>
          <w:lang w:val="bg-BG"/>
        </w:rPr>
        <w:t>Modified</w:t>
      </w:r>
      <w:proofErr w:type="spellEnd"/>
      <w:r w:rsidRPr="0036598D">
        <w:rPr>
          <w:sz w:val="24"/>
          <w:lang w:val="bg-BG"/>
        </w:rPr>
        <w:t xml:space="preserve"> </w:t>
      </w:r>
      <w:proofErr w:type="spellStart"/>
      <w:r w:rsidRPr="0036598D">
        <w:rPr>
          <w:sz w:val="24"/>
          <w:lang w:val="bg-BG"/>
        </w:rPr>
        <w:t>Herbicide-Tolerant</w:t>
      </w:r>
      <w:proofErr w:type="spellEnd"/>
      <w:r w:rsidRPr="0036598D">
        <w:rPr>
          <w:sz w:val="24"/>
          <w:lang w:val="bg-BG"/>
        </w:rPr>
        <w:t xml:space="preserve"> </w:t>
      </w:r>
      <w:proofErr w:type="spellStart"/>
      <w:r w:rsidRPr="0036598D">
        <w:rPr>
          <w:sz w:val="24"/>
          <w:lang w:val="bg-BG"/>
        </w:rPr>
        <w:t>Crops</w:t>
      </w:r>
      <w:proofErr w:type="spellEnd"/>
      <w:r w:rsidRPr="0036598D">
        <w:rPr>
          <w:sz w:val="24"/>
          <w:lang w:val="bg-BG"/>
        </w:rPr>
        <w:t xml:space="preserve">, </w:t>
      </w:r>
      <w:proofErr w:type="spellStart"/>
      <w:r w:rsidRPr="0036598D">
        <w:rPr>
          <w:sz w:val="24"/>
          <w:lang w:val="bg-BG"/>
        </w:rPr>
        <w:t>Weeds</w:t>
      </w:r>
      <w:proofErr w:type="spellEnd"/>
      <w:r w:rsidRPr="0036598D">
        <w:rPr>
          <w:sz w:val="24"/>
          <w:lang w:val="bg-BG"/>
        </w:rPr>
        <w:t xml:space="preserve">, </w:t>
      </w:r>
      <w:proofErr w:type="spellStart"/>
      <w:r w:rsidRPr="0036598D">
        <w:rPr>
          <w:sz w:val="24"/>
          <w:lang w:val="bg-BG"/>
        </w:rPr>
        <w:t>and</w:t>
      </w:r>
      <w:proofErr w:type="spellEnd"/>
      <w:r w:rsidRPr="0036598D">
        <w:rPr>
          <w:sz w:val="24"/>
          <w:lang w:val="bg-BG"/>
        </w:rPr>
        <w:t xml:space="preserve"> </w:t>
      </w:r>
      <w:proofErr w:type="spellStart"/>
      <w:r w:rsidRPr="0036598D">
        <w:rPr>
          <w:sz w:val="24"/>
          <w:lang w:val="bg-BG"/>
        </w:rPr>
        <w:t>Herbicides</w:t>
      </w:r>
      <w:proofErr w:type="spellEnd"/>
      <w:r w:rsidRPr="0036598D">
        <w:rPr>
          <w:sz w:val="24"/>
          <w:lang w:val="bg-BG"/>
        </w:rPr>
        <w:t xml:space="preserve">: </w:t>
      </w:r>
      <w:proofErr w:type="spellStart"/>
      <w:r w:rsidRPr="0036598D">
        <w:rPr>
          <w:sz w:val="24"/>
          <w:lang w:val="bg-BG"/>
        </w:rPr>
        <w:t>Overview</w:t>
      </w:r>
      <w:proofErr w:type="spellEnd"/>
      <w:r w:rsidRPr="0036598D">
        <w:rPr>
          <w:sz w:val="24"/>
          <w:lang w:val="bg-BG"/>
        </w:rPr>
        <w:t xml:space="preserve"> </w:t>
      </w:r>
      <w:proofErr w:type="spellStart"/>
      <w:r w:rsidRPr="0036598D">
        <w:rPr>
          <w:sz w:val="24"/>
          <w:lang w:val="bg-BG"/>
        </w:rPr>
        <w:t>and</w:t>
      </w:r>
      <w:proofErr w:type="spellEnd"/>
      <w:r w:rsidRPr="0036598D">
        <w:rPr>
          <w:sz w:val="24"/>
          <w:lang w:val="bg-BG"/>
        </w:rPr>
        <w:t xml:space="preserve"> </w:t>
      </w:r>
      <w:proofErr w:type="spellStart"/>
      <w:r w:rsidRPr="0036598D">
        <w:rPr>
          <w:sz w:val="24"/>
          <w:lang w:val="bg-BG"/>
        </w:rPr>
        <w:t>Impact</w:t>
      </w:r>
      <w:proofErr w:type="spellEnd"/>
      <w:r w:rsidRPr="0036598D">
        <w:rPr>
          <w:sz w:val="24"/>
          <w:lang w:val="bg-BG"/>
        </w:rPr>
        <w:t xml:space="preserve">’ (Генетично модифицирани устойчиви на хербициди култури, плевели и хербициди: преглед и въздействие), </w:t>
      </w:r>
      <w:proofErr w:type="spellStart"/>
      <w:r w:rsidRPr="0036598D">
        <w:rPr>
          <w:sz w:val="24"/>
          <w:lang w:val="bg-BG"/>
        </w:rPr>
        <w:t>Environmental</w:t>
      </w:r>
      <w:proofErr w:type="spellEnd"/>
      <w:r w:rsidRPr="0036598D">
        <w:rPr>
          <w:sz w:val="24"/>
          <w:lang w:val="bg-BG"/>
        </w:rPr>
        <w:t xml:space="preserve"> </w:t>
      </w:r>
      <w:proofErr w:type="spellStart"/>
      <w:r w:rsidRPr="0036598D">
        <w:rPr>
          <w:sz w:val="24"/>
          <w:lang w:val="bg-BG"/>
        </w:rPr>
        <w:t>Management</w:t>
      </w:r>
      <w:proofErr w:type="spellEnd"/>
      <w:r w:rsidRPr="0036598D">
        <w:rPr>
          <w:sz w:val="24"/>
          <w:lang w:val="bg-BG"/>
        </w:rPr>
        <w:t xml:space="preserve">, януари 2016 г.; 57(1), стр. 31 — 48, </w:t>
      </w:r>
      <w:hyperlink r:id="rId6" w:history="1">
        <w:r w:rsidRPr="0036598D">
          <w:rPr>
            <w:rStyle w:val="Hyperlink"/>
            <w:sz w:val="24"/>
            <w:lang w:val="bg-BG"/>
          </w:rPr>
          <w:t>https://www.ncbi.nlm.nih.gov/pubmed/26296738</w:t>
        </w:r>
      </w:hyperlink>
      <w:r w:rsidRPr="0036598D">
        <w:rPr>
          <w:rStyle w:val="Hyperlink"/>
          <w:sz w:val="24"/>
          <w:lang w:val="bg-BG"/>
        </w:rPr>
        <w:t>;</w:t>
      </w:r>
      <w:r w:rsidRPr="0036598D">
        <w:rPr>
          <w:sz w:val="24"/>
          <w:lang w:val="bg-BG"/>
        </w:rPr>
        <w:t xml:space="preserve"> и </w:t>
      </w:r>
      <w:proofErr w:type="spellStart"/>
      <w:r w:rsidRPr="0036598D">
        <w:rPr>
          <w:sz w:val="24"/>
          <w:lang w:val="bg-BG"/>
        </w:rPr>
        <w:t>Benbrook</w:t>
      </w:r>
      <w:proofErr w:type="spellEnd"/>
      <w:r w:rsidRPr="0036598D">
        <w:rPr>
          <w:sz w:val="24"/>
          <w:lang w:val="bg-BG"/>
        </w:rPr>
        <w:t>, C. M., ‘</w:t>
      </w:r>
      <w:proofErr w:type="spellStart"/>
      <w:r w:rsidRPr="0036598D">
        <w:rPr>
          <w:sz w:val="24"/>
          <w:lang w:val="bg-BG"/>
        </w:rPr>
        <w:t>Impacts</w:t>
      </w:r>
      <w:proofErr w:type="spellEnd"/>
      <w:r w:rsidRPr="0036598D">
        <w:rPr>
          <w:sz w:val="24"/>
          <w:lang w:val="bg-BG"/>
        </w:rPr>
        <w:t xml:space="preserve"> </w:t>
      </w:r>
      <w:proofErr w:type="spellStart"/>
      <w:r w:rsidRPr="0036598D">
        <w:rPr>
          <w:sz w:val="24"/>
          <w:lang w:val="bg-BG"/>
        </w:rPr>
        <w:t>of</w:t>
      </w:r>
      <w:proofErr w:type="spellEnd"/>
      <w:r w:rsidRPr="0036598D">
        <w:rPr>
          <w:sz w:val="24"/>
          <w:lang w:val="bg-BG"/>
        </w:rPr>
        <w:t xml:space="preserve"> </w:t>
      </w:r>
      <w:proofErr w:type="spellStart"/>
      <w:r w:rsidRPr="0036598D">
        <w:rPr>
          <w:sz w:val="24"/>
          <w:lang w:val="bg-BG"/>
        </w:rPr>
        <w:t>genetically</w:t>
      </w:r>
      <w:proofErr w:type="spellEnd"/>
      <w:r w:rsidRPr="0036598D">
        <w:rPr>
          <w:sz w:val="24"/>
          <w:lang w:val="bg-BG"/>
        </w:rPr>
        <w:t xml:space="preserve"> </w:t>
      </w:r>
      <w:proofErr w:type="spellStart"/>
      <w:r w:rsidRPr="0036598D">
        <w:rPr>
          <w:sz w:val="24"/>
          <w:lang w:val="bg-BG"/>
        </w:rPr>
        <w:t>engineered</w:t>
      </w:r>
      <w:proofErr w:type="spellEnd"/>
      <w:r w:rsidRPr="0036598D">
        <w:rPr>
          <w:sz w:val="24"/>
          <w:lang w:val="bg-BG"/>
        </w:rPr>
        <w:t xml:space="preserve"> </w:t>
      </w:r>
      <w:proofErr w:type="spellStart"/>
      <w:r w:rsidRPr="0036598D">
        <w:rPr>
          <w:sz w:val="24"/>
          <w:lang w:val="bg-BG"/>
        </w:rPr>
        <w:t>crops</w:t>
      </w:r>
      <w:proofErr w:type="spellEnd"/>
      <w:r w:rsidRPr="0036598D">
        <w:rPr>
          <w:sz w:val="24"/>
          <w:lang w:val="bg-BG"/>
        </w:rPr>
        <w:t xml:space="preserve"> </w:t>
      </w:r>
      <w:proofErr w:type="spellStart"/>
      <w:r w:rsidRPr="0036598D">
        <w:rPr>
          <w:sz w:val="24"/>
          <w:lang w:val="bg-BG"/>
        </w:rPr>
        <w:t>on</w:t>
      </w:r>
      <w:proofErr w:type="spellEnd"/>
      <w:r w:rsidRPr="0036598D">
        <w:rPr>
          <w:sz w:val="24"/>
          <w:lang w:val="bg-BG"/>
        </w:rPr>
        <w:t xml:space="preserve"> </w:t>
      </w:r>
      <w:proofErr w:type="spellStart"/>
      <w:r w:rsidRPr="0036598D">
        <w:rPr>
          <w:sz w:val="24"/>
          <w:lang w:val="bg-BG"/>
        </w:rPr>
        <w:t>pesticide</w:t>
      </w:r>
      <w:proofErr w:type="spellEnd"/>
      <w:r w:rsidRPr="0036598D">
        <w:rPr>
          <w:sz w:val="24"/>
          <w:lang w:val="bg-BG"/>
        </w:rPr>
        <w:t xml:space="preserve"> </w:t>
      </w:r>
      <w:proofErr w:type="spellStart"/>
      <w:r w:rsidRPr="0036598D">
        <w:rPr>
          <w:sz w:val="24"/>
          <w:lang w:val="bg-BG"/>
        </w:rPr>
        <w:t>use</w:t>
      </w:r>
      <w:proofErr w:type="spellEnd"/>
      <w:r w:rsidRPr="0036598D">
        <w:rPr>
          <w:sz w:val="24"/>
          <w:lang w:val="bg-BG"/>
        </w:rPr>
        <w:t xml:space="preserve"> </w:t>
      </w:r>
      <w:proofErr w:type="spellStart"/>
      <w:r w:rsidRPr="0036598D">
        <w:rPr>
          <w:sz w:val="24"/>
          <w:lang w:val="bg-BG"/>
        </w:rPr>
        <w:t>in</w:t>
      </w:r>
      <w:proofErr w:type="spellEnd"/>
      <w:r w:rsidRPr="0036598D">
        <w:rPr>
          <w:sz w:val="24"/>
          <w:lang w:val="bg-BG"/>
        </w:rPr>
        <w:t xml:space="preserve"> </w:t>
      </w:r>
      <w:proofErr w:type="spellStart"/>
      <w:r w:rsidRPr="0036598D">
        <w:rPr>
          <w:sz w:val="24"/>
          <w:lang w:val="bg-BG"/>
        </w:rPr>
        <w:t>the</w:t>
      </w:r>
      <w:proofErr w:type="spellEnd"/>
      <w:r w:rsidRPr="0036598D">
        <w:rPr>
          <w:sz w:val="24"/>
          <w:lang w:val="bg-BG"/>
        </w:rPr>
        <w:t xml:space="preserve"> U.S. - </w:t>
      </w:r>
      <w:proofErr w:type="spellStart"/>
      <w:r w:rsidRPr="0036598D">
        <w:rPr>
          <w:sz w:val="24"/>
          <w:lang w:val="bg-BG"/>
        </w:rPr>
        <w:t>the</w:t>
      </w:r>
      <w:proofErr w:type="spellEnd"/>
      <w:r w:rsidRPr="0036598D">
        <w:rPr>
          <w:sz w:val="24"/>
          <w:lang w:val="bg-BG"/>
        </w:rPr>
        <w:t xml:space="preserve"> </w:t>
      </w:r>
      <w:proofErr w:type="spellStart"/>
      <w:r w:rsidRPr="0036598D">
        <w:rPr>
          <w:sz w:val="24"/>
          <w:lang w:val="bg-BG"/>
        </w:rPr>
        <w:t>first</w:t>
      </w:r>
      <w:proofErr w:type="spellEnd"/>
      <w:r w:rsidRPr="0036598D">
        <w:rPr>
          <w:sz w:val="24"/>
          <w:lang w:val="bg-BG"/>
        </w:rPr>
        <w:t xml:space="preserve"> </w:t>
      </w:r>
      <w:proofErr w:type="spellStart"/>
      <w:r w:rsidRPr="0036598D">
        <w:rPr>
          <w:sz w:val="24"/>
          <w:lang w:val="bg-BG"/>
        </w:rPr>
        <w:t>sixteen</w:t>
      </w:r>
      <w:proofErr w:type="spellEnd"/>
      <w:r w:rsidRPr="0036598D">
        <w:rPr>
          <w:sz w:val="24"/>
          <w:lang w:val="bg-BG"/>
        </w:rPr>
        <w:t xml:space="preserve"> </w:t>
      </w:r>
      <w:proofErr w:type="spellStart"/>
      <w:r w:rsidRPr="0036598D">
        <w:rPr>
          <w:sz w:val="24"/>
          <w:lang w:val="bg-BG"/>
        </w:rPr>
        <w:t>years</w:t>
      </w:r>
      <w:proofErr w:type="spellEnd"/>
      <w:r w:rsidRPr="0036598D">
        <w:rPr>
          <w:sz w:val="24"/>
          <w:lang w:val="bg-BG"/>
        </w:rPr>
        <w:t xml:space="preserve">’ (Въздействие на генетично модифицираните култури върху употребата на пестициди в САЩ — първите шестнадесет години), </w:t>
      </w:r>
      <w:proofErr w:type="spellStart"/>
      <w:r w:rsidRPr="0036598D">
        <w:rPr>
          <w:sz w:val="24"/>
          <w:lang w:val="bg-BG"/>
        </w:rPr>
        <w:t>Environmental</w:t>
      </w:r>
      <w:proofErr w:type="spellEnd"/>
      <w:r w:rsidRPr="0036598D">
        <w:rPr>
          <w:sz w:val="24"/>
          <w:lang w:val="bg-BG"/>
        </w:rPr>
        <w:t xml:space="preserve"> </w:t>
      </w:r>
      <w:proofErr w:type="spellStart"/>
      <w:r w:rsidRPr="0036598D">
        <w:rPr>
          <w:sz w:val="24"/>
          <w:lang w:val="bg-BG"/>
        </w:rPr>
        <w:t>Sciences</w:t>
      </w:r>
      <w:proofErr w:type="spellEnd"/>
      <w:r w:rsidRPr="0036598D">
        <w:rPr>
          <w:sz w:val="24"/>
          <w:lang w:val="bg-BG"/>
        </w:rPr>
        <w:t xml:space="preserve"> </w:t>
      </w:r>
      <w:proofErr w:type="spellStart"/>
      <w:r w:rsidRPr="0036598D">
        <w:rPr>
          <w:sz w:val="24"/>
          <w:lang w:val="bg-BG"/>
        </w:rPr>
        <w:t>Europe</w:t>
      </w:r>
      <w:proofErr w:type="spellEnd"/>
      <w:r w:rsidRPr="0036598D">
        <w:rPr>
          <w:sz w:val="24"/>
          <w:lang w:val="bg-BG"/>
        </w:rPr>
        <w:t xml:space="preserve">, 28 септември 2012, том 24(1), </w:t>
      </w:r>
      <w:hyperlink r:id="rId7" w:history="1">
        <w:r w:rsidRPr="0036598D">
          <w:rPr>
            <w:rStyle w:val="Hyperlink"/>
            <w:sz w:val="24"/>
            <w:lang w:val="bg-BG"/>
          </w:rPr>
          <w:t>https://enveurope.springeropen.com/articles/10.1186/2190-4715-24-24</w:t>
        </w:r>
      </w:hyperlink>
      <w:r w:rsidRPr="0036598D">
        <w:rPr>
          <w:sz w:val="24"/>
          <w:lang w:val="bg-BG"/>
        </w:rPr>
        <w:t>.</w:t>
      </w:r>
    </w:p>
  </w:footnote>
  <w:footnote w:id="8">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 xml:space="preserve">Вж. </w:t>
      </w:r>
      <w:r w:rsidRPr="0036598D">
        <w:rPr>
          <w:sz w:val="24"/>
          <w:lang w:val="bg-BG"/>
        </w:rPr>
        <w:t xml:space="preserve">например </w:t>
      </w:r>
      <w:hyperlink r:id="rId8" w:history="1">
        <w:r w:rsidRPr="0036598D">
          <w:rPr>
            <w:rStyle w:val="Hyperlink"/>
            <w:sz w:val="24"/>
            <w:lang w:val="bg-BG"/>
          </w:rPr>
          <w:t>https://www.sciencedirect.com/science/article/pii/S1383574218300887</w:t>
        </w:r>
      </w:hyperlink>
      <w:r w:rsidRPr="0036598D">
        <w:rPr>
          <w:sz w:val="24"/>
          <w:lang w:val="bg-BG"/>
        </w:rPr>
        <w:t xml:space="preserve">, </w:t>
      </w:r>
      <w:hyperlink r:id="rId9" w:history="1">
        <w:r w:rsidRPr="0036598D">
          <w:rPr>
            <w:rStyle w:val="Hyperlink"/>
            <w:sz w:val="24"/>
            <w:lang w:val="bg-BG"/>
          </w:rPr>
          <w:t>https://academic.oup.com/ije/advance-article/doi/10.1093/ije/dyz017/5382278</w:t>
        </w:r>
      </w:hyperlink>
      <w:r w:rsidRPr="0036598D">
        <w:rPr>
          <w:sz w:val="24"/>
          <w:lang w:val="bg-BG"/>
        </w:rPr>
        <w:t xml:space="preserve">, </w:t>
      </w:r>
      <w:hyperlink r:id="rId10" w:history="1">
        <w:r w:rsidRPr="0036598D">
          <w:rPr>
            <w:rStyle w:val="Hyperlink"/>
            <w:sz w:val="24"/>
            <w:lang w:val="bg-BG"/>
          </w:rPr>
          <w:t>https://journals.plos.org/plosone/article?id=10.1371/journal.pone.0219610</w:t>
        </w:r>
      </w:hyperlink>
      <w:r w:rsidRPr="0036598D">
        <w:rPr>
          <w:sz w:val="24"/>
          <w:lang w:val="bg-BG"/>
        </w:rPr>
        <w:t xml:space="preserve"> и </w:t>
      </w:r>
      <w:hyperlink r:id="rId11" w:history="1">
        <w:r w:rsidRPr="0036598D">
          <w:rPr>
            <w:rStyle w:val="Hyperlink"/>
            <w:sz w:val="24"/>
            <w:lang w:val="bg-BG"/>
          </w:rPr>
          <w:t>https://www.ncbi.nlm.nih.gov/pmc/articles/PMC6612199/</w:t>
        </w:r>
      </w:hyperlink>
      <w:r w:rsidRPr="0036598D">
        <w:rPr>
          <w:rStyle w:val="Hyperlink"/>
          <w:sz w:val="24"/>
          <w:lang w:val="bg-BG"/>
        </w:rPr>
        <w:t>.</w:t>
      </w:r>
    </w:p>
  </w:footnote>
  <w:footnote w:id="9">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 xml:space="preserve">За преглед вж. </w:t>
      </w:r>
      <w:proofErr w:type="spellStart"/>
      <w:r w:rsidRPr="0036598D">
        <w:rPr>
          <w:sz w:val="24"/>
          <w:lang w:val="bg-BG"/>
        </w:rPr>
        <w:t>Rubio-Infante</w:t>
      </w:r>
      <w:proofErr w:type="spellEnd"/>
      <w:r w:rsidRPr="0036598D">
        <w:rPr>
          <w:sz w:val="24"/>
          <w:lang w:val="bg-BG"/>
        </w:rPr>
        <w:t xml:space="preserve">, N., </w:t>
      </w:r>
      <w:proofErr w:type="spellStart"/>
      <w:r w:rsidRPr="0036598D">
        <w:rPr>
          <w:sz w:val="24"/>
          <w:lang w:val="bg-BG"/>
        </w:rPr>
        <w:t>Moreno-Fierros</w:t>
      </w:r>
      <w:proofErr w:type="spellEnd"/>
      <w:r w:rsidRPr="0036598D">
        <w:rPr>
          <w:sz w:val="24"/>
          <w:lang w:val="bg-BG"/>
        </w:rPr>
        <w:t>, L., ‘</w:t>
      </w:r>
      <w:proofErr w:type="spellStart"/>
      <w:r w:rsidRPr="0036598D">
        <w:rPr>
          <w:sz w:val="24"/>
          <w:lang w:val="bg-BG"/>
        </w:rPr>
        <w:t>An</w:t>
      </w:r>
      <w:proofErr w:type="spellEnd"/>
      <w:r w:rsidRPr="0036598D">
        <w:rPr>
          <w:sz w:val="24"/>
          <w:lang w:val="bg-BG"/>
        </w:rPr>
        <w:t xml:space="preserve"> </w:t>
      </w:r>
      <w:proofErr w:type="spellStart"/>
      <w:r w:rsidRPr="0036598D">
        <w:rPr>
          <w:sz w:val="24"/>
          <w:lang w:val="bg-BG"/>
        </w:rPr>
        <w:t>overview</w:t>
      </w:r>
      <w:proofErr w:type="spellEnd"/>
      <w:r w:rsidRPr="0036598D">
        <w:rPr>
          <w:sz w:val="24"/>
          <w:lang w:val="bg-BG"/>
        </w:rPr>
        <w:t xml:space="preserve"> </w:t>
      </w:r>
      <w:proofErr w:type="spellStart"/>
      <w:r w:rsidRPr="0036598D">
        <w:rPr>
          <w:sz w:val="24"/>
          <w:lang w:val="bg-BG"/>
        </w:rPr>
        <w:t>of</w:t>
      </w:r>
      <w:proofErr w:type="spellEnd"/>
      <w:r w:rsidRPr="0036598D">
        <w:rPr>
          <w:sz w:val="24"/>
          <w:lang w:val="bg-BG"/>
        </w:rPr>
        <w:t xml:space="preserve"> </w:t>
      </w:r>
      <w:proofErr w:type="spellStart"/>
      <w:r w:rsidRPr="0036598D">
        <w:rPr>
          <w:sz w:val="24"/>
          <w:lang w:val="bg-BG"/>
        </w:rPr>
        <w:t>the</w:t>
      </w:r>
      <w:proofErr w:type="spellEnd"/>
      <w:r w:rsidRPr="0036598D">
        <w:rPr>
          <w:sz w:val="24"/>
          <w:lang w:val="bg-BG"/>
        </w:rPr>
        <w:t xml:space="preserve"> </w:t>
      </w:r>
      <w:proofErr w:type="spellStart"/>
      <w:r w:rsidRPr="0036598D">
        <w:rPr>
          <w:sz w:val="24"/>
          <w:lang w:val="bg-BG"/>
        </w:rPr>
        <w:t>safety</w:t>
      </w:r>
      <w:proofErr w:type="spellEnd"/>
      <w:r w:rsidRPr="0036598D">
        <w:rPr>
          <w:sz w:val="24"/>
          <w:lang w:val="bg-BG"/>
        </w:rPr>
        <w:t xml:space="preserve"> </w:t>
      </w:r>
      <w:proofErr w:type="spellStart"/>
      <w:r w:rsidRPr="0036598D">
        <w:rPr>
          <w:sz w:val="24"/>
          <w:lang w:val="bg-BG"/>
        </w:rPr>
        <w:t>and</w:t>
      </w:r>
      <w:proofErr w:type="spellEnd"/>
      <w:r w:rsidRPr="0036598D">
        <w:rPr>
          <w:sz w:val="24"/>
          <w:lang w:val="bg-BG"/>
        </w:rPr>
        <w:t xml:space="preserve"> </w:t>
      </w:r>
      <w:proofErr w:type="spellStart"/>
      <w:r w:rsidRPr="0036598D">
        <w:rPr>
          <w:sz w:val="24"/>
          <w:lang w:val="bg-BG"/>
        </w:rPr>
        <w:t>biological</w:t>
      </w:r>
      <w:proofErr w:type="spellEnd"/>
      <w:r w:rsidRPr="0036598D">
        <w:rPr>
          <w:sz w:val="24"/>
          <w:lang w:val="bg-BG"/>
        </w:rPr>
        <w:t xml:space="preserve"> </w:t>
      </w:r>
      <w:proofErr w:type="spellStart"/>
      <w:r w:rsidRPr="0036598D">
        <w:rPr>
          <w:sz w:val="24"/>
          <w:lang w:val="bg-BG"/>
        </w:rPr>
        <w:t>effects</w:t>
      </w:r>
      <w:proofErr w:type="spellEnd"/>
      <w:r w:rsidRPr="0036598D">
        <w:rPr>
          <w:sz w:val="24"/>
          <w:lang w:val="bg-BG"/>
        </w:rPr>
        <w:t xml:space="preserve"> </w:t>
      </w:r>
      <w:proofErr w:type="spellStart"/>
      <w:r w:rsidRPr="0036598D">
        <w:rPr>
          <w:sz w:val="24"/>
          <w:lang w:val="bg-BG"/>
        </w:rPr>
        <w:t>of</w:t>
      </w:r>
      <w:proofErr w:type="spellEnd"/>
      <w:r w:rsidRPr="0036598D">
        <w:rPr>
          <w:sz w:val="24"/>
          <w:lang w:val="bg-BG"/>
        </w:rPr>
        <w:t> </w:t>
      </w:r>
      <w:proofErr w:type="spellStart"/>
      <w:r w:rsidRPr="0036598D">
        <w:rPr>
          <w:i/>
          <w:sz w:val="24"/>
          <w:lang w:val="bg-BG"/>
        </w:rPr>
        <w:t>Bacillus</w:t>
      </w:r>
      <w:proofErr w:type="spellEnd"/>
      <w:r w:rsidRPr="0036598D">
        <w:rPr>
          <w:i/>
          <w:sz w:val="24"/>
          <w:lang w:val="bg-BG"/>
        </w:rPr>
        <w:t xml:space="preserve"> </w:t>
      </w:r>
      <w:proofErr w:type="spellStart"/>
      <w:r w:rsidRPr="0036598D">
        <w:rPr>
          <w:i/>
          <w:sz w:val="24"/>
          <w:lang w:val="bg-BG"/>
        </w:rPr>
        <w:t>thuringiensis</w:t>
      </w:r>
      <w:proofErr w:type="spellEnd"/>
      <w:r w:rsidRPr="0036598D">
        <w:rPr>
          <w:sz w:val="24"/>
          <w:lang w:val="bg-BG"/>
        </w:rPr>
        <w:t> </w:t>
      </w:r>
      <w:proofErr w:type="spellStart"/>
      <w:r w:rsidRPr="0036598D">
        <w:rPr>
          <w:sz w:val="24"/>
          <w:lang w:val="bg-BG"/>
        </w:rPr>
        <w:t>Cry</w:t>
      </w:r>
      <w:proofErr w:type="spellEnd"/>
      <w:r w:rsidRPr="0036598D">
        <w:rPr>
          <w:sz w:val="24"/>
          <w:lang w:val="bg-BG"/>
        </w:rPr>
        <w:t xml:space="preserve"> </w:t>
      </w:r>
      <w:proofErr w:type="spellStart"/>
      <w:r w:rsidRPr="0036598D">
        <w:rPr>
          <w:sz w:val="24"/>
          <w:lang w:val="bg-BG"/>
        </w:rPr>
        <w:t>toxins</w:t>
      </w:r>
      <w:proofErr w:type="spellEnd"/>
      <w:r w:rsidRPr="0036598D">
        <w:rPr>
          <w:sz w:val="24"/>
          <w:lang w:val="bg-BG"/>
        </w:rPr>
        <w:t xml:space="preserve"> </w:t>
      </w:r>
      <w:proofErr w:type="spellStart"/>
      <w:r w:rsidRPr="0036598D">
        <w:rPr>
          <w:sz w:val="24"/>
          <w:lang w:val="bg-BG"/>
        </w:rPr>
        <w:t>in</w:t>
      </w:r>
      <w:proofErr w:type="spellEnd"/>
      <w:r w:rsidRPr="0036598D">
        <w:rPr>
          <w:sz w:val="24"/>
          <w:lang w:val="bg-BG"/>
        </w:rPr>
        <w:t xml:space="preserve"> </w:t>
      </w:r>
      <w:proofErr w:type="spellStart"/>
      <w:r w:rsidRPr="0036598D">
        <w:rPr>
          <w:sz w:val="24"/>
          <w:lang w:val="bg-BG"/>
        </w:rPr>
        <w:t>mammals</w:t>
      </w:r>
      <w:proofErr w:type="spellEnd"/>
      <w:r w:rsidRPr="0036598D">
        <w:rPr>
          <w:sz w:val="24"/>
          <w:lang w:val="bg-BG"/>
        </w:rPr>
        <w:t xml:space="preserve">’ (Преглед на безопасността и биологичните ефекти на </w:t>
      </w:r>
      <w:proofErr w:type="spellStart"/>
      <w:r w:rsidRPr="0036598D">
        <w:rPr>
          <w:sz w:val="24"/>
          <w:lang w:val="bg-BG"/>
        </w:rPr>
        <w:t>Cry</w:t>
      </w:r>
      <w:proofErr w:type="spellEnd"/>
      <w:r w:rsidRPr="0036598D">
        <w:rPr>
          <w:sz w:val="24"/>
          <w:lang w:val="bg-BG"/>
        </w:rPr>
        <w:t xml:space="preserve"> токсините от </w:t>
      </w:r>
      <w:proofErr w:type="spellStart"/>
      <w:r w:rsidRPr="0036598D">
        <w:rPr>
          <w:i/>
          <w:iCs/>
          <w:sz w:val="24"/>
          <w:lang w:val="bg-BG"/>
        </w:rPr>
        <w:t>Bacillus</w:t>
      </w:r>
      <w:proofErr w:type="spellEnd"/>
      <w:r w:rsidRPr="0036598D">
        <w:rPr>
          <w:i/>
          <w:iCs/>
          <w:sz w:val="24"/>
          <w:lang w:val="bg-BG"/>
        </w:rPr>
        <w:t xml:space="preserve"> </w:t>
      </w:r>
      <w:proofErr w:type="spellStart"/>
      <w:r w:rsidRPr="0036598D">
        <w:rPr>
          <w:i/>
          <w:iCs/>
          <w:sz w:val="24"/>
          <w:lang w:val="bg-BG"/>
        </w:rPr>
        <w:t>thuringiensis</w:t>
      </w:r>
      <w:proofErr w:type="spellEnd"/>
      <w:r w:rsidRPr="0036598D">
        <w:rPr>
          <w:sz w:val="24"/>
          <w:lang w:val="bg-BG"/>
        </w:rPr>
        <w:t xml:space="preserve"> при бозайниците), </w:t>
      </w:r>
      <w:proofErr w:type="spellStart"/>
      <w:r w:rsidRPr="0036598D">
        <w:rPr>
          <w:sz w:val="24"/>
          <w:lang w:val="bg-BG"/>
        </w:rPr>
        <w:t>Journal</w:t>
      </w:r>
      <w:proofErr w:type="spellEnd"/>
      <w:r w:rsidRPr="0036598D">
        <w:rPr>
          <w:sz w:val="24"/>
          <w:lang w:val="bg-BG"/>
        </w:rPr>
        <w:t xml:space="preserve"> </w:t>
      </w:r>
      <w:proofErr w:type="spellStart"/>
      <w:r w:rsidRPr="0036598D">
        <w:rPr>
          <w:sz w:val="24"/>
          <w:lang w:val="bg-BG"/>
        </w:rPr>
        <w:t>of</w:t>
      </w:r>
      <w:proofErr w:type="spellEnd"/>
      <w:r w:rsidRPr="0036598D">
        <w:rPr>
          <w:sz w:val="24"/>
          <w:lang w:val="bg-BG"/>
        </w:rPr>
        <w:t xml:space="preserve"> </w:t>
      </w:r>
      <w:proofErr w:type="spellStart"/>
      <w:r w:rsidRPr="0036598D">
        <w:rPr>
          <w:sz w:val="24"/>
          <w:lang w:val="bg-BG"/>
        </w:rPr>
        <w:t>Applied</w:t>
      </w:r>
      <w:proofErr w:type="spellEnd"/>
      <w:r w:rsidRPr="0036598D">
        <w:rPr>
          <w:sz w:val="24"/>
          <w:lang w:val="bg-BG"/>
        </w:rPr>
        <w:t xml:space="preserve"> </w:t>
      </w:r>
      <w:proofErr w:type="spellStart"/>
      <w:r w:rsidRPr="0036598D">
        <w:rPr>
          <w:sz w:val="24"/>
          <w:lang w:val="bg-BG"/>
        </w:rPr>
        <w:t>Toxicology</w:t>
      </w:r>
      <w:proofErr w:type="spellEnd"/>
      <w:r w:rsidRPr="0036598D">
        <w:rPr>
          <w:sz w:val="24"/>
          <w:lang w:val="bg-BG"/>
        </w:rPr>
        <w:t>, май 2016 г., 36, 5, стр. </w:t>
      </w:r>
      <w:r w:rsidRPr="0036598D">
        <w:rPr>
          <w:sz w:val="24"/>
          <w:lang w:val="bg-BG"/>
        </w:rPr>
        <w:t xml:space="preserve">630 — 648, </w:t>
      </w:r>
      <w:hyperlink r:id="rId12" w:history="1">
        <w:r w:rsidRPr="0036598D">
          <w:rPr>
            <w:rStyle w:val="Hyperlink"/>
            <w:sz w:val="24"/>
            <w:lang w:val="bg-BG"/>
          </w:rPr>
          <w:t>https://onlinelibrary.wiley.com/doi/full/10.1002/jat.3252</w:t>
        </w:r>
      </w:hyperlink>
      <w:r w:rsidRPr="0036598D">
        <w:rPr>
          <w:sz w:val="24"/>
          <w:lang w:val="bg-BG"/>
        </w:rPr>
        <w:t>.</w:t>
      </w:r>
    </w:p>
  </w:footnote>
  <w:footnote w:id="10">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hyperlink r:id="rId13" w:history="1">
        <w:r w:rsidRPr="0036598D">
          <w:rPr>
            <w:rStyle w:val="Hyperlink"/>
            <w:sz w:val="24"/>
            <w:lang w:val="bg-BG"/>
          </w:rPr>
          <w:t>https://www.sciencedirect.com/science/article/pii/S0278691516300722?via%3Dihub</w:t>
        </w:r>
      </w:hyperlink>
      <w:r w:rsidRPr="0036598D">
        <w:rPr>
          <w:rStyle w:val="Hyperlink"/>
          <w:sz w:val="24"/>
          <w:lang w:val="bg-BG"/>
        </w:rPr>
        <w:t>.</w:t>
      </w:r>
    </w:p>
  </w:footnote>
  <w:footnote w:id="11">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 xml:space="preserve">Вж. например </w:t>
      </w:r>
      <w:proofErr w:type="spellStart"/>
      <w:r w:rsidRPr="0036598D">
        <w:rPr>
          <w:sz w:val="24"/>
          <w:lang w:val="bg-BG"/>
        </w:rPr>
        <w:t>Hilbeck</w:t>
      </w:r>
      <w:proofErr w:type="spellEnd"/>
      <w:r w:rsidRPr="0036598D">
        <w:rPr>
          <w:sz w:val="24"/>
          <w:lang w:val="bg-BG"/>
        </w:rPr>
        <w:t xml:space="preserve">, A., Otto, M., </w:t>
      </w:r>
      <w:r w:rsidRPr="0036598D">
        <w:rPr>
          <w:sz w:val="24"/>
          <w:lang w:val="bg-BG"/>
        </w:rPr>
        <w:t>„</w:t>
      </w:r>
      <w:proofErr w:type="spellStart"/>
      <w:r w:rsidRPr="0036598D">
        <w:rPr>
          <w:sz w:val="24"/>
          <w:lang w:val="bg-BG"/>
        </w:rPr>
        <w:t>Specificity</w:t>
      </w:r>
      <w:proofErr w:type="spellEnd"/>
      <w:r w:rsidRPr="0036598D">
        <w:rPr>
          <w:sz w:val="24"/>
          <w:lang w:val="bg-BG"/>
        </w:rPr>
        <w:t xml:space="preserve"> </w:t>
      </w:r>
      <w:proofErr w:type="spellStart"/>
      <w:r w:rsidRPr="0036598D">
        <w:rPr>
          <w:sz w:val="24"/>
          <w:lang w:val="bg-BG"/>
        </w:rPr>
        <w:t>and</w:t>
      </w:r>
      <w:proofErr w:type="spellEnd"/>
      <w:r w:rsidRPr="0036598D">
        <w:rPr>
          <w:sz w:val="24"/>
          <w:lang w:val="bg-BG"/>
        </w:rPr>
        <w:t xml:space="preserve"> </w:t>
      </w:r>
      <w:proofErr w:type="spellStart"/>
      <w:r w:rsidRPr="0036598D">
        <w:rPr>
          <w:sz w:val="24"/>
          <w:lang w:val="bg-BG"/>
        </w:rPr>
        <w:t>combinatorial</w:t>
      </w:r>
      <w:proofErr w:type="spellEnd"/>
      <w:r w:rsidRPr="0036598D">
        <w:rPr>
          <w:sz w:val="24"/>
          <w:lang w:val="bg-BG"/>
        </w:rPr>
        <w:t xml:space="preserve"> </w:t>
      </w:r>
      <w:proofErr w:type="spellStart"/>
      <w:r w:rsidRPr="0036598D">
        <w:rPr>
          <w:sz w:val="24"/>
          <w:lang w:val="bg-BG"/>
        </w:rPr>
        <w:t>effects</w:t>
      </w:r>
      <w:proofErr w:type="spellEnd"/>
      <w:r w:rsidRPr="0036598D">
        <w:rPr>
          <w:sz w:val="24"/>
          <w:lang w:val="bg-BG"/>
        </w:rPr>
        <w:t xml:space="preserve"> </w:t>
      </w:r>
      <w:proofErr w:type="spellStart"/>
      <w:r w:rsidRPr="0036598D">
        <w:rPr>
          <w:sz w:val="24"/>
          <w:lang w:val="bg-BG"/>
        </w:rPr>
        <w:t>of</w:t>
      </w:r>
      <w:proofErr w:type="spellEnd"/>
      <w:r w:rsidRPr="0036598D">
        <w:rPr>
          <w:sz w:val="24"/>
          <w:lang w:val="bg-BG"/>
        </w:rPr>
        <w:t xml:space="preserve"> </w:t>
      </w:r>
      <w:proofErr w:type="spellStart"/>
      <w:r w:rsidRPr="0036598D">
        <w:rPr>
          <w:i/>
          <w:sz w:val="24"/>
          <w:lang w:val="bg-BG"/>
        </w:rPr>
        <w:t>Bacillus</w:t>
      </w:r>
      <w:proofErr w:type="spellEnd"/>
      <w:r w:rsidRPr="0036598D">
        <w:rPr>
          <w:i/>
          <w:sz w:val="24"/>
          <w:lang w:val="bg-BG"/>
        </w:rPr>
        <w:t xml:space="preserve"> </w:t>
      </w:r>
      <w:proofErr w:type="spellStart"/>
      <w:r w:rsidRPr="0036598D">
        <w:rPr>
          <w:i/>
          <w:sz w:val="24"/>
          <w:lang w:val="bg-BG"/>
        </w:rPr>
        <w:t>thuringiensis</w:t>
      </w:r>
      <w:proofErr w:type="spellEnd"/>
      <w:r w:rsidRPr="0036598D">
        <w:rPr>
          <w:sz w:val="24"/>
          <w:lang w:val="bg-BG"/>
        </w:rPr>
        <w:t xml:space="preserve"> </w:t>
      </w:r>
      <w:proofErr w:type="spellStart"/>
      <w:r w:rsidRPr="0036598D">
        <w:rPr>
          <w:sz w:val="24"/>
          <w:lang w:val="bg-BG"/>
        </w:rPr>
        <w:t>Cry</w:t>
      </w:r>
      <w:proofErr w:type="spellEnd"/>
      <w:r w:rsidRPr="0036598D">
        <w:rPr>
          <w:sz w:val="24"/>
          <w:lang w:val="bg-BG"/>
        </w:rPr>
        <w:t xml:space="preserve"> </w:t>
      </w:r>
      <w:proofErr w:type="spellStart"/>
      <w:r w:rsidRPr="0036598D">
        <w:rPr>
          <w:sz w:val="24"/>
          <w:lang w:val="bg-BG"/>
        </w:rPr>
        <w:t>toxins</w:t>
      </w:r>
      <w:proofErr w:type="spellEnd"/>
      <w:r w:rsidRPr="0036598D">
        <w:rPr>
          <w:sz w:val="24"/>
          <w:lang w:val="bg-BG"/>
        </w:rPr>
        <w:t xml:space="preserve"> </w:t>
      </w:r>
      <w:proofErr w:type="spellStart"/>
      <w:r w:rsidRPr="0036598D">
        <w:rPr>
          <w:sz w:val="24"/>
          <w:lang w:val="bg-BG"/>
        </w:rPr>
        <w:t>in</w:t>
      </w:r>
      <w:proofErr w:type="spellEnd"/>
      <w:r w:rsidRPr="0036598D">
        <w:rPr>
          <w:sz w:val="24"/>
          <w:lang w:val="bg-BG"/>
        </w:rPr>
        <w:t xml:space="preserve"> </w:t>
      </w:r>
      <w:proofErr w:type="spellStart"/>
      <w:r w:rsidRPr="0036598D">
        <w:rPr>
          <w:sz w:val="24"/>
          <w:lang w:val="bg-BG"/>
        </w:rPr>
        <w:t>the</w:t>
      </w:r>
      <w:proofErr w:type="spellEnd"/>
      <w:r w:rsidRPr="0036598D">
        <w:rPr>
          <w:sz w:val="24"/>
          <w:lang w:val="bg-BG"/>
        </w:rPr>
        <w:t xml:space="preserve"> </w:t>
      </w:r>
      <w:proofErr w:type="spellStart"/>
      <w:r w:rsidRPr="0036598D">
        <w:rPr>
          <w:sz w:val="24"/>
          <w:lang w:val="bg-BG"/>
        </w:rPr>
        <w:t>context</w:t>
      </w:r>
      <w:proofErr w:type="spellEnd"/>
      <w:r w:rsidRPr="0036598D">
        <w:rPr>
          <w:sz w:val="24"/>
          <w:lang w:val="bg-BG"/>
        </w:rPr>
        <w:t xml:space="preserve"> </w:t>
      </w:r>
      <w:proofErr w:type="spellStart"/>
      <w:r w:rsidRPr="0036598D">
        <w:rPr>
          <w:sz w:val="24"/>
          <w:lang w:val="bg-BG"/>
        </w:rPr>
        <w:t>of</w:t>
      </w:r>
      <w:proofErr w:type="spellEnd"/>
      <w:r w:rsidRPr="0036598D">
        <w:rPr>
          <w:sz w:val="24"/>
          <w:lang w:val="bg-BG"/>
        </w:rPr>
        <w:t xml:space="preserve"> GMO </w:t>
      </w:r>
      <w:proofErr w:type="spellStart"/>
      <w:r w:rsidRPr="0036598D">
        <w:rPr>
          <w:sz w:val="24"/>
          <w:lang w:val="bg-BG"/>
        </w:rPr>
        <w:t>environmental</w:t>
      </w:r>
      <w:proofErr w:type="spellEnd"/>
      <w:r w:rsidRPr="0036598D">
        <w:rPr>
          <w:sz w:val="24"/>
          <w:lang w:val="bg-BG"/>
        </w:rPr>
        <w:t xml:space="preserve"> </w:t>
      </w:r>
      <w:proofErr w:type="spellStart"/>
      <w:r w:rsidRPr="0036598D">
        <w:rPr>
          <w:sz w:val="24"/>
          <w:lang w:val="bg-BG"/>
        </w:rPr>
        <w:t>risk</w:t>
      </w:r>
      <w:proofErr w:type="spellEnd"/>
      <w:r w:rsidRPr="0036598D">
        <w:rPr>
          <w:sz w:val="24"/>
          <w:lang w:val="bg-BG"/>
        </w:rPr>
        <w:t xml:space="preserve"> </w:t>
      </w:r>
      <w:proofErr w:type="spellStart"/>
      <w:r w:rsidRPr="0036598D">
        <w:rPr>
          <w:sz w:val="24"/>
          <w:lang w:val="bg-BG"/>
        </w:rPr>
        <w:t>assessment</w:t>
      </w:r>
      <w:proofErr w:type="spellEnd"/>
      <w:r w:rsidRPr="0036598D">
        <w:rPr>
          <w:sz w:val="24"/>
          <w:lang w:val="bg-BG"/>
        </w:rPr>
        <w:t xml:space="preserve">“ (Специфика и комбинаторни ефекти на </w:t>
      </w:r>
      <w:proofErr w:type="spellStart"/>
      <w:r w:rsidRPr="0036598D">
        <w:rPr>
          <w:i/>
          <w:iCs/>
          <w:sz w:val="24"/>
          <w:lang w:val="bg-BG"/>
        </w:rPr>
        <w:t>Cry</w:t>
      </w:r>
      <w:proofErr w:type="spellEnd"/>
      <w:r w:rsidRPr="0036598D">
        <w:rPr>
          <w:sz w:val="24"/>
          <w:lang w:val="bg-BG"/>
        </w:rPr>
        <w:t xml:space="preserve"> токсините от </w:t>
      </w:r>
      <w:proofErr w:type="spellStart"/>
      <w:r w:rsidRPr="0036598D">
        <w:rPr>
          <w:i/>
          <w:iCs/>
          <w:sz w:val="24"/>
          <w:lang w:val="bg-BG"/>
        </w:rPr>
        <w:t>Bacillus</w:t>
      </w:r>
      <w:proofErr w:type="spellEnd"/>
      <w:r w:rsidRPr="0036598D">
        <w:rPr>
          <w:i/>
          <w:iCs/>
          <w:sz w:val="24"/>
          <w:lang w:val="bg-BG"/>
        </w:rPr>
        <w:t xml:space="preserve"> </w:t>
      </w:r>
      <w:proofErr w:type="spellStart"/>
      <w:r w:rsidRPr="0036598D">
        <w:rPr>
          <w:i/>
          <w:iCs/>
          <w:sz w:val="24"/>
          <w:lang w:val="bg-BG"/>
        </w:rPr>
        <w:t>thuringiensis</w:t>
      </w:r>
      <w:proofErr w:type="spellEnd"/>
      <w:r w:rsidRPr="0036598D">
        <w:rPr>
          <w:sz w:val="24"/>
          <w:lang w:val="bg-BG"/>
        </w:rPr>
        <w:t xml:space="preserve"> в контекста на оценката на риска за околната среда от генетично модифицираните организми), </w:t>
      </w:r>
      <w:proofErr w:type="spellStart"/>
      <w:r w:rsidRPr="0036598D">
        <w:rPr>
          <w:sz w:val="24"/>
          <w:lang w:val="bg-BG"/>
        </w:rPr>
        <w:t>Frontiers</w:t>
      </w:r>
      <w:proofErr w:type="spellEnd"/>
      <w:r w:rsidRPr="0036598D">
        <w:rPr>
          <w:sz w:val="24"/>
          <w:lang w:val="bg-BG"/>
        </w:rPr>
        <w:t xml:space="preserve"> </w:t>
      </w:r>
      <w:proofErr w:type="spellStart"/>
      <w:r w:rsidRPr="0036598D">
        <w:rPr>
          <w:sz w:val="24"/>
          <w:lang w:val="bg-BG"/>
        </w:rPr>
        <w:t>in</w:t>
      </w:r>
      <w:proofErr w:type="spellEnd"/>
      <w:r w:rsidRPr="0036598D">
        <w:rPr>
          <w:sz w:val="24"/>
          <w:lang w:val="bg-BG"/>
        </w:rPr>
        <w:t xml:space="preserve"> </w:t>
      </w:r>
      <w:proofErr w:type="spellStart"/>
      <w:r w:rsidRPr="0036598D">
        <w:rPr>
          <w:sz w:val="24"/>
          <w:lang w:val="bg-BG"/>
        </w:rPr>
        <w:t>Environmental</w:t>
      </w:r>
      <w:proofErr w:type="spellEnd"/>
      <w:r w:rsidRPr="0036598D">
        <w:rPr>
          <w:sz w:val="24"/>
          <w:lang w:val="bg-BG"/>
        </w:rPr>
        <w:t xml:space="preserve"> Science, 2015 г., 3:71, </w:t>
      </w:r>
      <w:hyperlink r:id="rId14" w:history="1">
        <w:r w:rsidRPr="0036598D">
          <w:rPr>
            <w:rStyle w:val="Hyperlink"/>
            <w:sz w:val="24"/>
            <w:lang w:val="bg-BG"/>
          </w:rPr>
          <w:t>https://doi.org/10.3389/fenvs.2015.00071</w:t>
        </w:r>
      </w:hyperlink>
      <w:r w:rsidRPr="0036598D">
        <w:rPr>
          <w:rStyle w:val="Hyperlink"/>
          <w:sz w:val="24"/>
          <w:lang w:val="bg-BG"/>
        </w:rPr>
        <w:t>.</w:t>
      </w:r>
    </w:p>
  </w:footnote>
  <w:footnote w:id="12">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hyperlink r:id="rId15" w:history="1">
        <w:r w:rsidRPr="0036598D">
          <w:rPr>
            <w:rStyle w:val="Hyperlink"/>
            <w:sz w:val="24"/>
            <w:lang w:val="bg-BG"/>
          </w:rPr>
          <w:t>https://efsa.onlinelibrary.wiley.com/action/downloadSupplement?doi=10.2903%2Fj.‌efsa.2024.8716&amp;file=efs28716-sup-0012-Annex8.pdf</w:t>
        </w:r>
      </w:hyperlink>
      <w:r w:rsidRPr="0036598D">
        <w:rPr>
          <w:rStyle w:val="Hyperlink"/>
          <w:sz w:val="24"/>
          <w:lang w:val="bg-BG"/>
        </w:rPr>
        <w:t>.</w:t>
      </w:r>
    </w:p>
  </w:footnote>
  <w:footnote w:id="13">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w:t>
      </w:r>
      <w:proofErr w:type="spellStart"/>
      <w:r w:rsidRPr="0036598D">
        <w:rPr>
          <w:sz w:val="24"/>
          <w:lang w:val="bg-BG"/>
        </w:rPr>
        <w:t>Strategic</w:t>
      </w:r>
      <w:proofErr w:type="spellEnd"/>
      <w:r w:rsidRPr="0036598D">
        <w:rPr>
          <w:sz w:val="24"/>
          <w:lang w:val="bg-BG"/>
        </w:rPr>
        <w:t xml:space="preserve"> </w:t>
      </w:r>
      <w:proofErr w:type="spellStart"/>
      <w:r w:rsidRPr="0036598D">
        <w:rPr>
          <w:sz w:val="24"/>
          <w:lang w:val="bg-BG"/>
        </w:rPr>
        <w:t>Dialogue</w:t>
      </w:r>
      <w:proofErr w:type="spellEnd"/>
      <w:r w:rsidRPr="0036598D">
        <w:rPr>
          <w:sz w:val="24"/>
          <w:lang w:val="bg-BG"/>
        </w:rPr>
        <w:t xml:space="preserve"> </w:t>
      </w:r>
      <w:proofErr w:type="spellStart"/>
      <w:r w:rsidRPr="0036598D">
        <w:rPr>
          <w:sz w:val="24"/>
          <w:lang w:val="bg-BG"/>
        </w:rPr>
        <w:t>on</w:t>
      </w:r>
      <w:proofErr w:type="spellEnd"/>
      <w:r w:rsidRPr="0036598D">
        <w:rPr>
          <w:sz w:val="24"/>
          <w:lang w:val="bg-BG"/>
        </w:rPr>
        <w:t xml:space="preserve"> </w:t>
      </w:r>
      <w:proofErr w:type="spellStart"/>
      <w:r w:rsidRPr="0036598D">
        <w:rPr>
          <w:sz w:val="24"/>
          <w:lang w:val="bg-BG"/>
        </w:rPr>
        <w:t>the</w:t>
      </w:r>
      <w:proofErr w:type="spellEnd"/>
      <w:r w:rsidRPr="0036598D">
        <w:rPr>
          <w:sz w:val="24"/>
          <w:lang w:val="bg-BG"/>
        </w:rPr>
        <w:t xml:space="preserve"> </w:t>
      </w:r>
      <w:proofErr w:type="spellStart"/>
      <w:r w:rsidRPr="0036598D">
        <w:rPr>
          <w:sz w:val="24"/>
          <w:lang w:val="bg-BG"/>
        </w:rPr>
        <w:t>Future</w:t>
      </w:r>
      <w:proofErr w:type="spellEnd"/>
      <w:r w:rsidRPr="0036598D">
        <w:rPr>
          <w:sz w:val="24"/>
          <w:lang w:val="bg-BG"/>
        </w:rPr>
        <w:t xml:space="preserve"> </w:t>
      </w:r>
      <w:proofErr w:type="spellStart"/>
      <w:r w:rsidRPr="0036598D">
        <w:rPr>
          <w:sz w:val="24"/>
          <w:lang w:val="bg-BG"/>
        </w:rPr>
        <w:t>of</w:t>
      </w:r>
      <w:proofErr w:type="spellEnd"/>
      <w:r w:rsidRPr="0036598D">
        <w:rPr>
          <w:sz w:val="24"/>
          <w:lang w:val="bg-BG"/>
        </w:rPr>
        <w:t xml:space="preserve"> EU </w:t>
      </w:r>
      <w:proofErr w:type="spellStart"/>
      <w:r w:rsidRPr="0036598D">
        <w:rPr>
          <w:sz w:val="24"/>
          <w:lang w:val="bg-BG"/>
        </w:rPr>
        <w:t>Agriculture</w:t>
      </w:r>
      <w:proofErr w:type="spellEnd"/>
      <w:r w:rsidRPr="0036598D">
        <w:rPr>
          <w:sz w:val="24"/>
          <w:lang w:val="bg-BG"/>
        </w:rPr>
        <w:t xml:space="preserve"> - A </w:t>
      </w:r>
      <w:proofErr w:type="spellStart"/>
      <w:r w:rsidRPr="0036598D">
        <w:rPr>
          <w:sz w:val="24"/>
          <w:lang w:val="bg-BG"/>
        </w:rPr>
        <w:t>shared</w:t>
      </w:r>
      <w:proofErr w:type="spellEnd"/>
      <w:r w:rsidRPr="0036598D">
        <w:rPr>
          <w:sz w:val="24"/>
          <w:lang w:val="bg-BG"/>
        </w:rPr>
        <w:t xml:space="preserve"> </w:t>
      </w:r>
      <w:proofErr w:type="spellStart"/>
      <w:r w:rsidRPr="0036598D">
        <w:rPr>
          <w:sz w:val="24"/>
          <w:lang w:val="bg-BG"/>
        </w:rPr>
        <w:t>prospect</w:t>
      </w:r>
      <w:proofErr w:type="spellEnd"/>
      <w:r w:rsidRPr="0036598D">
        <w:rPr>
          <w:sz w:val="24"/>
          <w:lang w:val="bg-BG"/>
        </w:rPr>
        <w:t xml:space="preserve"> </w:t>
      </w:r>
      <w:proofErr w:type="spellStart"/>
      <w:r w:rsidRPr="0036598D">
        <w:rPr>
          <w:sz w:val="24"/>
          <w:lang w:val="bg-BG"/>
        </w:rPr>
        <w:t>for</w:t>
      </w:r>
      <w:proofErr w:type="spellEnd"/>
      <w:r w:rsidRPr="0036598D">
        <w:rPr>
          <w:sz w:val="24"/>
          <w:lang w:val="bg-BG"/>
        </w:rPr>
        <w:t xml:space="preserve"> </w:t>
      </w:r>
      <w:proofErr w:type="spellStart"/>
      <w:r w:rsidRPr="0036598D">
        <w:rPr>
          <w:sz w:val="24"/>
          <w:lang w:val="bg-BG"/>
        </w:rPr>
        <w:t>farming</w:t>
      </w:r>
      <w:proofErr w:type="spellEnd"/>
      <w:r w:rsidRPr="0036598D">
        <w:rPr>
          <w:sz w:val="24"/>
          <w:lang w:val="bg-BG"/>
        </w:rPr>
        <w:t xml:space="preserve"> </w:t>
      </w:r>
      <w:proofErr w:type="spellStart"/>
      <w:r w:rsidRPr="0036598D">
        <w:rPr>
          <w:sz w:val="24"/>
          <w:lang w:val="bg-BG"/>
        </w:rPr>
        <w:t>and</w:t>
      </w:r>
      <w:proofErr w:type="spellEnd"/>
      <w:r w:rsidRPr="0036598D">
        <w:rPr>
          <w:sz w:val="24"/>
          <w:lang w:val="bg-BG"/>
        </w:rPr>
        <w:t xml:space="preserve"> </w:t>
      </w:r>
      <w:proofErr w:type="spellStart"/>
      <w:r w:rsidRPr="0036598D">
        <w:rPr>
          <w:sz w:val="24"/>
          <w:lang w:val="bg-BG"/>
        </w:rPr>
        <w:t>food</w:t>
      </w:r>
      <w:proofErr w:type="spellEnd"/>
      <w:r w:rsidRPr="0036598D">
        <w:rPr>
          <w:sz w:val="24"/>
          <w:lang w:val="bg-BG"/>
        </w:rPr>
        <w:t xml:space="preserve"> </w:t>
      </w:r>
      <w:proofErr w:type="spellStart"/>
      <w:r w:rsidRPr="0036598D">
        <w:rPr>
          <w:sz w:val="24"/>
          <w:lang w:val="bg-BG"/>
        </w:rPr>
        <w:t>in</w:t>
      </w:r>
      <w:proofErr w:type="spellEnd"/>
      <w:r w:rsidRPr="0036598D">
        <w:rPr>
          <w:sz w:val="24"/>
          <w:lang w:val="bg-BG"/>
        </w:rPr>
        <w:t xml:space="preserve"> </w:t>
      </w:r>
      <w:proofErr w:type="spellStart"/>
      <w:r w:rsidRPr="0036598D">
        <w:rPr>
          <w:sz w:val="24"/>
          <w:lang w:val="bg-BG"/>
        </w:rPr>
        <w:t>Europe</w:t>
      </w:r>
      <w:proofErr w:type="spellEnd"/>
      <w:r w:rsidRPr="0036598D">
        <w:rPr>
          <w:sz w:val="24"/>
          <w:lang w:val="bg-BG"/>
        </w:rPr>
        <w:t xml:space="preserve">’ (Стратегически диалог относно бъдещето на селското стопанство в ЕС — споделена перспектива за земеделието и храните в Европа), септември 2024 г., </w:t>
      </w:r>
      <w:hyperlink r:id="rId16" w:history="1">
        <w:r w:rsidRPr="0036598D">
          <w:rPr>
            <w:rStyle w:val="Hyperlink"/>
            <w:sz w:val="24"/>
            <w:lang w:val="bg-BG"/>
          </w:rPr>
          <w:t>https://agriculture.ec.europa.eu/document/download/171329ff-0f50-4fa5-946f-aea11032172e_en?filename=strategic-dialogue-report-2024_en.pdf</w:t>
        </w:r>
      </w:hyperlink>
      <w:r w:rsidRPr="0036598D">
        <w:rPr>
          <w:rStyle w:val="Hyperlink"/>
          <w:sz w:val="24"/>
          <w:lang w:val="bg-BG"/>
        </w:rPr>
        <w:t>.</w:t>
      </w:r>
    </w:p>
  </w:footnote>
  <w:footnote w:id="14">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hyperlink r:id="rId17" w:history="1">
        <w:r w:rsidRPr="0036598D">
          <w:rPr>
            <w:rStyle w:val="Hyperlink"/>
            <w:sz w:val="24"/>
            <w:lang w:val="bg-BG"/>
          </w:rPr>
          <w:t>https://www.ohchr.org/en/documents/thematic-reports/ahrc3448-report-special-rapporteur-right-food</w:t>
        </w:r>
      </w:hyperlink>
      <w:r w:rsidRPr="0036598D">
        <w:rPr>
          <w:sz w:val="24"/>
          <w:lang w:val="bg-BG"/>
        </w:rPr>
        <w:t>.</w:t>
      </w:r>
    </w:p>
  </w:footnote>
  <w:footnote w:id="15">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rStyle w:val="Hyperlink"/>
          <w:sz w:val="24"/>
          <w:lang w:val="bg-BG"/>
        </w:rPr>
        <w:t xml:space="preserve"> </w:t>
      </w:r>
      <w:r w:rsidR="0036598D" w:rsidRPr="0036598D">
        <w:rPr>
          <w:rStyle w:val="Hyperlink"/>
          <w:sz w:val="24"/>
          <w:lang w:val="bg-BG"/>
        </w:rPr>
        <w:tab/>
      </w:r>
      <w:r w:rsidRPr="0036598D">
        <w:rPr>
          <w:rStyle w:val="Hyperlink"/>
          <w:sz w:val="24"/>
          <w:lang w:val="bg-BG"/>
        </w:rPr>
        <w:t>https://indicators.report/targets/3-9/.</w:t>
      </w:r>
    </w:p>
  </w:footnote>
  <w:footnote w:id="16">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hyperlink r:id="rId18" w:history="1">
        <w:r w:rsidRPr="0036598D">
          <w:rPr>
            <w:rStyle w:val="Hyperlink"/>
            <w:sz w:val="24"/>
            <w:lang w:val="bg-BG"/>
          </w:rPr>
          <w:t>https://commission.europa.eu/document/2c64e540-c07a-4376-a1da-368d289f4afe_en</w:t>
        </w:r>
      </w:hyperlink>
      <w:r w:rsidRPr="0036598D">
        <w:rPr>
          <w:sz w:val="24"/>
          <w:lang w:val="bg-BG"/>
        </w:rPr>
        <w:t>.</w:t>
      </w:r>
    </w:p>
  </w:footnote>
  <w:footnote w:id="17">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Комисията „може“, а не „трябва“ да предоставя разрешение, когато държавите членки не са изразили подкрепа с квалифицирано мнозинство в апелативния комитет, в съответствие с член 6, параграф 3 от Регламент (ЕС) № 182/2011.</w:t>
      </w:r>
    </w:p>
  </w:footnote>
  <w:footnote w:id="18">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w:t>
      </w:r>
      <w:r w:rsidRPr="0036598D">
        <w:rPr>
          <w:sz w:val="24"/>
          <w:lang w:val="bg-BG"/>
        </w:rPr>
        <w:t>1, ELI: </w:t>
      </w:r>
      <w:hyperlink r:id="rId19"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36598D">
          <w:rPr>
            <w:rStyle w:val="Hyperlink"/>
            <w:sz w:val="24"/>
            <w:lang w:val="bg-BG"/>
          </w:rPr>
          <w:t>http://data.europa.eu/eli/reg/2002/178/oj</w:t>
        </w:r>
      </w:hyperlink>
      <w:r w:rsidRPr="0036598D">
        <w:rPr>
          <w:sz w:val="24"/>
          <w:lang w:val="bg-BG"/>
        </w:rPr>
        <w:t>).</w:t>
      </w:r>
    </w:p>
  </w:footnote>
  <w:footnote w:id="19">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 xml:space="preserve">През декември 2022 г. на 15‑ата конференция на страните по Конвенцията на ООН за биологичното разнообразие (COP15) беше договорена глобалната рамка за биологичното разнообразие, която включва глобална цел за намаляване на риска от пестициди с най-малко 50% до 2030 г. (вж. </w:t>
      </w:r>
      <w:hyperlink r:id="rId20" w:history="1">
        <w:r w:rsidRPr="0036598D">
          <w:rPr>
            <w:rStyle w:val="Hyperlink"/>
            <w:sz w:val="24"/>
            <w:lang w:val="bg-BG"/>
          </w:rPr>
          <w:t>https://ec.europa.eu/commission/presscorner/detail/bg/ip_22_7834</w:t>
        </w:r>
      </w:hyperlink>
      <w:r w:rsidRPr="0036598D">
        <w:rPr>
          <w:sz w:val="24"/>
          <w:lang w:val="bg-BG"/>
        </w:rPr>
        <w:t>).</w:t>
      </w:r>
    </w:p>
  </w:footnote>
  <w:footnote w:id="20">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hyperlink r:id="rId21" w:history="1">
        <w:r w:rsidRPr="0036598D">
          <w:rPr>
            <w:rStyle w:val="Hyperlink"/>
            <w:sz w:val="24"/>
            <w:lang w:val="bg-BG"/>
          </w:rPr>
          <w:t>https://tillymetz.lu/wp-content/uploads/2020/09/Co-signed-letter-MEP-Metz.pdf</w:t>
        </w:r>
      </w:hyperlink>
      <w:r w:rsidRPr="0036598D">
        <w:rPr>
          <w:rStyle w:val="Hyperlink"/>
          <w:sz w:val="24"/>
          <w:lang w:val="bg-BG"/>
        </w:rPr>
        <w:t>.</w:t>
      </w:r>
    </w:p>
  </w:footnote>
  <w:footnote w:id="21">
    <w:p w:rsidR="003E6E0B" w:rsidRPr="0036598D" w:rsidRDefault="003E6E0B" w:rsidP="0036598D">
      <w:pPr>
        <w:pStyle w:val="FootnoteText"/>
        <w:ind w:left="567" w:hanging="567"/>
        <w:rPr>
          <w:sz w:val="24"/>
          <w:lang w:val="bg-BG"/>
        </w:rPr>
      </w:pPr>
      <w:r w:rsidRPr="0036598D">
        <w:rPr>
          <w:rStyle w:val="FootnoteReference"/>
          <w:sz w:val="24"/>
          <w:lang w:val="bg-BG"/>
        </w:rPr>
        <w:footnoteRef/>
      </w:r>
      <w:r w:rsidR="0036598D" w:rsidRPr="0036598D">
        <w:rPr>
          <w:sz w:val="24"/>
          <w:lang w:val="bg-BG"/>
        </w:rPr>
        <w:t xml:space="preserve"> </w:t>
      </w:r>
      <w:r w:rsidR="0036598D" w:rsidRPr="0036598D">
        <w:rPr>
          <w:sz w:val="24"/>
          <w:lang w:val="bg-BG"/>
        </w:rPr>
        <w:tab/>
      </w:r>
      <w:r w:rsidRPr="0036598D">
        <w:rPr>
          <w:sz w:val="24"/>
          <w:lang w:val="bg-BG"/>
        </w:rPr>
        <w:t>Резолюция на Европейския парламент от 15 януари 2020 г. относно Европейския зелен пакт (ОВ C 270, 7.7.2021 г., стр. 2), параграф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BG"/>
    <w:docVar w:name="dvnumam" w:val="0"/>
    <w:docVar w:name="dvpe" w:val="763.279"/>
    <w:docVar w:name="dvtitre" w:val="Резолюция на Европейския парламент от ... 2024 г. относно проекта на решение за изпълнение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NK603, съгласно Регламент (ЕО) № 1829/2003 на Европейския парламент и на Съвета(D098497/04 – 2024/2836(RSP))"/>
  </w:docVars>
  <w:rsids>
    <w:rsidRoot w:val="00221156"/>
    <w:rsid w:val="00002272"/>
    <w:rsid w:val="00064002"/>
    <w:rsid w:val="000677B9"/>
    <w:rsid w:val="000831BA"/>
    <w:rsid w:val="000A42CC"/>
    <w:rsid w:val="000E7DD9"/>
    <w:rsid w:val="0010095E"/>
    <w:rsid w:val="00125B37"/>
    <w:rsid w:val="00187494"/>
    <w:rsid w:val="001F32AE"/>
    <w:rsid w:val="00221156"/>
    <w:rsid w:val="002767FF"/>
    <w:rsid w:val="002B18FE"/>
    <w:rsid w:val="002B5493"/>
    <w:rsid w:val="00343214"/>
    <w:rsid w:val="00361C00"/>
    <w:rsid w:val="0036598D"/>
    <w:rsid w:val="00395FA1"/>
    <w:rsid w:val="003E15D4"/>
    <w:rsid w:val="003E6E0B"/>
    <w:rsid w:val="00411CCE"/>
    <w:rsid w:val="0041666E"/>
    <w:rsid w:val="00421060"/>
    <w:rsid w:val="00470A0D"/>
    <w:rsid w:val="00471C19"/>
    <w:rsid w:val="004867E3"/>
    <w:rsid w:val="00494A28"/>
    <w:rsid w:val="004C0004"/>
    <w:rsid w:val="004C5D52"/>
    <w:rsid w:val="0050480D"/>
    <w:rsid w:val="0050519A"/>
    <w:rsid w:val="005072A1"/>
    <w:rsid w:val="00514517"/>
    <w:rsid w:val="00545827"/>
    <w:rsid w:val="00560270"/>
    <w:rsid w:val="005C2568"/>
    <w:rsid w:val="005F1B17"/>
    <w:rsid w:val="006037C0"/>
    <w:rsid w:val="006631B6"/>
    <w:rsid w:val="00680577"/>
    <w:rsid w:val="006A419E"/>
    <w:rsid w:val="006F74FA"/>
    <w:rsid w:val="00731ADD"/>
    <w:rsid w:val="00734777"/>
    <w:rsid w:val="00747932"/>
    <w:rsid w:val="00751A4A"/>
    <w:rsid w:val="00756632"/>
    <w:rsid w:val="00762C74"/>
    <w:rsid w:val="00786EC0"/>
    <w:rsid w:val="007D1690"/>
    <w:rsid w:val="007E22AD"/>
    <w:rsid w:val="007E673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2A6"/>
    <w:rsid w:val="00B558F0"/>
    <w:rsid w:val="00BD48FE"/>
    <w:rsid w:val="00BD7BD8"/>
    <w:rsid w:val="00BE6ADC"/>
    <w:rsid w:val="00C05BFE"/>
    <w:rsid w:val="00C23CD4"/>
    <w:rsid w:val="00C61C0C"/>
    <w:rsid w:val="00C941CB"/>
    <w:rsid w:val="00CC2357"/>
    <w:rsid w:val="00CF071A"/>
    <w:rsid w:val="00CF2F5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E06C65-F253-442C-A623-4D0227CB6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6E0B"/>
    <w:pPr>
      <w:spacing w:before="480" w:after="240"/>
    </w:pPr>
  </w:style>
  <w:style w:type="paragraph" w:customStyle="1" w:styleId="NormalHanging12a">
    <w:name w:val="NormalHanging12a"/>
    <w:basedOn w:val="Normal"/>
    <w:rsid w:val="003E6E0B"/>
    <w:pPr>
      <w:spacing w:after="240"/>
      <w:ind w:left="567" w:hanging="567"/>
    </w:pPr>
  </w:style>
  <w:style w:type="character" w:styleId="Hyperlink">
    <w:name w:val="Hyperlink"/>
    <w:basedOn w:val="DefaultParagraphFont"/>
    <w:uiPriority w:val="99"/>
    <w:rsid w:val="003E6E0B"/>
    <w:rPr>
      <w:color w:val="0563C1" w:themeColor="hyperlink"/>
      <w:u w:val="single"/>
    </w:rPr>
  </w:style>
  <w:style w:type="paragraph" w:styleId="BalloonText">
    <w:name w:val="Balloon Text"/>
    <w:basedOn w:val="Normal"/>
    <w:link w:val="BalloonTextChar"/>
    <w:rsid w:val="00470A0D"/>
    <w:rPr>
      <w:rFonts w:ascii="Segoe UI" w:hAnsi="Segoe UI" w:cs="Segoe UI"/>
      <w:sz w:val="18"/>
      <w:szCs w:val="18"/>
    </w:rPr>
  </w:style>
  <w:style w:type="character" w:customStyle="1" w:styleId="BalloonTextChar">
    <w:name w:val="Balloon Text Char"/>
    <w:basedOn w:val="DefaultParagraphFont"/>
    <w:link w:val="BalloonText"/>
    <w:rsid w:val="00470A0D"/>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1383574218300887" TargetMode="External"/><Relationship Id="rId13" Type="http://schemas.openxmlformats.org/officeDocument/2006/relationships/hyperlink" Target="https://www.sciencedirect.com/science/article/pii/S0278691516300722?via=ihub" TargetMode="External"/><Relationship Id="rId18" Type="http://schemas.openxmlformats.org/officeDocument/2006/relationships/hyperlink" Target="https://commission.europa.eu/document/2c64e540-c07a-4376-a1da-368d289f4afe_en" TargetMode="External"/><Relationship Id="rId3" Type="http://schemas.openxmlformats.org/officeDocument/2006/relationships/hyperlink" Target="https://doi.org/10.2903/j.efsa.2024.8716" TargetMode="External"/><Relationship Id="rId21" Type="http://schemas.openxmlformats.org/officeDocument/2006/relationships/hyperlink" Target="https://tillymetz.lu/wp-content/uploads/2020/09/Co-signed-letter-MEP-Metz.pdf"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onlinelibrary.wiley.com/doi/full/10.1002/jat.3252"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ec.europa.eu/commission/presscorner/detail/bg/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ncbi.nlm.nih.gov/pmc/articles/PMC6612199/" TargetMode="External"/><Relationship Id="rId5" Type="http://schemas.openxmlformats.org/officeDocument/2006/relationships/hyperlink" Target="https://doi.org/10.1126/science.abe1148" TargetMode="External"/><Relationship Id="rId15" Type="http://schemas.openxmlformats.org/officeDocument/2006/relationships/hyperlink" Target="https://efsa.onlinelibrary.wiley.com/action/downloadSupplement?doi=10.2903/j.efsa.2024.8716&amp;file=efs28716-sup-0012-Annex8.pdf" TargetMode="External"/><Relationship Id="rId10" Type="http://schemas.openxmlformats.org/officeDocument/2006/relationships/hyperlink" Target="https://journals.plos.org/plosone/article?id=10.1371/journal.pone.0219610" TargetMode="External"/><Relationship Id="rId19" Type="http://schemas.openxmlformats.org/officeDocument/2006/relationships/hyperlink" Target="http://data.europa.eu/eli/reg/2002/178/oj" TargetMode="External"/><Relationship Id="rId4" Type="http://schemas.openxmlformats.org/officeDocument/2006/relationships/hyperlink" Target="http://data.europa.eu/eli/reg_impl/2013/503/oj" TargetMode="External"/><Relationship Id="rId9" Type="http://schemas.openxmlformats.org/officeDocument/2006/relationships/hyperlink" Target="https://academic.oup.com/ije/advance-article/doi/10.1093/ije/dyz017/5382278" TargetMode="External"/><Relationship Id="rId14"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82F50-2078-4A28-A5CD-D6B391320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2271</Words>
  <Characters>12850</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Karina Pesa</cp:lastModifiedBy>
  <cp:revision>2</cp:revision>
  <cp:lastPrinted>2004-11-19T15:42:00Z</cp:lastPrinted>
  <dcterms:created xsi:type="dcterms:W3CDTF">2025-03-03T08:16:00Z</dcterms:created>
  <dcterms:modified xsi:type="dcterms:W3CDTF">2025-03-03T08:16:00Z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B10-0148/2024</vt:lpwstr>
  </property>
  <property fmtid="{D5CDD505-2E9C-101B-9397-08002B2CF9AE}" pid="4" name="&lt;Type&gt;">
    <vt:lpwstr>RR</vt:lpwstr>
  </property>
</Properties>
</file>