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7CC" w:rsidTr="0010095E">
        <w:trPr>
          <w:trHeight w:hRule="exact" w:val="1418"/>
        </w:trPr>
        <w:tc>
          <w:tcPr>
            <w:tcW w:w="6804" w:type="dxa"/>
            <w:shd w:val="clear" w:color="auto" w:fill="auto"/>
            <w:vAlign w:val="center"/>
          </w:tcPr>
          <w:p w:rsidR="00751A4A" w:rsidRPr="00A937CC" w:rsidRDefault="00D87EFF" w:rsidP="0010095E">
            <w:pPr>
              <w:pStyle w:val="EPName"/>
            </w:pPr>
            <w:r w:rsidRPr="00A937CC">
              <w:t>Ευρωπαϊκό Κοινοβούλιο</w:t>
            </w:r>
          </w:p>
          <w:p w:rsidR="00751A4A" w:rsidRPr="00A937CC" w:rsidRDefault="005F1B17" w:rsidP="005F1B17">
            <w:pPr>
              <w:pStyle w:val="EPTerm"/>
              <w:rPr>
                <w:rStyle w:val="HideTWBExt"/>
                <w:noProof w:val="0"/>
                <w:vanish w:val="0"/>
                <w:color w:val="auto"/>
              </w:rPr>
            </w:pPr>
            <w:r w:rsidRPr="00A937CC">
              <w:t>2024</w:t>
            </w:r>
            <w:r w:rsidR="00817416" w:rsidRPr="00A937CC">
              <w:t>-202</w:t>
            </w:r>
            <w:r w:rsidRPr="00A937CC">
              <w:t>9</w:t>
            </w:r>
          </w:p>
        </w:tc>
        <w:tc>
          <w:tcPr>
            <w:tcW w:w="2268" w:type="dxa"/>
            <w:shd w:val="clear" w:color="auto" w:fill="auto"/>
          </w:tcPr>
          <w:p w:rsidR="00751A4A" w:rsidRPr="00A937CC" w:rsidRDefault="00187494" w:rsidP="0010095E">
            <w:pPr>
              <w:pStyle w:val="EPLogo"/>
            </w:pPr>
            <w:r w:rsidRPr="00A937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37CC" w:rsidRDefault="00D058B8" w:rsidP="004C5D52">
      <w:pPr>
        <w:pStyle w:val="LineTop"/>
      </w:pPr>
    </w:p>
    <w:p w:rsidR="00680577" w:rsidRPr="00A937CC" w:rsidRDefault="00D87EFF" w:rsidP="00680577">
      <w:pPr>
        <w:pStyle w:val="EPBodyTA1"/>
      </w:pPr>
      <w:r w:rsidRPr="00A937CC">
        <w:t>ΚΕΙΜΕΝΑ ΠΟΥ ΕΓΚΡΙΘΗΚΑΝ</w:t>
      </w:r>
    </w:p>
    <w:p w:rsidR="00D058B8" w:rsidRPr="00A937CC" w:rsidRDefault="00D058B8" w:rsidP="00D058B8">
      <w:pPr>
        <w:pStyle w:val="LineBottom"/>
      </w:pPr>
    </w:p>
    <w:p w:rsidR="00D87EFF" w:rsidRPr="00A937CC" w:rsidRDefault="00D87EFF" w:rsidP="00D87EFF">
      <w:pPr>
        <w:pStyle w:val="ATHeading1"/>
      </w:pPr>
      <w:bookmarkStart w:id="0" w:name="TANumber"/>
      <w:r w:rsidRPr="00A937CC">
        <w:t>P10_TA(2024)00</w:t>
      </w:r>
      <w:r w:rsidR="007E5159" w:rsidRPr="009046DD">
        <w:t>38</w:t>
      </w:r>
      <w:bookmarkEnd w:id="0"/>
    </w:p>
    <w:p w:rsidR="00D87EFF" w:rsidRPr="00A937CC" w:rsidRDefault="00D87EFF" w:rsidP="00D87EFF">
      <w:pPr>
        <w:pStyle w:val="ATHeading2"/>
      </w:pPr>
      <w:bookmarkStart w:id="1" w:name="title"/>
      <w:r w:rsidRPr="00A937CC">
        <w:t>Γενετικώς τροποποιημένος αραβόσιτος MON 89034 × 1507 × NK603</w:t>
      </w:r>
      <w:bookmarkEnd w:id="1"/>
    </w:p>
    <w:p w:rsidR="00D87EFF" w:rsidRPr="00A937CC" w:rsidRDefault="00D87EFF" w:rsidP="00D87EFF">
      <w:pPr>
        <w:rPr>
          <w:i/>
          <w:vanish/>
        </w:rPr>
      </w:pPr>
      <w:r w:rsidRPr="00A937CC">
        <w:rPr>
          <w:i/>
        </w:rPr>
        <w:fldChar w:fldCharType="begin"/>
      </w:r>
      <w:r w:rsidRPr="00A937CC">
        <w:rPr>
          <w:i/>
        </w:rPr>
        <w:instrText xml:space="preserve"> TC"(</w:instrText>
      </w:r>
      <w:bookmarkStart w:id="2" w:name="DocNumber"/>
      <w:r w:rsidRPr="00A937CC">
        <w:rPr>
          <w:i/>
        </w:rPr>
        <w:instrText>B10-0148/2024</w:instrText>
      </w:r>
      <w:bookmarkEnd w:id="2"/>
      <w:r w:rsidRPr="00A937CC">
        <w:rPr>
          <w:i/>
        </w:rPr>
        <w:instrText xml:space="preserve">)"\l3 \n&gt; \* MERGEFORMAT </w:instrText>
      </w:r>
      <w:r w:rsidRPr="00A937CC">
        <w:rPr>
          <w:i/>
        </w:rPr>
        <w:fldChar w:fldCharType="end"/>
      </w:r>
    </w:p>
    <w:p w:rsidR="00D87EFF" w:rsidRPr="00A937CC" w:rsidRDefault="00D87EFF" w:rsidP="00D87EFF">
      <w:pPr>
        <w:rPr>
          <w:vanish/>
        </w:rPr>
      </w:pPr>
      <w:bookmarkStart w:id="3" w:name="PE"/>
      <w:r w:rsidRPr="00A937CC">
        <w:rPr>
          <w:vanish/>
        </w:rPr>
        <w:t>PE763.279</w:t>
      </w:r>
      <w:bookmarkEnd w:id="3"/>
    </w:p>
    <w:p w:rsidR="00D87EFF" w:rsidRPr="00A937CC" w:rsidRDefault="00D87EFF" w:rsidP="00D87EFF">
      <w:pPr>
        <w:pStyle w:val="ATHeading3"/>
      </w:pPr>
      <w:bookmarkStart w:id="4" w:name="Sujet"/>
      <w:r w:rsidRPr="00A937CC">
        <w:t xml:space="preserve">Ψήφισμα του Ευρωπαϊκού Κοινοβουλίου </w:t>
      </w:r>
      <w:r w:rsidR="00F96B5D">
        <w:t xml:space="preserve">της </w:t>
      </w:r>
      <w:r w:rsidR="00252FED">
        <w:t>26ης</w:t>
      </w:r>
      <w:r w:rsidR="00F96B5D">
        <w:t xml:space="preserve"> Νοεμβρίου 2024 </w:t>
      </w:r>
      <w:r w:rsidRPr="00A937CC">
        <w:t xml:space="preserve">σχετικά με </w:t>
      </w:r>
      <w:r w:rsidR="00252FED">
        <w:t>την</w:t>
      </w:r>
      <w:r w:rsidRPr="00A937CC">
        <w:t xml:space="preserve"> εκτελεστική απόφαση</w:t>
      </w:r>
      <w:r w:rsidR="00252FED">
        <w:t xml:space="preserve"> (ΕΕ) 2024/2628</w:t>
      </w:r>
      <w:r w:rsidRPr="00A937CC">
        <w:t xml:space="preserve">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w:t>
      </w:r>
      <w:bookmarkEnd w:id="4"/>
      <w:r w:rsidRPr="00A937CC">
        <w:t xml:space="preserve"> </w:t>
      </w:r>
      <w:bookmarkStart w:id="5" w:name="References"/>
      <w:r w:rsidRPr="00A937CC">
        <w:t>(2024/2836(RSP))</w:t>
      </w:r>
      <w:bookmarkEnd w:id="5"/>
    </w:p>
    <w:p w:rsidR="00C034B0" w:rsidRPr="00A937CC" w:rsidRDefault="00C034B0" w:rsidP="00C034B0">
      <w:pPr>
        <w:pStyle w:val="EPComma"/>
      </w:pPr>
      <w:bookmarkStart w:id="6" w:name="TextBodyBegin"/>
      <w:bookmarkEnd w:id="6"/>
      <w:r w:rsidRPr="00A937CC">
        <w:rPr>
          <w:i/>
          <w:iCs/>
        </w:rPr>
        <w:t>Το Ευρωπαϊκό Κοινοβούλιο,</w:t>
      </w:r>
    </w:p>
    <w:p w:rsidR="00C034B0" w:rsidRPr="00A937CC" w:rsidRDefault="00C034B0" w:rsidP="00C034B0">
      <w:pPr>
        <w:pStyle w:val="NormalHanging12a"/>
        <w:rPr>
          <w:szCs w:val="24"/>
        </w:rPr>
      </w:pPr>
      <w:r w:rsidRPr="00A937CC">
        <w:t>–</w:t>
      </w:r>
      <w:r w:rsidRPr="00A937CC">
        <w:tab/>
        <w:t xml:space="preserve">έχοντας υπόψη </w:t>
      </w:r>
      <w:r w:rsidR="00252FED">
        <w:t>την</w:t>
      </w:r>
      <w:r w:rsidRPr="00A937CC">
        <w:t xml:space="preserve"> εκτελεστική απόφαση </w:t>
      </w:r>
      <w:r w:rsidR="00252FED">
        <w:t xml:space="preserve">(ΕΕ) 2024/2628 </w:t>
      </w:r>
      <w:r w:rsidRPr="00A937CC">
        <w:t>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w:t>
      </w:r>
      <w:r w:rsidR="00252FED">
        <w:rPr>
          <w:rStyle w:val="FootnoteReference"/>
        </w:rPr>
        <w:footnoteReference w:id="1"/>
      </w:r>
      <w:r w:rsidRPr="00A937CC">
        <w:t>,</w:t>
      </w:r>
    </w:p>
    <w:p w:rsidR="00C034B0" w:rsidRPr="00A937CC" w:rsidRDefault="00C034B0" w:rsidP="00C034B0">
      <w:pPr>
        <w:pStyle w:val="NormalHanging12a"/>
        <w:rPr>
          <w:szCs w:val="24"/>
        </w:rPr>
      </w:pPr>
      <w:r w:rsidRPr="00A937CC">
        <w:t>–</w:t>
      </w:r>
      <w:r w:rsidRPr="00A937CC">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A937CC">
        <w:rPr>
          <w:rStyle w:val="FootnoteReference"/>
          <w:szCs w:val="24"/>
        </w:rPr>
        <w:footnoteReference w:id="2"/>
      </w:r>
      <w:r w:rsidRPr="00A937CC">
        <w:t>, και ειδικότερα το άρθρο 11 παράγραφος 3 και το άρθρο 23 παράγραφος 3,</w:t>
      </w:r>
    </w:p>
    <w:p w:rsidR="00C034B0" w:rsidRPr="00A937CC" w:rsidRDefault="00C034B0" w:rsidP="00C034B0">
      <w:pPr>
        <w:pStyle w:val="NormalHanging12a"/>
        <w:rPr>
          <w:szCs w:val="24"/>
        </w:rPr>
      </w:pPr>
      <w:r w:rsidRPr="00A937CC">
        <w:t>–</w:t>
      </w:r>
      <w:r w:rsidRPr="00A937CC">
        <w:tab/>
        <w:t xml:space="preserve">έχοντας υπόψη την </w:t>
      </w:r>
      <w:r w:rsidRPr="00A937CC">
        <w:rPr>
          <w:shd w:val="clear" w:color="auto" w:fill="FFFFFF"/>
        </w:rPr>
        <w:t xml:space="preserve">ψηφοφορία στη μόνιμη επιτροπή φυτών, ζώων, τροφίμων και ζωοτροφών, που αναφέρεται στο άρθρο 35 του κανονισμού (ΕΚ) αριθ. 1829/2003, η οποία πραγματοποιήθηκε στις 8 Ιουλίου 2024 και κατά την οποία δεν εκδόθηκε γνωμοδότηση, και την ψηφοφορία στην επιτροπή προσφυγών στις 3 Σεπτεμβρίου 2024, που κατέληξε επίσης σε μη </w:t>
      </w:r>
      <w:r w:rsidRPr="00A937CC">
        <w:t>έκδοση γνωμοδότησης,</w:t>
      </w:r>
    </w:p>
    <w:p w:rsidR="00C034B0" w:rsidRPr="00A937CC" w:rsidRDefault="00C034B0" w:rsidP="00C034B0">
      <w:pPr>
        <w:pStyle w:val="NormalHanging12a"/>
        <w:rPr>
          <w:szCs w:val="24"/>
        </w:rPr>
      </w:pPr>
      <w:r w:rsidRPr="00A937CC">
        <w:t>–</w:t>
      </w:r>
      <w:r w:rsidRPr="00A937CC">
        <w:tab/>
        <w:t>έχοντας υπόψη το άρθρο 11 του κανονισμού (ΕE) αριθ.</w:t>
      </w:r>
      <w:r w:rsidR="00242F41">
        <w:t xml:space="preserve"> </w:t>
      </w:r>
      <w:r w:rsidRPr="00A937CC">
        <w:t>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A937CC">
        <w:rPr>
          <w:rStyle w:val="FootnoteReference"/>
          <w:szCs w:val="24"/>
        </w:rPr>
        <w:footnoteReference w:id="3"/>
      </w:r>
      <w:r w:rsidRPr="00A937CC">
        <w:t>,</w:t>
      </w:r>
    </w:p>
    <w:p w:rsidR="00C034B0" w:rsidRPr="00A937CC" w:rsidRDefault="00C034B0" w:rsidP="00C034B0">
      <w:pPr>
        <w:pStyle w:val="NormalHanging12a"/>
        <w:rPr>
          <w:szCs w:val="24"/>
        </w:rPr>
      </w:pPr>
      <w:r w:rsidRPr="00A937CC">
        <w:t>–</w:t>
      </w:r>
      <w:r w:rsidRPr="00A937CC">
        <w:tab/>
        <w:t xml:space="preserve">έχοντας υπόψη τη γνωμοδότηση που εκδόθηκε από την Ευρωπαϊκή Αρχή για την Ασφάλεια των Τροφίμων (EFSA) στις 13 Μαρτίου 2024 και δημοσιεύθηκε στις 29 </w:t>
      </w:r>
      <w:r w:rsidRPr="00A937CC">
        <w:lastRenderedPageBreak/>
        <w:t>Απριλίου 2024</w:t>
      </w:r>
      <w:r w:rsidRPr="00A937CC">
        <w:rPr>
          <w:rStyle w:val="FootnoteReference"/>
          <w:szCs w:val="24"/>
        </w:rPr>
        <w:footnoteReference w:id="4"/>
      </w:r>
      <w:r w:rsidRPr="00A937CC">
        <w:t>,</w:t>
      </w:r>
    </w:p>
    <w:p w:rsidR="00C034B0" w:rsidRPr="00A937CC" w:rsidRDefault="00C034B0" w:rsidP="00C034B0">
      <w:pPr>
        <w:pStyle w:val="NormalHanging12a"/>
        <w:rPr>
          <w:szCs w:val="24"/>
        </w:rPr>
      </w:pPr>
      <w:r w:rsidRPr="00A937CC">
        <w:t>–</w:t>
      </w:r>
      <w:r w:rsidRPr="00A937CC">
        <w:tab/>
      </w:r>
      <w:r w:rsidRPr="00A937CC">
        <w:rPr>
          <w:shd w:val="clear" w:color="auto" w:fill="FFFFFF"/>
        </w:rPr>
        <w:t>έχοντας υπόψη τα προηγούμενα ψηφίσματά του που διατύπωναν αντίρρηση στην έγκριση γενετικώς τροποποιημένων οργανισμών (ΓΤΟ)</w:t>
      </w:r>
      <w:r w:rsidRPr="00A937CC">
        <w:rPr>
          <w:szCs w:val="24"/>
          <w:shd w:val="clear" w:color="auto" w:fill="FFFFFF"/>
          <w:vertAlign w:val="superscript"/>
        </w:rPr>
        <w:footnoteReference w:id="5"/>
      </w:r>
      <w:r w:rsidRPr="00A937CC">
        <w:rPr>
          <w:shd w:val="clear" w:color="auto" w:fill="FFFFFF"/>
        </w:rPr>
        <w:t>,</w:t>
      </w:r>
    </w:p>
    <w:p w:rsidR="00C034B0" w:rsidRPr="00A937CC" w:rsidRDefault="00C034B0" w:rsidP="00C034B0">
      <w:pPr>
        <w:pStyle w:val="NormalHanging12a"/>
        <w:rPr>
          <w:szCs w:val="24"/>
        </w:rPr>
      </w:pPr>
      <w:r w:rsidRPr="00A937CC">
        <w:t>–</w:t>
      </w:r>
      <w:r w:rsidRPr="00A937CC">
        <w:tab/>
        <w:t>έχοντας υπόψη το άρθρο 115 παράγραφοι 2 και 3 του Κανονισμού του,</w:t>
      </w:r>
    </w:p>
    <w:p w:rsidR="00C034B0" w:rsidRPr="00A937CC" w:rsidRDefault="00C034B0" w:rsidP="00C034B0">
      <w:pPr>
        <w:pStyle w:val="NormalHanging12a"/>
        <w:rPr>
          <w:szCs w:val="24"/>
        </w:rPr>
      </w:pPr>
      <w:r w:rsidRPr="00A937CC">
        <w:t>–</w:t>
      </w:r>
      <w:r w:rsidRPr="00A937CC">
        <w:tab/>
        <w:t>έχοντας υπόψη την πρόταση ψηφίσματος της Επιτροπής Περιβάλλοντος, Δημόσιας Υγείας και Ασφάλειας των Τροφίμων,</w:t>
      </w:r>
    </w:p>
    <w:p w:rsidR="00C034B0" w:rsidRPr="00A937CC" w:rsidRDefault="00C034B0" w:rsidP="00C034B0">
      <w:pPr>
        <w:pStyle w:val="NormalHanging12a"/>
        <w:rPr>
          <w:szCs w:val="24"/>
        </w:rPr>
      </w:pPr>
      <w:r w:rsidRPr="00A937CC">
        <w:t>Α.</w:t>
      </w:r>
      <w:r w:rsidRPr="00A937CC">
        <w:tab/>
        <w:t xml:space="preserve">λαμβάνοντας υπόψη ότι, στις 21 Οκτωβρίου 2022, η </w:t>
      </w:r>
      <w:proofErr w:type="spellStart"/>
      <w:r w:rsidRPr="00A937CC">
        <w:t>Corteva</w:t>
      </w:r>
      <w:proofErr w:type="spellEnd"/>
      <w:r w:rsidRPr="00A937CC">
        <w:t xml:space="preserve"> </w:t>
      </w:r>
      <w:proofErr w:type="spellStart"/>
      <w:r w:rsidRPr="00A937CC">
        <w:t>Agriscience</w:t>
      </w:r>
      <w:proofErr w:type="spellEnd"/>
      <w:r w:rsidRPr="00A937CC">
        <w:t xml:space="preserve"> </w:t>
      </w:r>
      <w:proofErr w:type="spellStart"/>
      <w:r w:rsidRPr="00A937CC">
        <w:t>Belgium</w:t>
      </w:r>
      <w:proofErr w:type="spellEnd"/>
      <w:r w:rsidRPr="00A937CC">
        <w:t xml:space="preserve"> BV, με έδρα το Βέλγιο, εξ ονόματος της </w:t>
      </w:r>
      <w:proofErr w:type="spellStart"/>
      <w:r w:rsidRPr="00A937CC">
        <w:t>Corteva</w:t>
      </w:r>
      <w:proofErr w:type="spellEnd"/>
      <w:r w:rsidRPr="00A937CC">
        <w:t xml:space="preserve"> </w:t>
      </w:r>
      <w:proofErr w:type="spellStart"/>
      <w:r w:rsidRPr="00A937CC">
        <w:t>Agriscience</w:t>
      </w:r>
      <w:proofErr w:type="spellEnd"/>
      <w:r w:rsidRPr="00A937CC">
        <w:t xml:space="preserve"> LLC, με έδρα τις Ηνωμένες Πολιτείες, και η Bayer </w:t>
      </w:r>
      <w:proofErr w:type="spellStart"/>
      <w:r w:rsidRPr="00A937CC">
        <w:t>Agriculture</w:t>
      </w:r>
      <w:proofErr w:type="spellEnd"/>
      <w:r w:rsidRPr="00A937CC">
        <w:t xml:space="preserve"> BV, με έδρα το Βέλγιο, εξ ονόματος της Bayer CropScience LP, με έδρα τις Ηνωμένες Πολιτείες, υπέβαλαν από κοινού αίτηση στην Επιτροπή για την ανανέωση της έγκρισης του γενετικώς τροποποιημένου αραβοσίτου MON 89034 × 1507 × NK603 («γενετικώς τροποποιημένος αραβόσιτος»)·</w:t>
      </w:r>
    </w:p>
    <w:p w:rsidR="00C034B0" w:rsidRPr="00A937CC" w:rsidRDefault="00C034B0" w:rsidP="00C034B0">
      <w:pPr>
        <w:pStyle w:val="NormalHanging12a"/>
        <w:rPr>
          <w:szCs w:val="24"/>
        </w:rPr>
      </w:pPr>
      <w:r w:rsidRPr="00A937CC">
        <w:t>Β.</w:t>
      </w:r>
      <w:r w:rsidRPr="00A937CC">
        <w:tab/>
        <w:t>λαμβάνοντας υπόψη ότι, στις 13 Μαρτίου 2024, η EFSA εξέδωσε θετική γνώμη, η οποία δημοσιεύθηκε στις 26 Απριλίου 2024·</w:t>
      </w:r>
    </w:p>
    <w:p w:rsidR="00C034B0" w:rsidRPr="00A937CC" w:rsidRDefault="00C034B0" w:rsidP="00C034B0">
      <w:pPr>
        <w:pStyle w:val="NormalHanging12a"/>
        <w:rPr>
          <w:szCs w:val="24"/>
        </w:rPr>
      </w:pPr>
      <w:r w:rsidRPr="00A937CC">
        <w:t>Γ.</w:t>
      </w:r>
      <w:r w:rsidRPr="00A937CC">
        <w:tab/>
        <w:t xml:space="preserve">λαμβάνοντας υπόψη ότι ο γενετικώς τροποποιημένος αραβόσιτος περιέχει γονίδια που προσδίδουν αντοχή στο </w:t>
      </w:r>
      <w:proofErr w:type="spellStart"/>
      <w:r w:rsidRPr="00A937CC">
        <w:t>γλυφοσάτ</w:t>
      </w:r>
      <w:proofErr w:type="spellEnd"/>
      <w:r w:rsidRPr="00A937CC">
        <w:t xml:space="preserve"> και παράγει </w:t>
      </w:r>
      <w:proofErr w:type="spellStart"/>
      <w:r w:rsidRPr="00A937CC">
        <w:t>εντομοκτόνες</w:t>
      </w:r>
      <w:proofErr w:type="spellEnd"/>
      <w:r w:rsidRPr="00A937CC">
        <w:t xml:space="preserve"> πρωτεΐνες·</w:t>
      </w:r>
    </w:p>
    <w:p w:rsidR="00C034B0" w:rsidRPr="00A937CC" w:rsidRDefault="00C034B0" w:rsidP="00C034B0">
      <w:pPr>
        <w:pStyle w:val="NormalHanging12a"/>
        <w:rPr>
          <w:b/>
          <w:i/>
          <w:szCs w:val="24"/>
        </w:rPr>
      </w:pPr>
      <w:r w:rsidRPr="00A937CC">
        <w:rPr>
          <w:b/>
          <w:i/>
        </w:rPr>
        <w:t>Έλλειψη αξιολόγησης του συμπληρωματικού ζιζανιοκτόνου</w:t>
      </w:r>
    </w:p>
    <w:p w:rsidR="00C034B0" w:rsidRPr="00A937CC" w:rsidRDefault="00C034B0" w:rsidP="00C034B0">
      <w:pPr>
        <w:pStyle w:val="NormalHanging12a"/>
        <w:rPr>
          <w:szCs w:val="24"/>
        </w:rPr>
      </w:pPr>
      <w:r w:rsidRPr="00A937CC">
        <w:t>Δ.</w:t>
      </w:r>
      <w:r w:rsidRPr="00A937CC">
        <w:tab/>
        <w:t>λαμβάνοντας υπόψη ότι ο εκτελεστικός κανονισμός (ΕΕ) αριθ. 503/2013</w:t>
      </w:r>
      <w:r w:rsidR="00242F41">
        <w:t xml:space="preserve"> </w:t>
      </w:r>
      <w:r w:rsidR="00242F41" w:rsidRPr="00A937CC">
        <w:t>της Επιτροπής</w:t>
      </w:r>
      <w:r w:rsidRPr="00A937CC">
        <w:rPr>
          <w:rStyle w:val="FootnoteReference"/>
          <w:szCs w:val="24"/>
        </w:rPr>
        <w:footnoteReference w:id="6"/>
      </w:r>
      <w:r w:rsidRPr="00A937CC">
        <w:t xml:space="preserve"> απαιτεί αξιολόγηση του κατά πόσον οι αναμενόμενες γεωργικές πρακτικές επηρεάζουν το αποτέλεσμα των τελικών σημείων που εξετάστηκαν· λαμβάνοντας υπόψη ότι, σύμφωνα με τον εν λόγω εκτελεστικό κανονισμό, αυτό έχει ιδιαίτερη σημασία για τα ανθεκτικά στα ζιζανιοκτόνα φυτά·</w:t>
      </w:r>
    </w:p>
    <w:p w:rsidR="00C034B0" w:rsidRPr="00A937CC" w:rsidRDefault="00C034B0" w:rsidP="00C034B0">
      <w:pPr>
        <w:pStyle w:val="NormalHanging12a"/>
        <w:rPr>
          <w:szCs w:val="24"/>
        </w:rPr>
      </w:pPr>
      <w:r w:rsidRPr="00A937CC">
        <w:t>Ε.</w:t>
      </w:r>
      <w:r w:rsidRPr="00A937CC">
        <w:tab/>
        <w:t>λαμβάνοντας υπόψη ότι στη συντριπτική τους πλειονότητα οι ΓΤ καλλιέργειες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καλλιέργειας, χωρίς να πεθάνει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ότι η καλλιέργεια ΓΤ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sidRPr="00A937CC">
        <w:rPr>
          <w:rStyle w:val="FootnoteReference"/>
          <w:szCs w:val="24"/>
        </w:rPr>
        <w:footnoteReference w:id="7"/>
      </w:r>
      <w:r w:rsidRPr="00A937CC">
        <w:t>·</w:t>
      </w:r>
    </w:p>
    <w:p w:rsidR="00C034B0" w:rsidRPr="00A937CC" w:rsidRDefault="00C034B0" w:rsidP="00C034B0">
      <w:pPr>
        <w:pStyle w:val="NormalHanging12a"/>
        <w:rPr>
          <w:szCs w:val="24"/>
        </w:rPr>
      </w:pPr>
      <w:r w:rsidRPr="00A937CC">
        <w:t>ΣΤ.</w:t>
      </w:r>
      <w:r w:rsidRPr="00A937CC">
        <w:tab/>
        <w:t xml:space="preserve">λαμβάνοντας υπόψη ότι 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ΓΤ καλλιέργειας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proofErr w:type="spellStart"/>
      <w:r w:rsidRPr="00A937CC">
        <w:t>herbicide</w:t>
      </w:r>
      <w:proofErr w:type="spellEnd"/>
      <w:r w:rsidRPr="00A937CC">
        <w:t xml:space="preserve"> </w:t>
      </w:r>
      <w:proofErr w:type="spellStart"/>
      <w:r w:rsidRPr="00A937CC">
        <w:t>treadmill</w:t>
      </w:r>
      <w:proofErr w:type="spellEnd"/>
      <w:r w:rsidRPr="00A937CC">
        <w:t xml:space="preserve"> («κυλιόμενος τάπητας ζιζανιοκτόνων»)·</w:t>
      </w:r>
    </w:p>
    <w:p w:rsidR="00C034B0" w:rsidRPr="00A937CC" w:rsidRDefault="00C034B0" w:rsidP="00C034B0">
      <w:pPr>
        <w:pStyle w:val="NormalHanging12a"/>
        <w:rPr>
          <w:szCs w:val="24"/>
        </w:rPr>
      </w:pPr>
      <w:r w:rsidRPr="00A937CC">
        <w:t>Ζ.</w:t>
      </w:r>
      <w:r w:rsidRPr="00A937CC">
        <w:tab/>
        <w:t>λαμβάνοντας υπόψη ότι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p>
    <w:p w:rsidR="00C034B0" w:rsidRPr="00A937CC" w:rsidRDefault="00C034B0" w:rsidP="00C034B0">
      <w:pPr>
        <w:pStyle w:val="NormalHanging12a"/>
        <w:rPr>
          <w:szCs w:val="24"/>
        </w:rPr>
      </w:pPr>
      <w:r w:rsidRPr="00A937CC">
        <w:t>Η.</w:t>
      </w:r>
      <w:r w:rsidRPr="00A937CC">
        <w:tab/>
        <w:t xml:space="preserve">λαμβάνοντας υπόψη ότι τον Νοέμβριο του 2015 η EFSA κατέληξε στο συμπέρασμα ότι, κατά πάσα πιθανότητα, το </w:t>
      </w:r>
      <w:proofErr w:type="spellStart"/>
      <w:r w:rsidRPr="00A937CC">
        <w:t>γλυφοσάτ</w:t>
      </w:r>
      <w:proofErr w:type="spellEnd"/>
      <w:r w:rsidRPr="00A937CC">
        <w:t xml:space="preserve"> δεν είναι καρκινογόνο,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το </w:t>
      </w:r>
      <w:proofErr w:type="spellStart"/>
      <w:r w:rsidRPr="00A937CC">
        <w:t>γλυφοσάτ</w:t>
      </w:r>
      <w:proofErr w:type="spellEnd"/>
      <w:r w:rsidRPr="00A937CC">
        <w:t xml:space="preserve"> στις πιθανώς καρκινογόνους για τον άνθρωπο ουσίες· λαμβάνοντας υπόψη ότι σειρά από πρόσφατες επιστημονικές μελέτες </w:t>
      </w:r>
      <w:proofErr w:type="spellStart"/>
      <w:r w:rsidRPr="00A937CC">
        <w:t>αξιολογηθείσες</w:t>
      </w:r>
      <w:proofErr w:type="spellEnd"/>
      <w:r w:rsidRPr="00A937CC">
        <w:t xml:space="preserve"> από ομότιμους επιβεβαιώνουν τις καρκινογόνες ιδιότητες του </w:t>
      </w:r>
      <w:proofErr w:type="spellStart"/>
      <w:r w:rsidRPr="00A937CC">
        <w:t>γλυφοσάτ</w:t>
      </w:r>
      <w:proofErr w:type="spellEnd"/>
      <w:r w:rsidRPr="00A937CC">
        <w:rPr>
          <w:rStyle w:val="FootnoteReference"/>
          <w:szCs w:val="24"/>
        </w:rPr>
        <w:footnoteReference w:id="8"/>
      </w:r>
      <w:r w:rsidRPr="00A937CC">
        <w:t>·</w:t>
      </w:r>
    </w:p>
    <w:p w:rsidR="00C034B0" w:rsidRPr="00A937CC" w:rsidRDefault="00C034B0" w:rsidP="00C034B0">
      <w:pPr>
        <w:pStyle w:val="NormalHanging12a"/>
        <w:rPr>
          <w:szCs w:val="24"/>
        </w:rPr>
      </w:pPr>
      <w:r w:rsidRPr="00A937CC">
        <w:t>Θ.</w:t>
      </w:r>
      <w:r w:rsidRPr="00A937CC">
        <w:tab/>
        <w:t>λαμβάνοντας υπόψη ότι η αξιολόγηση των καταλοίπων ζιζανιοκτόνων και των μεταβολιτών τους που απαντούν σε ΓΤ φυτά θεωρείται ότι δεν εμπίπτει στο πεδίο αρμοδιοτήτων της ομάδας της EFSA για τους γενετικώς τροποποιημένους οργανισμούς, με αποτέλεσμα να μην διενεργείται τέτοια αξιολόγηση στο πλαίσιο της διαδικασίας χορήγησης άδειας για τους γενετικώς τροποποιημένους οργανισμούς·</w:t>
      </w:r>
    </w:p>
    <w:p w:rsidR="00C034B0" w:rsidRPr="00A937CC" w:rsidRDefault="00C034B0" w:rsidP="00C034B0">
      <w:pPr>
        <w:pStyle w:val="NormalHanging12a"/>
        <w:rPr>
          <w:b/>
          <w:i/>
          <w:szCs w:val="24"/>
        </w:rPr>
      </w:pPr>
      <w:r w:rsidRPr="00A937CC">
        <w:rPr>
          <w:b/>
          <w:i/>
        </w:rPr>
        <w:t xml:space="preserve">Εκκρεμή ζητήματα σχετικά με τις τοξίνες </w:t>
      </w:r>
      <w:proofErr w:type="spellStart"/>
      <w:r w:rsidRPr="00A937CC">
        <w:rPr>
          <w:b/>
          <w:i/>
        </w:rPr>
        <w:t>Bt</w:t>
      </w:r>
      <w:proofErr w:type="spellEnd"/>
    </w:p>
    <w:p w:rsidR="00C034B0" w:rsidRPr="00A937CC" w:rsidRDefault="00C034B0" w:rsidP="00C034B0">
      <w:pPr>
        <w:pStyle w:val="NormalHanging12a"/>
        <w:rPr>
          <w:szCs w:val="24"/>
        </w:rPr>
      </w:pPr>
      <w:r w:rsidRPr="00A937CC">
        <w:t>Ι.</w:t>
      </w:r>
      <w:r w:rsidRPr="00A937CC">
        <w:tab/>
        <w:t xml:space="preserve">λαμβάνοντας υπόψη ότι, σύμφωνα με διάφορες μελέτες, έχουν παρατηρηθεί παρενέργειες που ενδεχομένως επηρεάζουν το ανοσοποιητικό σύστημα έπειτα από έκθεση σε τοξίνες </w:t>
      </w:r>
      <w:proofErr w:type="spellStart"/>
      <w:r w:rsidRPr="00A937CC">
        <w:t>Bt</w:t>
      </w:r>
      <w:proofErr w:type="spellEnd"/>
      <w:r w:rsidRPr="00A937CC">
        <w:t xml:space="preserve"> και ότι ορισμένες τοξίνες </w:t>
      </w:r>
      <w:proofErr w:type="spellStart"/>
      <w:r w:rsidRPr="00A937CC">
        <w:t>Bt</w:t>
      </w:r>
      <w:proofErr w:type="spellEnd"/>
      <w:r w:rsidRPr="00A937CC">
        <w:t xml:space="preserve"> ενδέχεται να έχουν ανοσοενισχυτικές ιδιότητες</w:t>
      </w:r>
      <w:r w:rsidRPr="00A937CC">
        <w:rPr>
          <w:rStyle w:val="FootnoteReference"/>
          <w:szCs w:val="24"/>
        </w:rPr>
        <w:footnoteReference w:id="9"/>
      </w:r>
      <w:r w:rsidRPr="00A937CC">
        <w:t>, δηλαδή να ενισχύουν την αλλεργιογόνο δράση άλλων πρωτεϊνών με τις οποίες έρχονται σε επαφή·</w:t>
      </w:r>
    </w:p>
    <w:p w:rsidR="00C034B0" w:rsidRPr="00A937CC" w:rsidRDefault="00C034B0" w:rsidP="00C034B0">
      <w:pPr>
        <w:pStyle w:val="NormalHanging12a"/>
        <w:rPr>
          <w:szCs w:val="24"/>
        </w:rPr>
      </w:pPr>
      <w:r w:rsidRPr="00A937CC">
        <w:t>ΙΑ.</w:t>
      </w:r>
      <w:r w:rsidRPr="00A937CC">
        <w:tab/>
        <w:t xml:space="preserve">λαμβάνοντας υπόψη ότι, σύμφωνα με επιστημονική μελέτη, η τοξικότητα των τοξινών </w:t>
      </w:r>
      <w:proofErr w:type="spellStart"/>
      <w:r w:rsidRPr="00A937CC">
        <w:t>Bt</w:t>
      </w:r>
      <w:proofErr w:type="spellEnd"/>
      <w:r w:rsidRPr="00A937CC">
        <w:t xml:space="preserve"> μπορεί επίσης να ενισχυθεί μέσω της αλληλεπίδρασης με κατάλοιπα από τον ψεκασμό με ζιζανιοκτόνα και ότι απαιτούνται περαιτέρω μελέτες σχετικά με τις συνδυαστικές επιδράσεις των «συσσωρευμένων» συμβάντων (ΓΤ καλλιέργειες που έχουν τροποποιηθεί ώστε να είναι ανθεκτικές στα ζιζανιοκτόνα και να παράγουν εντομοκτόνα υπό μορφή τοξινών </w:t>
      </w:r>
      <w:proofErr w:type="spellStart"/>
      <w:r w:rsidRPr="00A937CC">
        <w:t>Bt</w:t>
      </w:r>
      <w:proofErr w:type="spellEnd"/>
      <w:r w:rsidRPr="00A937CC">
        <w:t>)</w:t>
      </w:r>
      <w:r w:rsidRPr="00A937CC">
        <w:rPr>
          <w:rStyle w:val="FootnoteReference"/>
          <w:szCs w:val="24"/>
        </w:rPr>
        <w:footnoteReference w:id="10"/>
      </w:r>
      <w:r w:rsidRPr="00A937CC">
        <w:t xml:space="preserve">· λαμβάνοντας υπόψη ότι η αξιολόγηση της ενδεχόμενης αλληλεπίδρασης των καταλοίπων ζιζανιοκτόνων και των μεταβολιτών τους με τοξίνες </w:t>
      </w:r>
      <w:proofErr w:type="spellStart"/>
      <w:r w:rsidRPr="00A937CC">
        <w:t>Bt</w:t>
      </w:r>
      <w:proofErr w:type="spellEnd"/>
      <w:r w:rsidRPr="00A937CC">
        <w:t xml:space="preserve"> θεωρείται, ωστόσο, ότι δεν εμπίπτει στις αρμοδιότητες της ομάδας της EFSA για τους ΓΤΟ και, ως εκ τούτου, δεν διενεργείται στο πλαίσιο της εκτίμησης κινδύνου·</w:t>
      </w:r>
    </w:p>
    <w:p w:rsidR="00C034B0" w:rsidRPr="00A937CC" w:rsidRDefault="00C034B0" w:rsidP="00C034B0">
      <w:pPr>
        <w:pStyle w:val="NormalHanging12a"/>
        <w:rPr>
          <w:b/>
          <w:i/>
          <w:szCs w:val="24"/>
        </w:rPr>
      </w:pPr>
      <w:r w:rsidRPr="00A937CC">
        <w:rPr>
          <w:b/>
          <w:i/>
        </w:rPr>
        <w:t xml:space="preserve">Καλλιέργειες </w:t>
      </w:r>
      <w:proofErr w:type="spellStart"/>
      <w:r w:rsidRPr="00A937CC">
        <w:rPr>
          <w:b/>
          <w:i/>
        </w:rPr>
        <w:t>Bt</w:t>
      </w:r>
      <w:proofErr w:type="spellEnd"/>
      <w:r w:rsidRPr="00A937CC">
        <w:rPr>
          <w:b/>
          <w:i/>
        </w:rPr>
        <w:t>: επιδράσεις σε μη στοχευόμενους οργανισμούς</w:t>
      </w:r>
    </w:p>
    <w:p w:rsidR="00C034B0" w:rsidRPr="00A937CC" w:rsidRDefault="00C034B0" w:rsidP="00C034B0">
      <w:pPr>
        <w:pStyle w:val="NormalHanging12a"/>
        <w:rPr>
          <w:szCs w:val="24"/>
        </w:rPr>
      </w:pPr>
      <w:r w:rsidRPr="00A937CC">
        <w:t>ΙΒ.</w:t>
      </w:r>
      <w:r w:rsidRPr="00A937CC">
        <w:tab/>
        <w:t xml:space="preserve">λαμβάνοντας υπόψη ότι, σε αντίθεση με τη χρήση εντομοκτόνων, όπου η έκθεση πραγματοποιείται κατά τον χρόνο του ψεκασμού και για περιορισμένο χρονικό διάστημα στη συνέχεια, η χρήση γενετικά τροποποιημένων καλλιεργειών </w:t>
      </w:r>
      <w:proofErr w:type="spellStart"/>
      <w:r w:rsidRPr="00A937CC">
        <w:t>Bt</w:t>
      </w:r>
      <w:proofErr w:type="spellEnd"/>
      <w:r w:rsidRPr="00A937CC">
        <w:t xml:space="preserve"> οδηγεί σε συνεχή έκθεση των στοχευόμενων και μη στοχευόμενων οργανισμών στις τοξίνες </w:t>
      </w:r>
      <w:proofErr w:type="spellStart"/>
      <w:r w:rsidRPr="00A937CC">
        <w:t>Bt</w:t>
      </w:r>
      <w:proofErr w:type="spellEnd"/>
      <w:r w:rsidRPr="00A937CC">
        <w:t>·</w:t>
      </w:r>
    </w:p>
    <w:p w:rsidR="00C034B0" w:rsidRPr="00A937CC" w:rsidRDefault="00C034B0" w:rsidP="00C034B0">
      <w:pPr>
        <w:pStyle w:val="NormalHanging12a"/>
        <w:rPr>
          <w:szCs w:val="24"/>
        </w:rPr>
      </w:pPr>
      <w:r w:rsidRPr="00A937CC">
        <w:t>ΙΓ.</w:t>
      </w:r>
      <w:r w:rsidRPr="00A937CC">
        <w:tab/>
        <w:t xml:space="preserve">λαμβάνοντας υπόψη ότι η υπόθεση ότι οι τοξίνες </w:t>
      </w:r>
      <w:proofErr w:type="spellStart"/>
      <w:r w:rsidRPr="00A937CC">
        <w:t>Bt</w:t>
      </w:r>
      <w:proofErr w:type="spellEnd"/>
      <w:r w:rsidRPr="00A937CC">
        <w:t xml:space="preserve"> παρουσιάζουν έναν μοναδικό τρόπο δράσης ειδικά για συγκεκριμένο στόχο δεν μπορεί πλέον να θεωρείται ορθή και δεν μπορούν να αποκλειστούν οι επιπτώσεις σε μη στοχευόμενους οργανισμούς· λαμβάνοντας υπόψη ότι αναφέρεται ότι όλο και περισσότεροι μη </w:t>
      </w:r>
      <w:proofErr w:type="spellStart"/>
      <w:r w:rsidRPr="00A937CC">
        <w:t>στοχευόμενοι</w:t>
      </w:r>
      <w:proofErr w:type="spellEnd"/>
      <w:r w:rsidRPr="00A937CC">
        <w:t xml:space="preserve"> οργανισμοί επηρεάζονται με πολλούς τρόπους· λαμβάνοντας υπόψη ότι σε πρόσφατη επισκόπηση</w:t>
      </w:r>
      <w:r w:rsidRPr="00A937CC">
        <w:rPr>
          <w:rStyle w:val="FootnoteReference"/>
          <w:szCs w:val="24"/>
        </w:rPr>
        <w:footnoteReference w:id="11"/>
      </w:r>
      <w:r w:rsidRPr="00A937CC">
        <w:t xml:space="preserve"> αναφέρονται 39 δημοσιεύσεις αξιολογημένες από ομοτίμους, οι οποίες αναφέρουν σημαντικές δυσμενείς επιπτώσεις των τοξινών </w:t>
      </w:r>
      <w:proofErr w:type="spellStart"/>
      <w:r w:rsidRPr="00A937CC">
        <w:t>Bt</w:t>
      </w:r>
      <w:proofErr w:type="spellEnd"/>
      <w:r w:rsidRPr="00A937CC">
        <w:t xml:space="preserve"> σε πολλά είδη «εκτός πεδίου»·</w:t>
      </w:r>
    </w:p>
    <w:p w:rsidR="00C034B0" w:rsidRPr="00A937CC" w:rsidRDefault="00C034B0" w:rsidP="00C034B0">
      <w:pPr>
        <w:pStyle w:val="NormalHanging12a"/>
        <w:rPr>
          <w:b/>
          <w:i/>
          <w:szCs w:val="24"/>
        </w:rPr>
      </w:pPr>
      <w:r w:rsidRPr="00A937CC">
        <w:rPr>
          <w:b/>
          <w:i/>
        </w:rPr>
        <w:t>Παρατηρήσεις των κρατών μελών και των ενδιαφερόμενων μερών</w:t>
      </w:r>
    </w:p>
    <w:p w:rsidR="00C034B0" w:rsidRPr="00A937CC" w:rsidRDefault="00C034B0" w:rsidP="00C034B0">
      <w:pPr>
        <w:pStyle w:val="NormalHanging12a"/>
        <w:rPr>
          <w:szCs w:val="24"/>
        </w:rPr>
      </w:pPr>
      <w:r w:rsidRPr="00A937CC">
        <w:t>ΙΔ.</w:t>
      </w:r>
      <w:r w:rsidRPr="00A937CC">
        <w:tab/>
        <w:t>λαμβάνοντας υπόψη ότι τα κράτη μέλη υπέβαλαν στην EFSA πολλά επικριτικά σχόλια κατά τη διάρκεια της τρίμηνης περιόδου διαβούλευσης</w:t>
      </w:r>
      <w:r w:rsidRPr="00A937CC">
        <w:rPr>
          <w:rStyle w:val="FootnoteReference"/>
          <w:szCs w:val="24"/>
        </w:rPr>
        <w:footnoteReference w:id="12"/>
      </w:r>
      <w:r w:rsidRPr="00A937CC">
        <w:t xml:space="preserve">, μεταξύ των οποίων ότι ο κατάλογος των σχετικών μελετών, που προσδιορίστηκαν στην ανασκόπηση της βιβλιογραφίας του αιτούντος, δεν περιλάμβανε μελέτες για την επίδραση των πρωτεϊνών </w:t>
      </w:r>
      <w:proofErr w:type="spellStart"/>
      <w:r w:rsidRPr="00A937CC">
        <w:t>Bt</w:t>
      </w:r>
      <w:proofErr w:type="spellEnd"/>
      <w:r w:rsidRPr="00A937CC">
        <w:t xml:space="preserve"> στο περιβάλλον ή σχετικά με τις πιθανές επιπτώσεις των υπολειμμάτων καλλιεργειών </w:t>
      </w:r>
      <w:proofErr w:type="spellStart"/>
      <w:r w:rsidRPr="00A937CC">
        <w:t>Bt</w:t>
      </w:r>
      <w:proofErr w:type="spellEnd"/>
      <w:r w:rsidRPr="00A937CC">
        <w:t xml:space="preserve"> σε μη </w:t>
      </w:r>
      <w:proofErr w:type="spellStart"/>
      <w:r w:rsidRPr="00A937CC">
        <w:t>στοχευόμενους</w:t>
      </w:r>
      <w:proofErr w:type="spellEnd"/>
      <w:r w:rsidRPr="00A937CC">
        <w:t xml:space="preserve"> οργανισμούς, παρά το γεγονός ότι υπάρχουν τέτοιες μελέτες· </w:t>
      </w:r>
    </w:p>
    <w:p w:rsidR="00C034B0" w:rsidRPr="00A937CC" w:rsidRDefault="00C034B0" w:rsidP="00F96B5D">
      <w:pPr>
        <w:pStyle w:val="NormalHanging12a"/>
        <w:ind w:left="0" w:firstLine="0"/>
        <w:rPr>
          <w:b/>
          <w:i/>
          <w:szCs w:val="24"/>
        </w:rPr>
      </w:pPr>
      <w:r w:rsidRPr="00A937CC">
        <w:rPr>
          <w:b/>
          <w:i/>
        </w:rPr>
        <w:t>Εξασφάλιση ισότιμων όρων ανταγωνισμού σε παγκόσμιο επίπεδο και τήρηση των διεθνών υποχρεώσεων της Ένωσης</w:t>
      </w:r>
    </w:p>
    <w:p w:rsidR="00C034B0" w:rsidRPr="00A937CC" w:rsidRDefault="00C034B0" w:rsidP="00C034B0">
      <w:pPr>
        <w:pStyle w:val="NormalHanging12a"/>
        <w:rPr>
          <w:szCs w:val="24"/>
        </w:rPr>
      </w:pPr>
      <w:r w:rsidRPr="00A937CC">
        <w:t>ΙΕ.</w:t>
      </w:r>
      <w:r w:rsidRPr="00A937CC">
        <w:tab/>
        <w:t>λαμβάνοντας υπόψη ότι τα συμπεράσματα του στρατηγικού διαλόγου για το μέλλον της γεωργίας της ΕΕ</w:t>
      </w:r>
      <w:r w:rsidRPr="00A937CC">
        <w:rPr>
          <w:rStyle w:val="FootnoteReference"/>
          <w:szCs w:val="24"/>
        </w:rPr>
        <w:footnoteReference w:id="13"/>
      </w:r>
      <w:r w:rsidRPr="00A937CC">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οι δικαιότερες εμπορικές σχέσεις, σε παγκόσμιο επίπεδο, που συνάδουν με τους στόχους για ένα υγιές περιβάλλον ήταν μία από τις κύριες απαιτήσεις των αγροτών κατά τη διάρκεια των διαδηλώσεων του 2023 και του 2024·</w:t>
      </w:r>
    </w:p>
    <w:p w:rsidR="00C034B0" w:rsidRPr="00A937CC" w:rsidRDefault="00C034B0" w:rsidP="00C034B0">
      <w:pPr>
        <w:pStyle w:val="NormalHanging12a"/>
        <w:rPr>
          <w:szCs w:val="24"/>
        </w:rPr>
      </w:pPr>
      <w:r w:rsidRPr="00A937CC">
        <w:t>ΙΣΤ.</w:t>
      </w:r>
      <w:r w:rsidRPr="00A937CC">
        <w:tab/>
        <w:t>λαμβάνοντας υπόψη ότι, σύμφωνα με έκθεση του 2017 του ειδικού εισηγητή των Ηνωμένων Εθνών για το δικαίωμα στη διατροφή, τα επικίνδυνα φυτοφάρμακα έχουν καταστροφικές επιπτώσεις στην υγεία, ιδίως στις αναπτυσσόμενες χώρες</w:t>
      </w:r>
      <w:r w:rsidRPr="00A937CC">
        <w:rPr>
          <w:rStyle w:val="FootnoteReference"/>
          <w:szCs w:val="24"/>
        </w:rPr>
        <w:footnoteReference w:id="14"/>
      </w:r>
      <w:r w:rsidRPr="00A937CC">
        <w:t>· λαμβάνοντας υπόψη ότι ο στόχος βιώσιμης ανάπτυξης (ΣΒΑ) 3.9 των Ηνωμένων Εθνών αφορά τη σημαντική μείωση, έως το 2030, του αριθμού των θανάτων και ασθενειών λόγω επικίνδυνων χημικών ουσιών, καθώς και λόγω της ρύπανσης και μόλυνσης του αέρα, των υδάτων και του εδάφους·</w:t>
      </w:r>
    </w:p>
    <w:p w:rsidR="00C034B0" w:rsidRPr="00A937CC" w:rsidRDefault="00C034B0" w:rsidP="00C034B0">
      <w:pPr>
        <w:pStyle w:val="NormalHanging12a"/>
        <w:rPr>
          <w:szCs w:val="24"/>
        </w:rPr>
      </w:pPr>
      <w:r w:rsidRPr="00A937CC">
        <w:t>ΙΖ.</w:t>
      </w:r>
      <w:r w:rsidRPr="00A937CC">
        <w:tab/>
        <w:t xml:space="preserve">λαμβάνοντας υπόψη ότι το παγκόσμιο πλαίσιο </w:t>
      </w:r>
      <w:proofErr w:type="spellStart"/>
      <w:r w:rsidRPr="00A937CC">
        <w:t>Kunming-Montreal</w:t>
      </w:r>
      <w:proofErr w:type="spellEnd"/>
      <w:r w:rsidRPr="00A937CC">
        <w:t xml:space="preserve"> για τη βιοποικιλότητα («πλαίσιο </w:t>
      </w:r>
      <w:proofErr w:type="spellStart"/>
      <w:r w:rsidRPr="00A937CC">
        <w:t>Kunming-Montreal</w:t>
      </w:r>
      <w:proofErr w:type="spellEnd"/>
      <w:r w:rsidRPr="00A937CC">
        <w:t>»), το οποίο συμφωνήθηκε στην COP15 της Σύμβασης των ΗΕ για τη βιολογική ποικιλότητα (ΣΒΠ) τον Δεκέμβριο του 2022, περιλαμβάνει έναν παγκόσμιο στόχο για τη μείωση του κινδύνου των φυτοφαρμάκων κατά τουλάχιστον 50 % έως το 2030</w:t>
      </w:r>
      <w:r w:rsidRPr="00A937CC">
        <w:rPr>
          <w:rStyle w:val="FootnoteReference"/>
          <w:szCs w:val="24"/>
        </w:rPr>
        <w:footnoteReference w:id="15"/>
      </w:r>
      <w:r w:rsidRPr="00A937CC">
        <w:t>·</w:t>
      </w:r>
    </w:p>
    <w:p w:rsidR="00C034B0" w:rsidRPr="00A937CC" w:rsidRDefault="00C034B0" w:rsidP="00C034B0">
      <w:pPr>
        <w:pStyle w:val="NormalHanging12a"/>
        <w:rPr>
          <w:szCs w:val="24"/>
        </w:rPr>
      </w:pPr>
      <w:r w:rsidRPr="00A937CC">
        <w:t>ΙΗ.</w:t>
      </w:r>
      <w:r w:rsidRPr="00A937CC">
        <w:tab/>
        <w:t>λαμβάνοντας υπόψη ότι, σύμφωνα με τον κανονισμό (ΕΚ) αριθ. 1829/2003, τα ΓΤ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κατά νόμο παράγοντες που αφορούν το υπό εξέταση ζήτημα· λαμβάνοντας υπόψη ότι στους εν λόγω κατά νόμο παράγοντες θα πρέπει να περιλαμβάνονται οι υποχρεώσεις της Ένωσης στο πλαίσιο των ΣΒΑ και της ΣΒΠ των Ηνωμένων Εθνών·</w:t>
      </w:r>
    </w:p>
    <w:p w:rsidR="00C034B0" w:rsidRPr="00A937CC" w:rsidRDefault="00C034B0" w:rsidP="00C034B0">
      <w:pPr>
        <w:pStyle w:val="NormalHanging12a"/>
        <w:rPr>
          <w:b/>
          <w:i/>
          <w:szCs w:val="24"/>
        </w:rPr>
      </w:pPr>
      <w:r w:rsidRPr="00A937CC">
        <w:rPr>
          <w:b/>
          <w:i/>
        </w:rPr>
        <w:t>Μείωση της εξάρτησης από εισαγόμενες ζωοτροφές</w:t>
      </w:r>
    </w:p>
    <w:p w:rsidR="00C034B0" w:rsidRPr="00A937CC" w:rsidRDefault="00C034B0" w:rsidP="00C034B0">
      <w:pPr>
        <w:pStyle w:val="NormalHanging12a"/>
        <w:rPr>
          <w:b/>
          <w:i/>
          <w:szCs w:val="24"/>
        </w:rPr>
      </w:pPr>
      <w:r w:rsidRPr="00A937CC">
        <w:t>ΙΘ.</w:t>
      </w:r>
      <w:r w:rsidRPr="00A937CC">
        <w:tab/>
        <w:t xml:space="preserve">λαμβάνοντας υπόψη ότι ένα από τα διδάγματα από την κρίση COVID-19 και τον συνεχιζόμενο πόλεμο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ορισθέντα Επίτροπο </w:t>
      </w:r>
      <w:proofErr w:type="spellStart"/>
      <w:r w:rsidRPr="00A937CC">
        <w:t>Christophe</w:t>
      </w:r>
      <w:proofErr w:type="spellEnd"/>
      <w:r w:rsidRPr="00A937CC">
        <w:t xml:space="preserve"> </w:t>
      </w:r>
      <w:proofErr w:type="spellStart"/>
      <w:r w:rsidRPr="00A937CC">
        <w:t>Hansen</w:t>
      </w:r>
      <w:proofErr w:type="spellEnd"/>
      <w:r w:rsidRPr="00A937CC">
        <w:t xml:space="preserve">, η Πρόεδρος της Επιτροπής </w:t>
      </w:r>
      <w:proofErr w:type="spellStart"/>
      <w:r w:rsidRPr="00A937CC">
        <w:t>Ursula</w:t>
      </w:r>
      <w:proofErr w:type="spellEnd"/>
      <w:r w:rsidRPr="00A937CC">
        <w:t xml:space="preserve"> </w:t>
      </w:r>
      <w:proofErr w:type="spellStart"/>
      <w:r w:rsidRPr="00A937CC">
        <w:t>von</w:t>
      </w:r>
      <w:proofErr w:type="spellEnd"/>
      <w:r w:rsidRPr="00A937CC">
        <w:t xml:space="preserve"> </w:t>
      </w:r>
      <w:proofErr w:type="spellStart"/>
      <w:r w:rsidRPr="00A937CC">
        <w:t>der</w:t>
      </w:r>
      <w:proofErr w:type="spellEnd"/>
      <w:r w:rsidRPr="00A937CC">
        <w:t xml:space="preserve"> </w:t>
      </w:r>
      <w:proofErr w:type="spellStart"/>
      <w:r w:rsidRPr="00A937CC">
        <w:t>Leyen</w:t>
      </w:r>
      <w:proofErr w:type="spellEnd"/>
      <w:r w:rsidRPr="00A937CC">
        <w:t xml:space="preserve"> του ζητεί να εξετάσει τρόπους μείωσης των εισαγωγών κρίσιμων βασικών προϊόντων</w:t>
      </w:r>
      <w:r w:rsidRPr="00A937CC">
        <w:rPr>
          <w:rStyle w:val="FootnoteReference"/>
          <w:szCs w:val="24"/>
        </w:rPr>
        <w:footnoteReference w:id="16"/>
      </w:r>
      <w:r w:rsidRPr="00A937CC">
        <w:t xml:space="preserve">· </w:t>
      </w:r>
    </w:p>
    <w:p w:rsidR="00C034B0" w:rsidRPr="00A937CC" w:rsidRDefault="00C034B0" w:rsidP="00C034B0">
      <w:pPr>
        <w:pStyle w:val="NormalHanging12a"/>
        <w:rPr>
          <w:b/>
          <w:i/>
          <w:szCs w:val="24"/>
        </w:rPr>
      </w:pPr>
      <w:r w:rsidRPr="00A937CC">
        <w:rPr>
          <w:b/>
          <w:i/>
        </w:rPr>
        <w:t>Μη δημοκρατική διαδικασία λήψης αποφάσεων</w:t>
      </w:r>
    </w:p>
    <w:p w:rsidR="00C034B0" w:rsidRPr="00A937CC" w:rsidRDefault="00C034B0" w:rsidP="00C034B0">
      <w:pPr>
        <w:pStyle w:val="NormalHanging12a"/>
        <w:rPr>
          <w:szCs w:val="24"/>
        </w:rPr>
      </w:pPr>
      <w:r w:rsidRPr="00A937CC">
        <w:t>Κ.</w:t>
      </w:r>
      <w:r w:rsidRPr="00A937CC">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ενστάσεις για τη διάθεση ΓΤΟ στην αγορά·</w:t>
      </w:r>
    </w:p>
    <w:p w:rsidR="00C034B0" w:rsidRPr="00A937CC" w:rsidRDefault="00C034B0" w:rsidP="00C034B0">
      <w:pPr>
        <w:pStyle w:val="NormalHanging12a"/>
        <w:rPr>
          <w:szCs w:val="24"/>
        </w:rPr>
      </w:pPr>
      <w:r w:rsidRPr="00A937CC">
        <w:t>ΚΑ.</w:t>
      </w:r>
      <w:r w:rsidRPr="00A937CC">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C034B0" w:rsidRPr="00A937CC" w:rsidRDefault="00C034B0" w:rsidP="00C034B0">
      <w:pPr>
        <w:pStyle w:val="NormalHanging12a"/>
        <w:rPr>
          <w:szCs w:val="24"/>
        </w:rPr>
      </w:pPr>
      <w:r w:rsidRPr="00A937CC">
        <w:t>ΚΒ.</w:t>
      </w:r>
      <w:r w:rsidRPr="00A937CC">
        <w:tab/>
        <w:t>λαμβάνοντας υπόψη ότι δεν απαιτείται καμία τροποποίηση της νομοθεσίας ώστε να είναι σε θέση η Επιτροπή να μην εγκρίνει ΓΤΟ όταν δεν υπάρχει ειδική πλειοψηφία κρατών μελών υπέρ της έγκρισης στην επιτροπή προσφυγών</w:t>
      </w:r>
      <w:r w:rsidRPr="00A937CC">
        <w:rPr>
          <w:rStyle w:val="FootnoteReference"/>
          <w:szCs w:val="24"/>
        </w:rPr>
        <w:footnoteReference w:id="17"/>
      </w:r>
      <w:r w:rsidRPr="00A937CC">
        <w:t>·</w:t>
      </w:r>
    </w:p>
    <w:p w:rsidR="00C034B0" w:rsidRPr="00A937CC" w:rsidRDefault="00C034B0" w:rsidP="00C034B0">
      <w:pPr>
        <w:spacing w:after="240"/>
        <w:ind w:left="567" w:hanging="567"/>
        <w:rPr>
          <w:szCs w:val="24"/>
          <w:shd w:val="clear" w:color="auto" w:fill="FFFFFF"/>
        </w:rPr>
      </w:pPr>
      <w:r w:rsidRPr="00A937CC">
        <w:t>ΚΓ.</w:t>
      </w:r>
      <w:r w:rsidRPr="00A937CC">
        <w:tab/>
      </w:r>
      <w:r w:rsidRPr="00A937CC">
        <w:rPr>
          <w:shd w:val="clear" w:color="auto" w:fill="FFFFFF"/>
        </w:rPr>
        <w:t>λαμβάνοντας υπόψη ότι η ψηφοφορία της 8ης Ιουλίου 2024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μια ειδική πλειοψηφία των κρατών μελών· λαμβάνοντας υπόψη ότι ούτε η ψηφοφορία της 3ης Σεπτεμβρίου 2024 στην επιτροπή προσφυγών οδήγησε σε γνωμοδότηση·</w:t>
      </w:r>
    </w:p>
    <w:p w:rsidR="00C034B0" w:rsidRPr="00A937CC" w:rsidRDefault="009046DD" w:rsidP="009046DD">
      <w:pPr>
        <w:pStyle w:val="NormalHanging12a"/>
        <w:ind w:hanging="570"/>
        <w:rPr>
          <w:szCs w:val="24"/>
        </w:rPr>
      </w:pPr>
      <w:r w:rsidRPr="00A937CC">
        <w:rPr>
          <w:szCs w:val="24"/>
        </w:rPr>
        <w:t>1.</w:t>
      </w:r>
      <w:r w:rsidRPr="00A937CC">
        <w:rPr>
          <w:szCs w:val="24"/>
        </w:rPr>
        <w:tab/>
      </w:r>
      <w:r w:rsidR="00C034B0" w:rsidRPr="00A937CC">
        <w:t xml:space="preserve">θεωρεί ότι </w:t>
      </w:r>
      <w:r w:rsidR="00252FED">
        <w:t>η</w:t>
      </w:r>
      <w:r w:rsidR="00C034B0" w:rsidRPr="00A937CC">
        <w:t xml:space="preserve"> εκτελεστική απόφαση </w:t>
      </w:r>
      <w:r w:rsidR="00252FED">
        <w:t xml:space="preserve">(ΕΕ) 2024/2628 </w:t>
      </w:r>
      <w:r w:rsidR="00C034B0" w:rsidRPr="00A937CC">
        <w:t>της Επιτροπής υπερβαίνει τις εκτελεστικές αρμοδιότητες που προβλέπει ο κανονισμός (ΕΚ) αριθ. 1829/2003·</w:t>
      </w:r>
    </w:p>
    <w:p w:rsidR="00C034B0" w:rsidRPr="007E5159" w:rsidRDefault="009046DD" w:rsidP="009046DD">
      <w:pPr>
        <w:pStyle w:val="NormalHanging12a"/>
        <w:ind w:hanging="570"/>
        <w:rPr>
          <w:szCs w:val="24"/>
        </w:rPr>
      </w:pPr>
      <w:r w:rsidRPr="007E5159">
        <w:rPr>
          <w:szCs w:val="24"/>
        </w:rPr>
        <w:t>2.</w:t>
      </w:r>
      <w:r w:rsidRPr="007E5159">
        <w:rPr>
          <w:szCs w:val="24"/>
        </w:rPr>
        <w:tab/>
      </w:r>
      <w:r w:rsidR="00C034B0" w:rsidRPr="00A937CC">
        <w:t xml:space="preserve">θεωρεί ότι </w:t>
      </w:r>
      <w:r w:rsidR="00252FED">
        <w:t>η</w:t>
      </w:r>
      <w:r w:rsidR="00252FED" w:rsidRPr="00A937CC">
        <w:t xml:space="preserve"> </w:t>
      </w:r>
      <w:r w:rsidR="00C034B0" w:rsidRPr="00A937CC">
        <w:t xml:space="preserve">εκτελεστική απόφαση </w:t>
      </w:r>
      <w:r w:rsidR="00252FED">
        <w:t xml:space="preserve">(ΕΕ) 2024/2628 </w:t>
      </w:r>
      <w:r w:rsidR="00C034B0" w:rsidRPr="00A937CC">
        <w:t>της Επιτροπής δεν είναι σύμφων</w:t>
      </w:r>
      <w:r w:rsidR="00252FED">
        <w:t>η</w:t>
      </w:r>
      <w:r w:rsidR="00C034B0" w:rsidRPr="00A937CC">
        <w:t xml:space="preserve">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C034B0" w:rsidRPr="00A937CC">
        <w:rPr>
          <w:rStyle w:val="FootnoteReference"/>
          <w:szCs w:val="24"/>
        </w:rPr>
        <w:footnoteReference w:id="18"/>
      </w:r>
      <w:r w:rsidR="00C034B0" w:rsidRPr="00A937CC">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7E5159" w:rsidRPr="00A937CC" w:rsidRDefault="009046DD" w:rsidP="009046DD">
      <w:pPr>
        <w:pStyle w:val="NormalHanging12a"/>
        <w:ind w:left="570" w:hanging="570"/>
        <w:rPr>
          <w:szCs w:val="24"/>
        </w:rPr>
      </w:pPr>
      <w:r w:rsidRPr="00A937CC">
        <w:rPr>
          <w:szCs w:val="24"/>
        </w:rPr>
        <w:t>3.</w:t>
      </w:r>
      <w:r w:rsidRPr="00A937CC">
        <w:rPr>
          <w:szCs w:val="24"/>
        </w:rPr>
        <w:tab/>
      </w:r>
      <w:r w:rsidR="007E5159" w:rsidRPr="007E5159">
        <w:rPr>
          <w:szCs w:val="24"/>
        </w:rPr>
        <w:t>καλεί την Επιτροπή να διασφαλίσει τη σύγκλιση των προτύπων μεταξύ της Ένωσης και των εταίρων της στις διαπραγματεύσεις για συμφωνίες ελεύθερων συναλλαγών, προκειμένου να πληρούνται τα πρότυπα ασφάλειας της Ένωσης·</w:t>
      </w:r>
    </w:p>
    <w:p w:rsidR="00C034B0" w:rsidRPr="00A937CC" w:rsidRDefault="009046DD" w:rsidP="009046DD">
      <w:pPr>
        <w:pStyle w:val="NormalHanging12a"/>
        <w:ind w:hanging="570"/>
        <w:rPr>
          <w:szCs w:val="24"/>
        </w:rPr>
      </w:pPr>
      <w:r w:rsidRPr="00A937CC">
        <w:rPr>
          <w:szCs w:val="24"/>
        </w:rPr>
        <w:t>4.</w:t>
      </w:r>
      <w:r w:rsidRPr="00A937CC">
        <w:rPr>
          <w:szCs w:val="24"/>
        </w:rPr>
        <w:tab/>
      </w:r>
      <w:r w:rsidR="00C034B0" w:rsidRPr="00A937CC">
        <w:t xml:space="preserve">ζητεί από την Επιτροπή να </w:t>
      </w:r>
      <w:r w:rsidR="00252FED">
        <w:t>καταργήσει</w:t>
      </w:r>
      <w:r w:rsidR="00252FED" w:rsidRPr="00A937CC">
        <w:t xml:space="preserve"> </w:t>
      </w:r>
      <w:r w:rsidR="00C034B0" w:rsidRPr="00A937CC">
        <w:t>τ</w:t>
      </w:r>
      <w:r w:rsidR="00252FED">
        <w:t>ην</w:t>
      </w:r>
      <w:r w:rsidR="00C034B0" w:rsidRPr="00A937CC">
        <w:t xml:space="preserve"> εκτελεστική απόφασ</w:t>
      </w:r>
      <w:r w:rsidR="001D6409">
        <w:t>η</w:t>
      </w:r>
      <w:r w:rsidR="00C034B0" w:rsidRPr="00A937CC">
        <w:t xml:space="preserve"> </w:t>
      </w:r>
      <w:r w:rsidR="00252FED">
        <w:t>(ΕΕ) 2024/2628</w:t>
      </w:r>
      <w:r w:rsidR="00C034B0" w:rsidRPr="00A937CC">
        <w:t xml:space="preserve"> και να υποβάλει νέο σχέδιο στην επιτροπή·</w:t>
      </w:r>
    </w:p>
    <w:p w:rsidR="00C034B0" w:rsidRPr="00A937CC" w:rsidRDefault="009046DD" w:rsidP="009046DD">
      <w:pPr>
        <w:pStyle w:val="NormalHanging12a"/>
        <w:ind w:hanging="570"/>
        <w:rPr>
          <w:szCs w:val="24"/>
        </w:rPr>
      </w:pPr>
      <w:r w:rsidRPr="00A937CC">
        <w:rPr>
          <w:szCs w:val="24"/>
        </w:rPr>
        <w:t>5.</w:t>
      </w:r>
      <w:r w:rsidRPr="00A937CC">
        <w:rPr>
          <w:szCs w:val="24"/>
        </w:rPr>
        <w:tab/>
      </w:r>
      <w:r w:rsidR="00C034B0" w:rsidRPr="00A937CC">
        <w:t>καλεί την Επιτροπή να μην εγκρίνει ΓΤ καλλιέργειες ανθεκτικές στα ζιζανιοκτόνα, λόγω της επακόλουθης αυξημένης χρήσης συμπληρωματικών ζιζανιοκτόνων και, συνακόλουθα, των αυξημένων κινδύνων για τη βιοποικιλότητα, την ασφάλεια των τροφίμων και την υγεία των εργαζομένων, σύμφωνα με την προσέγγιση «Μία υγεία»·</w:t>
      </w:r>
    </w:p>
    <w:p w:rsidR="00C034B0" w:rsidRPr="00A937CC" w:rsidRDefault="009046DD" w:rsidP="009046DD">
      <w:pPr>
        <w:pStyle w:val="NormalHanging12a"/>
        <w:ind w:hanging="570"/>
        <w:rPr>
          <w:szCs w:val="24"/>
        </w:rPr>
      </w:pPr>
      <w:r w:rsidRPr="00A937CC">
        <w:rPr>
          <w:szCs w:val="24"/>
        </w:rPr>
        <w:t>6.</w:t>
      </w:r>
      <w:r w:rsidRPr="00A937CC">
        <w:rPr>
          <w:szCs w:val="24"/>
        </w:rPr>
        <w:tab/>
      </w:r>
      <w:r w:rsidR="00C034B0" w:rsidRPr="00A937CC">
        <w:t xml:space="preserve">επισημαίνει, στο πλαίσιο αυτό, ότι η έγκριση της εισαγωγής για χρήση σε τρόφιμα ή ζωοτροφές οποιουδήποτε ΓΤ φυτού που έχει καταστεί ανθεκτικό σε ζιζανιοκτόνα δεν συνάδει με τις διεθνείς δεσμεύσεις της Ένωσης στο πλαίσιο, μεταξύ άλλων, των ΣΒΑ των Ηνωμένων Εθνών και της Σύμβασης των Ηνωμένων Εθνών για τη βιολογική ποικιλότητα, συμπεριλαμβανομένου του πρόσφατα </w:t>
      </w:r>
      <w:proofErr w:type="spellStart"/>
      <w:r w:rsidR="00C034B0" w:rsidRPr="00A937CC">
        <w:t>εγκριθέντος</w:t>
      </w:r>
      <w:proofErr w:type="spellEnd"/>
      <w:r w:rsidR="00C034B0" w:rsidRPr="00A937CC">
        <w:t xml:space="preserve"> πλαισίου </w:t>
      </w:r>
      <w:proofErr w:type="spellStart"/>
      <w:r w:rsidR="00C034B0" w:rsidRPr="00A937CC">
        <w:t>Kunming-Montreal</w:t>
      </w:r>
      <w:proofErr w:type="spellEnd"/>
      <w:r w:rsidR="00C034B0" w:rsidRPr="00A937CC">
        <w:rPr>
          <w:rStyle w:val="FootnoteReference"/>
          <w:szCs w:val="24"/>
        </w:rPr>
        <w:footnoteReference w:id="19"/>
      </w:r>
      <w:r w:rsidR="00C034B0" w:rsidRPr="00A937CC">
        <w:t>·</w:t>
      </w:r>
    </w:p>
    <w:p w:rsidR="00C034B0" w:rsidRPr="00A937CC" w:rsidRDefault="009046DD" w:rsidP="009046DD">
      <w:pPr>
        <w:pStyle w:val="NormalHanging12a"/>
        <w:ind w:hanging="570"/>
        <w:rPr>
          <w:szCs w:val="24"/>
        </w:rPr>
      </w:pPr>
      <w:r w:rsidRPr="00A937CC">
        <w:rPr>
          <w:szCs w:val="24"/>
        </w:rPr>
        <w:t>7.</w:t>
      </w:r>
      <w:r w:rsidRPr="00A937CC">
        <w:rPr>
          <w:szCs w:val="24"/>
        </w:rPr>
        <w:tab/>
      </w:r>
      <w:r w:rsidR="00C034B0" w:rsidRPr="00A937CC">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00C034B0" w:rsidRPr="00A937CC">
        <w:rPr>
          <w:rStyle w:val="FootnoteReference"/>
          <w:szCs w:val="24"/>
        </w:rPr>
        <w:footnoteReference w:id="20"/>
      </w:r>
      <w:r w:rsidR="00C034B0" w:rsidRPr="00A937CC">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C034B0" w:rsidRPr="00A937CC" w:rsidRDefault="009046DD" w:rsidP="009046DD">
      <w:pPr>
        <w:pStyle w:val="NormalHanging12a"/>
        <w:ind w:hanging="570"/>
        <w:rPr>
          <w:szCs w:val="24"/>
        </w:rPr>
      </w:pPr>
      <w:r w:rsidRPr="00A937CC">
        <w:rPr>
          <w:szCs w:val="24"/>
        </w:rPr>
        <w:t>8.</w:t>
      </w:r>
      <w:r w:rsidRPr="00A937CC">
        <w:rPr>
          <w:szCs w:val="24"/>
        </w:rPr>
        <w:tab/>
      </w:r>
      <w:r w:rsidR="00C034B0" w:rsidRPr="00A937CC">
        <w:t>για άλλη μια φορά, καλεί επιτακτικά την Επιτροπή να λάβει υπόψη τις υποχρεώσεις της Ένωσης στο πλαίσιο διεθνών συμφωνιών, όπως η συμφωνία του Παρισιού για το κλίμα, η ΣΒΠ και οι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τηρούν την αρχή του «μη βλάπτειν»</w:t>
      </w:r>
      <w:r w:rsidR="00C034B0" w:rsidRPr="00A937CC">
        <w:rPr>
          <w:rStyle w:val="FootnoteReference"/>
          <w:szCs w:val="24"/>
        </w:rPr>
        <w:footnoteReference w:id="21"/>
      </w:r>
      <w:r w:rsidR="00C034B0" w:rsidRPr="00A937CC">
        <w:t xml:space="preserve">· </w:t>
      </w:r>
    </w:p>
    <w:p w:rsidR="00A937CC" w:rsidRPr="00A937CC" w:rsidRDefault="009046DD" w:rsidP="009046DD">
      <w:pPr>
        <w:pStyle w:val="NormalHanging12a"/>
        <w:ind w:hanging="570"/>
      </w:pPr>
      <w:r w:rsidRPr="00A937CC">
        <w:t>9.</w:t>
      </w:r>
      <w:r w:rsidRPr="00A937CC">
        <w:tab/>
      </w:r>
      <w:r w:rsidR="00C034B0" w:rsidRPr="00A937CC">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A937CC" w:rsidRDefault="00E365E1" w:rsidP="00D87EFF"/>
    <w:sectPr w:rsidR="00E365E1" w:rsidRPr="00A937CC" w:rsidSect="00A937C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EFF" w:rsidRPr="00A937CC" w:rsidRDefault="00D87EFF">
      <w:r w:rsidRPr="00A937CC">
        <w:separator/>
      </w:r>
    </w:p>
  </w:endnote>
  <w:endnote w:type="continuationSeparator" w:id="0">
    <w:p w:rsidR="00D87EFF" w:rsidRPr="00A937CC" w:rsidRDefault="00D87EFF">
      <w:r w:rsidRPr="00A937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EFF" w:rsidRPr="00A937CC" w:rsidRDefault="00D87EFF">
      <w:r w:rsidRPr="00A937CC">
        <w:separator/>
      </w:r>
    </w:p>
  </w:footnote>
  <w:footnote w:type="continuationSeparator" w:id="0">
    <w:p w:rsidR="00D87EFF" w:rsidRPr="00A937CC" w:rsidRDefault="00D87EFF">
      <w:r w:rsidRPr="00A937CC">
        <w:continuationSeparator/>
      </w:r>
    </w:p>
  </w:footnote>
  <w:footnote w:id="1">
    <w:p w:rsidR="00252FED" w:rsidRPr="009046DD" w:rsidRDefault="00252FED" w:rsidP="009046DD">
      <w:pPr>
        <w:pStyle w:val="FootnoteText"/>
        <w:ind w:left="567" w:hanging="567"/>
        <w:rPr>
          <w:sz w:val="24"/>
          <w:szCs w:val="24"/>
          <w:lang w:val="fi-FI"/>
        </w:rPr>
      </w:pPr>
      <w:r w:rsidRPr="009046DD">
        <w:rPr>
          <w:rStyle w:val="FootnoteReference"/>
          <w:sz w:val="24"/>
          <w:szCs w:val="24"/>
        </w:rPr>
        <w:footnoteRef/>
      </w:r>
      <w:r w:rsidRPr="009046DD">
        <w:rPr>
          <w:sz w:val="24"/>
          <w:szCs w:val="24"/>
          <w:lang w:val="fi-FI"/>
        </w:rPr>
        <w:t xml:space="preserve"> </w:t>
      </w:r>
      <w:r>
        <w:rPr>
          <w:sz w:val="24"/>
          <w:szCs w:val="24"/>
          <w:lang w:val="fi-FI"/>
        </w:rPr>
        <w:tab/>
      </w:r>
      <w:r>
        <w:rPr>
          <w:sz w:val="24"/>
          <w:szCs w:val="24"/>
          <w:lang w:val="el-GR"/>
        </w:rPr>
        <w:t>ΕΕ</w:t>
      </w:r>
      <w:r w:rsidRPr="009046DD">
        <w:rPr>
          <w:sz w:val="24"/>
          <w:szCs w:val="24"/>
          <w:lang w:val="fi-FI"/>
        </w:rPr>
        <w:t xml:space="preserve"> L, 2024/2628, 10.10.2024, ELI: </w:t>
      </w:r>
      <w:hyperlink r:id="rId1" w:history="1">
        <w:r w:rsidRPr="009046DD">
          <w:rPr>
            <w:rStyle w:val="Hyperlink"/>
            <w:sz w:val="24"/>
            <w:szCs w:val="24"/>
            <w:lang w:val="fi-FI"/>
          </w:rPr>
          <w:t>http://data.europa.eu/eli/dec_impl/2024/2628/oj</w:t>
        </w:r>
      </w:hyperlink>
      <w:r w:rsidRPr="009046DD">
        <w:rPr>
          <w:sz w:val="24"/>
          <w:szCs w:val="24"/>
          <w:lang w:val="fi-FI"/>
        </w:rPr>
        <w:t xml:space="preserve">. </w:t>
      </w:r>
    </w:p>
  </w:footnote>
  <w:footnote w:id="2">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ΕΕ L 268 της 18.10.2003, σ. </w:t>
      </w:r>
      <w:r w:rsidRPr="00A937CC">
        <w:rPr>
          <w:sz w:val="24"/>
          <w:lang w:val="el-GR"/>
        </w:rPr>
        <w:t>1, ELI: </w:t>
      </w:r>
      <w:hyperlink r:id="rId2" w:history="1">
        <w:r w:rsidR="00F96B5D" w:rsidRPr="004D655F">
          <w:rPr>
            <w:rStyle w:val="Hyperlink"/>
            <w:sz w:val="24"/>
            <w:lang w:val="el-GR"/>
          </w:rPr>
          <w:t>http://data.europa.eu/eli/reg/2003/1829/oj</w:t>
        </w:r>
      </w:hyperlink>
      <w:r w:rsidR="00F96B5D">
        <w:rPr>
          <w:sz w:val="24"/>
          <w:lang w:val="el-GR"/>
        </w:rPr>
        <w:t>.</w:t>
      </w:r>
    </w:p>
  </w:footnote>
  <w:footnote w:id="3">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0022729E">
        <w:rPr>
          <w:sz w:val="24"/>
          <w:lang w:val="el-GR"/>
        </w:rPr>
        <w:t xml:space="preserve">ΕΕ </w:t>
      </w:r>
      <w:r w:rsidRPr="00A937CC">
        <w:rPr>
          <w:sz w:val="24"/>
          <w:lang w:val="el-GR"/>
        </w:rPr>
        <w:t>L 55 της 28.2.2</w:t>
      </w:r>
      <w:bookmarkStart w:id="7" w:name="_GoBack"/>
      <w:bookmarkEnd w:id="7"/>
      <w:r w:rsidRPr="00A937CC">
        <w:rPr>
          <w:sz w:val="24"/>
          <w:lang w:val="el-GR"/>
        </w:rPr>
        <w:t>011, σ. 13, ELI: </w:t>
      </w:r>
      <w:hyperlink r:id="rId3" w:history="1">
        <w:r w:rsidR="00F96B5D" w:rsidRPr="004D655F">
          <w:rPr>
            <w:rStyle w:val="Hyperlink"/>
            <w:sz w:val="24"/>
            <w:lang w:val="el-GR"/>
          </w:rPr>
          <w:t>http://data.europa.eu/eli/reg/2011/182/oj</w:t>
        </w:r>
      </w:hyperlink>
      <w:r w:rsidR="00F96B5D">
        <w:rPr>
          <w:sz w:val="24"/>
          <w:lang w:val="el-GR"/>
        </w:rPr>
        <w:t>.</w:t>
      </w:r>
    </w:p>
  </w:footnote>
  <w:footnote w:id="4">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EFSA </w:t>
      </w:r>
      <w:proofErr w:type="spellStart"/>
      <w:r w:rsidRPr="00A937CC">
        <w:rPr>
          <w:sz w:val="24"/>
          <w:lang w:val="el-GR"/>
        </w:rPr>
        <w:t>Panel</w:t>
      </w:r>
      <w:proofErr w:type="spellEnd"/>
      <w:r w:rsidRPr="00A937CC">
        <w:rPr>
          <w:sz w:val="24"/>
          <w:lang w:val="el-GR"/>
        </w:rPr>
        <w:t xml:space="preserve"> on </w:t>
      </w:r>
      <w:proofErr w:type="spellStart"/>
      <w:r w:rsidRPr="00A937CC">
        <w:rPr>
          <w:sz w:val="24"/>
          <w:lang w:val="el-GR"/>
        </w:rPr>
        <w:t>Genetically</w:t>
      </w:r>
      <w:proofErr w:type="spellEnd"/>
      <w:r w:rsidRPr="00A937CC">
        <w:rPr>
          <w:sz w:val="24"/>
          <w:lang w:val="el-GR"/>
        </w:rPr>
        <w:t xml:space="preserve"> </w:t>
      </w:r>
      <w:proofErr w:type="spellStart"/>
      <w:r w:rsidRPr="00A937CC">
        <w:rPr>
          <w:sz w:val="24"/>
          <w:lang w:val="el-GR"/>
        </w:rPr>
        <w:t>Modified</w:t>
      </w:r>
      <w:proofErr w:type="spellEnd"/>
      <w:r w:rsidRPr="00A937CC">
        <w:rPr>
          <w:sz w:val="24"/>
          <w:lang w:val="el-GR"/>
        </w:rPr>
        <w:t xml:space="preserve"> </w:t>
      </w:r>
      <w:proofErr w:type="spellStart"/>
      <w:r w:rsidRPr="00A937CC">
        <w:rPr>
          <w:sz w:val="24"/>
          <w:lang w:val="el-GR"/>
        </w:rPr>
        <w:t>Organisms</w:t>
      </w:r>
      <w:proofErr w:type="spellEnd"/>
      <w:r w:rsidRPr="00A937CC">
        <w:rPr>
          <w:sz w:val="24"/>
          <w:lang w:val="el-GR"/>
        </w:rPr>
        <w:t xml:space="preserve"> </w:t>
      </w:r>
      <w:proofErr w:type="spellStart"/>
      <w:r w:rsidRPr="00A937CC">
        <w:rPr>
          <w:sz w:val="24"/>
          <w:lang w:val="el-GR"/>
        </w:rPr>
        <w:t>scientific</w:t>
      </w:r>
      <w:proofErr w:type="spellEnd"/>
      <w:r w:rsidRPr="00A937CC">
        <w:rPr>
          <w:sz w:val="24"/>
          <w:lang w:val="el-GR"/>
        </w:rPr>
        <w:t xml:space="preserve"> </w:t>
      </w:r>
      <w:proofErr w:type="spellStart"/>
      <w:r w:rsidRPr="00A937CC">
        <w:rPr>
          <w:sz w:val="24"/>
          <w:lang w:val="el-GR"/>
        </w:rPr>
        <w:t>opinion</w:t>
      </w:r>
      <w:proofErr w:type="spellEnd"/>
      <w:r w:rsidRPr="00A937CC">
        <w:rPr>
          <w:sz w:val="24"/>
          <w:lang w:val="el-GR"/>
        </w:rPr>
        <w:t xml:space="preserve"> on </w:t>
      </w:r>
      <w:proofErr w:type="spellStart"/>
      <w:r w:rsidRPr="00A937CC">
        <w:rPr>
          <w:sz w:val="24"/>
          <w:lang w:val="el-GR"/>
        </w:rPr>
        <w:t>assessment</w:t>
      </w:r>
      <w:proofErr w:type="spellEnd"/>
      <w:r w:rsidRPr="00A937CC">
        <w:rPr>
          <w:sz w:val="24"/>
          <w:lang w:val="el-GR"/>
        </w:rPr>
        <w:t xml:space="preserve"> of </w:t>
      </w:r>
      <w:proofErr w:type="spellStart"/>
      <w:r w:rsidRPr="00A937CC">
        <w:rPr>
          <w:sz w:val="24"/>
          <w:lang w:val="el-GR"/>
        </w:rPr>
        <w:t>genetically</w:t>
      </w:r>
      <w:proofErr w:type="spellEnd"/>
      <w:r w:rsidRPr="00A937CC">
        <w:rPr>
          <w:sz w:val="24"/>
          <w:lang w:val="el-GR"/>
        </w:rPr>
        <w:t xml:space="preserve"> </w:t>
      </w:r>
      <w:proofErr w:type="spellStart"/>
      <w:r w:rsidRPr="00A937CC">
        <w:rPr>
          <w:sz w:val="24"/>
          <w:lang w:val="el-GR"/>
        </w:rPr>
        <w:t>modified</w:t>
      </w:r>
      <w:proofErr w:type="spellEnd"/>
      <w:r w:rsidRPr="00A937CC">
        <w:rPr>
          <w:sz w:val="24"/>
          <w:lang w:val="el-GR"/>
        </w:rPr>
        <w:t xml:space="preserve"> </w:t>
      </w:r>
      <w:proofErr w:type="spellStart"/>
      <w:r w:rsidRPr="00A937CC">
        <w:rPr>
          <w:sz w:val="24"/>
          <w:lang w:val="el-GR"/>
        </w:rPr>
        <w:t>maize</w:t>
      </w:r>
      <w:proofErr w:type="spellEnd"/>
      <w:r w:rsidRPr="00A937CC">
        <w:rPr>
          <w:sz w:val="24"/>
          <w:lang w:val="el-GR"/>
        </w:rPr>
        <w:t xml:space="preserve"> MON 89034 × 1507 × NK603 for </w:t>
      </w:r>
      <w:proofErr w:type="spellStart"/>
      <w:r w:rsidRPr="00A937CC">
        <w:rPr>
          <w:sz w:val="24"/>
          <w:lang w:val="el-GR"/>
        </w:rPr>
        <w:t>renewal</w:t>
      </w:r>
      <w:proofErr w:type="spellEnd"/>
      <w:r w:rsidRPr="00A937CC">
        <w:rPr>
          <w:sz w:val="24"/>
          <w:lang w:val="el-GR"/>
        </w:rPr>
        <w:t xml:space="preserve"> </w:t>
      </w:r>
      <w:proofErr w:type="spellStart"/>
      <w:r w:rsidRPr="00A937CC">
        <w:rPr>
          <w:sz w:val="24"/>
          <w:lang w:val="el-GR"/>
        </w:rPr>
        <w:t>authorisation</w:t>
      </w:r>
      <w:proofErr w:type="spellEnd"/>
      <w:r w:rsidRPr="00A937CC">
        <w:rPr>
          <w:sz w:val="24"/>
          <w:lang w:val="el-GR"/>
        </w:rPr>
        <w:t xml:space="preserve"> </w:t>
      </w:r>
      <w:proofErr w:type="spellStart"/>
      <w:r w:rsidRPr="00A937CC">
        <w:rPr>
          <w:sz w:val="24"/>
          <w:lang w:val="el-GR"/>
        </w:rPr>
        <w:t>under</w:t>
      </w:r>
      <w:proofErr w:type="spellEnd"/>
      <w:r w:rsidRPr="00A937CC">
        <w:rPr>
          <w:sz w:val="24"/>
          <w:lang w:val="el-GR"/>
        </w:rPr>
        <w:t xml:space="preserve"> </w:t>
      </w:r>
      <w:proofErr w:type="spellStart"/>
      <w:r w:rsidRPr="00A937CC">
        <w:rPr>
          <w:sz w:val="24"/>
          <w:lang w:val="el-GR"/>
        </w:rPr>
        <w:t>Regulation</w:t>
      </w:r>
      <w:proofErr w:type="spellEnd"/>
      <w:r w:rsidRPr="00A937CC">
        <w:rPr>
          <w:sz w:val="24"/>
          <w:lang w:val="el-GR"/>
        </w:rPr>
        <w:t xml:space="preserve"> (EC) </w:t>
      </w:r>
      <w:proofErr w:type="spellStart"/>
      <w:r w:rsidRPr="00A937CC">
        <w:rPr>
          <w:sz w:val="24"/>
          <w:lang w:val="el-GR"/>
        </w:rPr>
        <w:t>No</w:t>
      </w:r>
      <w:proofErr w:type="spellEnd"/>
      <w:r w:rsidRPr="00A937CC">
        <w:rPr>
          <w:sz w:val="24"/>
          <w:lang w:val="el-GR"/>
        </w:rPr>
        <w:t> 1829/2003 (</w:t>
      </w:r>
      <w:proofErr w:type="spellStart"/>
      <w:r w:rsidRPr="00A937CC">
        <w:rPr>
          <w:sz w:val="24"/>
          <w:lang w:val="el-GR"/>
        </w:rPr>
        <w:t>dossier</w:t>
      </w:r>
      <w:proofErr w:type="spellEnd"/>
      <w:r w:rsidRPr="00A937CC">
        <w:rPr>
          <w:sz w:val="24"/>
          <w:lang w:val="el-GR"/>
        </w:rPr>
        <w:t xml:space="preserve"> GMFF-2022-3670), EFSA Journal, 2024;22(4):8716, (Επιστημονική γνώμη ομάδας της EFSA σχετικά με την αξιολόγηση του γενετικώς τροποποιημένου αραβοσίτου MON 89034 × 1507 × NK603 για ανανέωση της έγκρισης με βάση τον κανονισμό (ΕΚ) αριθ. </w:t>
      </w:r>
      <w:r w:rsidRPr="00A937CC">
        <w:rPr>
          <w:sz w:val="24"/>
          <w:lang w:val="el-GR"/>
        </w:rPr>
        <w:t xml:space="preserve">1829/2003 [φάκελος GMFF-2022-3670]) </w:t>
      </w:r>
      <w:hyperlink r:id="rId4" w:history="1">
        <w:r w:rsidRPr="00A937CC">
          <w:rPr>
            <w:rStyle w:val="Hyperlink"/>
            <w:sz w:val="24"/>
            <w:lang w:val="el-GR"/>
          </w:rPr>
          <w:t>https://doi.org/10.2903/j.efsa.2024.8716</w:t>
        </w:r>
      </w:hyperlink>
      <w:r w:rsidR="00F96B5D">
        <w:rPr>
          <w:rStyle w:val="Hyperlink"/>
          <w:sz w:val="24"/>
          <w:lang w:val="el-GR"/>
        </w:rPr>
        <w:t>.</w:t>
      </w:r>
    </w:p>
  </w:footnote>
  <w:footnote w:id="5">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color w:val="000000" w:themeColor="text1"/>
          <w:sz w:val="24"/>
          <w:lang w:val="el-GR"/>
        </w:rPr>
        <w:t xml:space="preserve"> </w:t>
      </w:r>
      <w:r w:rsidR="00A937CC" w:rsidRPr="00A937CC">
        <w:rPr>
          <w:color w:val="000000" w:themeColor="text1"/>
          <w:sz w:val="24"/>
          <w:lang w:val="el-GR"/>
        </w:rPr>
        <w:tab/>
      </w:r>
      <w:r w:rsidRPr="00A937CC">
        <w:rPr>
          <w:color w:val="000000" w:themeColor="text1"/>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p>
  </w:footnote>
  <w:footnote w:id="6">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1981/2006 (ΕΕ L 157 της 8.6.2013, σ. </w:t>
      </w:r>
      <w:r w:rsidRPr="00A937CC">
        <w:rPr>
          <w:sz w:val="24"/>
          <w:lang w:val="el-GR"/>
        </w:rPr>
        <w:t xml:space="preserve">1, ELI: </w:t>
      </w:r>
      <w:hyperlink r:id="rId5" w:history="1">
        <w:r w:rsidR="00F96B5D" w:rsidRPr="004D655F">
          <w:rPr>
            <w:rStyle w:val="Hyperlink"/>
            <w:sz w:val="24"/>
            <w:lang w:val="el-GR"/>
          </w:rPr>
          <w:t>http://data.europa.eu/eli/reg_impl/2013/503/oj</w:t>
        </w:r>
      </w:hyperlink>
      <w:r w:rsidR="00F96B5D">
        <w:rPr>
          <w:sz w:val="24"/>
          <w:lang w:val="el-GR"/>
        </w:rPr>
        <w:t>.</w:t>
      </w:r>
    </w:p>
  </w:footnote>
  <w:footnote w:id="7">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Βλ., για παράδειγμα, </w:t>
      </w:r>
      <w:proofErr w:type="spellStart"/>
      <w:r w:rsidRPr="00A937CC">
        <w:rPr>
          <w:sz w:val="24"/>
          <w:lang w:val="el-GR"/>
        </w:rPr>
        <w:t>Schulz</w:t>
      </w:r>
      <w:proofErr w:type="spellEnd"/>
      <w:r w:rsidRPr="00A937CC">
        <w:rPr>
          <w:sz w:val="24"/>
          <w:lang w:val="el-GR"/>
        </w:rPr>
        <w:t xml:space="preserve">, R., </w:t>
      </w:r>
      <w:proofErr w:type="spellStart"/>
      <w:r w:rsidRPr="00A937CC">
        <w:rPr>
          <w:sz w:val="24"/>
          <w:lang w:val="el-GR"/>
        </w:rPr>
        <w:t>Bub</w:t>
      </w:r>
      <w:proofErr w:type="spellEnd"/>
      <w:r w:rsidRPr="00A937CC">
        <w:rPr>
          <w:sz w:val="24"/>
          <w:lang w:val="el-GR"/>
        </w:rPr>
        <w:t xml:space="preserve">, S., </w:t>
      </w:r>
      <w:proofErr w:type="spellStart"/>
      <w:r w:rsidRPr="00A937CC">
        <w:rPr>
          <w:sz w:val="24"/>
          <w:lang w:val="el-GR"/>
        </w:rPr>
        <w:t>Petschick</w:t>
      </w:r>
      <w:proofErr w:type="spellEnd"/>
      <w:r w:rsidRPr="00A937CC">
        <w:rPr>
          <w:sz w:val="24"/>
          <w:lang w:val="el-GR"/>
        </w:rPr>
        <w:t xml:space="preserve">, L., </w:t>
      </w:r>
      <w:proofErr w:type="spellStart"/>
      <w:r w:rsidRPr="00A937CC">
        <w:rPr>
          <w:sz w:val="24"/>
          <w:lang w:val="el-GR"/>
        </w:rPr>
        <w:t>Stehle</w:t>
      </w:r>
      <w:proofErr w:type="spellEnd"/>
      <w:r w:rsidRPr="00A937CC">
        <w:rPr>
          <w:sz w:val="24"/>
          <w:lang w:val="el-GR"/>
        </w:rPr>
        <w:t xml:space="preserve">, S., </w:t>
      </w:r>
      <w:proofErr w:type="spellStart"/>
      <w:r w:rsidRPr="00A937CC">
        <w:rPr>
          <w:sz w:val="24"/>
          <w:lang w:val="el-GR"/>
        </w:rPr>
        <w:t>Wolfram</w:t>
      </w:r>
      <w:proofErr w:type="spellEnd"/>
      <w:r w:rsidRPr="00A937CC">
        <w:rPr>
          <w:sz w:val="24"/>
          <w:lang w:val="el-GR"/>
        </w:rPr>
        <w:t>, J. (2021) «</w:t>
      </w:r>
      <w:proofErr w:type="spellStart"/>
      <w:r w:rsidRPr="00A937CC">
        <w:rPr>
          <w:sz w:val="24"/>
          <w:lang w:val="el-GR"/>
        </w:rPr>
        <w:t>Applied</w:t>
      </w:r>
      <w:proofErr w:type="spellEnd"/>
      <w:r w:rsidRPr="00A937CC">
        <w:rPr>
          <w:sz w:val="24"/>
          <w:lang w:val="el-GR"/>
        </w:rPr>
        <w:t xml:space="preserve"> </w:t>
      </w:r>
      <w:proofErr w:type="spellStart"/>
      <w:r w:rsidRPr="00A937CC">
        <w:rPr>
          <w:sz w:val="24"/>
          <w:lang w:val="el-GR"/>
        </w:rPr>
        <w:t>pesticide</w:t>
      </w:r>
      <w:proofErr w:type="spellEnd"/>
      <w:r w:rsidRPr="00A937CC">
        <w:rPr>
          <w:sz w:val="24"/>
          <w:lang w:val="el-GR"/>
        </w:rPr>
        <w:t xml:space="preserve"> </w:t>
      </w:r>
      <w:proofErr w:type="spellStart"/>
      <w:r w:rsidRPr="00A937CC">
        <w:rPr>
          <w:sz w:val="24"/>
          <w:lang w:val="el-GR"/>
        </w:rPr>
        <w:t>toxicity</w:t>
      </w:r>
      <w:proofErr w:type="spellEnd"/>
      <w:r w:rsidRPr="00A937CC">
        <w:rPr>
          <w:sz w:val="24"/>
          <w:lang w:val="el-GR"/>
        </w:rPr>
        <w:t xml:space="preserve"> </w:t>
      </w:r>
      <w:proofErr w:type="spellStart"/>
      <w:r w:rsidRPr="00A937CC">
        <w:rPr>
          <w:sz w:val="24"/>
          <w:lang w:val="el-GR"/>
        </w:rPr>
        <w:t>shifts</w:t>
      </w:r>
      <w:proofErr w:type="spellEnd"/>
      <w:r w:rsidRPr="00A937CC">
        <w:rPr>
          <w:sz w:val="24"/>
          <w:lang w:val="el-GR"/>
        </w:rPr>
        <w:t xml:space="preserve"> </w:t>
      </w:r>
      <w:proofErr w:type="spellStart"/>
      <w:r w:rsidRPr="00A937CC">
        <w:rPr>
          <w:sz w:val="24"/>
          <w:lang w:val="el-GR"/>
        </w:rPr>
        <w:t>toward</w:t>
      </w:r>
      <w:proofErr w:type="spellEnd"/>
      <w:r w:rsidRPr="00A937CC">
        <w:rPr>
          <w:sz w:val="24"/>
          <w:lang w:val="el-GR"/>
        </w:rPr>
        <w:t xml:space="preserve"> </w:t>
      </w:r>
      <w:proofErr w:type="spellStart"/>
      <w:r w:rsidRPr="00A937CC">
        <w:rPr>
          <w:sz w:val="24"/>
          <w:lang w:val="el-GR"/>
        </w:rPr>
        <w:t>plants</w:t>
      </w:r>
      <w:proofErr w:type="spellEnd"/>
      <w:r w:rsidRPr="00A937CC">
        <w:rPr>
          <w:sz w:val="24"/>
          <w:lang w:val="el-GR"/>
        </w:rPr>
        <w:t xml:space="preserve"> and </w:t>
      </w:r>
      <w:proofErr w:type="spellStart"/>
      <w:r w:rsidRPr="00A937CC">
        <w:rPr>
          <w:sz w:val="24"/>
          <w:lang w:val="el-GR"/>
        </w:rPr>
        <w:t>invertebrates</w:t>
      </w:r>
      <w:proofErr w:type="spellEnd"/>
      <w:r w:rsidRPr="00A937CC">
        <w:rPr>
          <w:sz w:val="24"/>
          <w:lang w:val="el-GR"/>
        </w:rPr>
        <w:t xml:space="preserve">, </w:t>
      </w:r>
      <w:proofErr w:type="spellStart"/>
      <w:r w:rsidRPr="00A937CC">
        <w:rPr>
          <w:sz w:val="24"/>
          <w:lang w:val="el-GR"/>
        </w:rPr>
        <w:t>even</w:t>
      </w:r>
      <w:proofErr w:type="spellEnd"/>
      <w:r w:rsidRPr="00A937CC">
        <w:rPr>
          <w:sz w:val="24"/>
          <w:lang w:val="el-GR"/>
        </w:rPr>
        <w:t xml:space="preserve"> in GM </w:t>
      </w:r>
      <w:proofErr w:type="spellStart"/>
      <w:r w:rsidRPr="00A937CC">
        <w:rPr>
          <w:sz w:val="24"/>
          <w:lang w:val="el-GR"/>
        </w:rPr>
        <w:t>crops</w:t>
      </w:r>
      <w:proofErr w:type="spellEnd"/>
      <w:r w:rsidRPr="00A937CC">
        <w:rPr>
          <w:sz w:val="24"/>
          <w:lang w:val="el-GR"/>
        </w:rPr>
        <w:t xml:space="preserve">», </w:t>
      </w:r>
      <w:proofErr w:type="spellStart"/>
      <w:r w:rsidRPr="00A937CC">
        <w:rPr>
          <w:sz w:val="24"/>
          <w:lang w:val="el-GR"/>
        </w:rPr>
        <w:t>Science</w:t>
      </w:r>
      <w:proofErr w:type="spellEnd"/>
      <w:r w:rsidRPr="00A937CC">
        <w:rPr>
          <w:sz w:val="24"/>
          <w:lang w:val="el-GR"/>
        </w:rPr>
        <w:t xml:space="preserve"> 372 (6537), σ. </w:t>
      </w:r>
      <w:r w:rsidRPr="00A937CC">
        <w:rPr>
          <w:sz w:val="24"/>
          <w:lang w:val="el-GR"/>
        </w:rPr>
        <w:t xml:space="preserve">81-84, </w:t>
      </w:r>
      <w:hyperlink r:id="rId6" w:history="1">
        <w:r w:rsidRPr="00A937CC">
          <w:rPr>
            <w:rStyle w:val="Hyperlink"/>
            <w:sz w:val="24"/>
            <w:lang w:val="el-GR"/>
          </w:rPr>
          <w:t>https://doi.org/10.1126/science.abe1148</w:t>
        </w:r>
      </w:hyperlink>
      <w:r w:rsidRPr="00A937CC">
        <w:rPr>
          <w:sz w:val="24"/>
          <w:lang w:val="el-GR"/>
        </w:rPr>
        <w:t xml:space="preserve">· </w:t>
      </w:r>
      <w:proofErr w:type="spellStart"/>
      <w:r w:rsidRPr="00A937CC">
        <w:rPr>
          <w:sz w:val="24"/>
          <w:lang w:val="el-GR"/>
        </w:rPr>
        <w:t>Bonny</w:t>
      </w:r>
      <w:proofErr w:type="spellEnd"/>
      <w:r w:rsidRPr="00A937CC">
        <w:rPr>
          <w:sz w:val="24"/>
          <w:lang w:val="el-GR"/>
        </w:rPr>
        <w:t>, S., ‘</w:t>
      </w:r>
      <w:proofErr w:type="spellStart"/>
      <w:r w:rsidRPr="00A937CC">
        <w:rPr>
          <w:sz w:val="24"/>
          <w:lang w:val="el-GR"/>
        </w:rPr>
        <w:t>Genetically</w:t>
      </w:r>
      <w:proofErr w:type="spellEnd"/>
      <w:r w:rsidRPr="00A937CC">
        <w:rPr>
          <w:sz w:val="24"/>
          <w:lang w:val="el-GR"/>
        </w:rPr>
        <w:t xml:space="preserve"> </w:t>
      </w:r>
      <w:proofErr w:type="spellStart"/>
      <w:r w:rsidRPr="00A937CC">
        <w:rPr>
          <w:sz w:val="24"/>
          <w:lang w:val="el-GR"/>
        </w:rPr>
        <w:t>Modified</w:t>
      </w:r>
      <w:proofErr w:type="spellEnd"/>
      <w:r w:rsidRPr="00A937CC">
        <w:rPr>
          <w:sz w:val="24"/>
          <w:lang w:val="el-GR"/>
        </w:rPr>
        <w:t xml:space="preserve"> </w:t>
      </w:r>
      <w:proofErr w:type="spellStart"/>
      <w:r w:rsidRPr="00A937CC">
        <w:rPr>
          <w:sz w:val="24"/>
          <w:lang w:val="el-GR"/>
        </w:rPr>
        <w:t>Herbicide-Tolerant</w:t>
      </w:r>
      <w:proofErr w:type="spellEnd"/>
      <w:r w:rsidRPr="00A937CC">
        <w:rPr>
          <w:sz w:val="24"/>
          <w:lang w:val="el-GR"/>
        </w:rPr>
        <w:t xml:space="preserve"> </w:t>
      </w:r>
      <w:proofErr w:type="spellStart"/>
      <w:r w:rsidRPr="00A937CC">
        <w:rPr>
          <w:sz w:val="24"/>
          <w:lang w:val="el-GR"/>
        </w:rPr>
        <w:t>Crops</w:t>
      </w:r>
      <w:proofErr w:type="spellEnd"/>
      <w:r w:rsidRPr="00A937CC">
        <w:rPr>
          <w:sz w:val="24"/>
          <w:lang w:val="el-GR"/>
        </w:rPr>
        <w:t xml:space="preserve">, </w:t>
      </w:r>
      <w:proofErr w:type="spellStart"/>
      <w:r w:rsidRPr="00A937CC">
        <w:rPr>
          <w:sz w:val="24"/>
          <w:lang w:val="el-GR"/>
        </w:rPr>
        <w:t>Weeds</w:t>
      </w:r>
      <w:proofErr w:type="spellEnd"/>
      <w:r w:rsidRPr="00A937CC">
        <w:rPr>
          <w:sz w:val="24"/>
          <w:lang w:val="el-GR"/>
        </w:rPr>
        <w:t xml:space="preserve">, and </w:t>
      </w:r>
      <w:proofErr w:type="spellStart"/>
      <w:r w:rsidRPr="00A937CC">
        <w:rPr>
          <w:sz w:val="24"/>
          <w:lang w:val="el-GR"/>
        </w:rPr>
        <w:t>Herbicides</w:t>
      </w:r>
      <w:proofErr w:type="spellEnd"/>
      <w:r w:rsidRPr="00A937CC">
        <w:rPr>
          <w:sz w:val="24"/>
          <w:lang w:val="el-GR"/>
        </w:rPr>
        <w:t xml:space="preserve">: </w:t>
      </w:r>
      <w:proofErr w:type="spellStart"/>
      <w:r w:rsidRPr="00A937CC">
        <w:rPr>
          <w:sz w:val="24"/>
          <w:lang w:val="el-GR"/>
        </w:rPr>
        <w:t>Overview</w:t>
      </w:r>
      <w:proofErr w:type="spellEnd"/>
      <w:r w:rsidRPr="00A937CC">
        <w:rPr>
          <w:sz w:val="24"/>
          <w:lang w:val="el-GR"/>
        </w:rPr>
        <w:t xml:space="preserve"> and </w:t>
      </w:r>
      <w:proofErr w:type="spellStart"/>
      <w:r w:rsidRPr="00A937CC">
        <w:rPr>
          <w:sz w:val="24"/>
          <w:lang w:val="el-GR"/>
        </w:rPr>
        <w:t>Impact</w:t>
      </w:r>
      <w:proofErr w:type="spellEnd"/>
      <w:r w:rsidRPr="00A937CC">
        <w:rPr>
          <w:sz w:val="24"/>
          <w:lang w:val="el-GR"/>
        </w:rPr>
        <w:t xml:space="preserve">’, </w:t>
      </w:r>
      <w:proofErr w:type="spellStart"/>
      <w:r w:rsidRPr="00A937CC">
        <w:rPr>
          <w:sz w:val="24"/>
          <w:lang w:val="el-GR"/>
        </w:rPr>
        <w:t>Environmental</w:t>
      </w:r>
      <w:proofErr w:type="spellEnd"/>
      <w:r w:rsidRPr="00A937CC">
        <w:rPr>
          <w:sz w:val="24"/>
          <w:lang w:val="el-GR"/>
        </w:rPr>
        <w:t xml:space="preserve"> </w:t>
      </w:r>
      <w:proofErr w:type="spellStart"/>
      <w:r w:rsidRPr="00A937CC">
        <w:rPr>
          <w:sz w:val="24"/>
          <w:lang w:val="el-GR"/>
        </w:rPr>
        <w:t>Management</w:t>
      </w:r>
      <w:proofErr w:type="spellEnd"/>
      <w:r w:rsidRPr="00A937CC">
        <w:rPr>
          <w:sz w:val="24"/>
          <w:lang w:val="el-GR"/>
        </w:rPr>
        <w:t xml:space="preserve">, Ιανουάριος 2016;57(1), σ. 31-48, </w:t>
      </w:r>
      <w:hyperlink r:id="rId7" w:history="1">
        <w:r w:rsidRPr="00A937CC">
          <w:rPr>
            <w:rStyle w:val="Hyperlink"/>
            <w:sz w:val="24"/>
            <w:lang w:val="el-GR"/>
          </w:rPr>
          <w:t>https://www.ncbi.nlm.nih.gov/pubmed/26296738</w:t>
        </w:r>
      </w:hyperlink>
      <w:r w:rsidRPr="00A937CC">
        <w:rPr>
          <w:rStyle w:val="Hyperlink"/>
          <w:sz w:val="24"/>
          <w:lang w:val="el-GR"/>
        </w:rPr>
        <w:t>·</w:t>
      </w:r>
      <w:r w:rsidRPr="00A937CC">
        <w:rPr>
          <w:sz w:val="24"/>
          <w:lang w:val="el-GR"/>
        </w:rPr>
        <w:t xml:space="preserve"> και </w:t>
      </w:r>
      <w:proofErr w:type="spellStart"/>
      <w:r w:rsidRPr="00A937CC">
        <w:rPr>
          <w:sz w:val="24"/>
          <w:lang w:val="el-GR"/>
        </w:rPr>
        <w:t>Benbrook</w:t>
      </w:r>
      <w:proofErr w:type="spellEnd"/>
      <w:r w:rsidRPr="00A937CC">
        <w:rPr>
          <w:sz w:val="24"/>
          <w:lang w:val="el-GR"/>
        </w:rPr>
        <w:t>, C. M., «</w:t>
      </w:r>
      <w:proofErr w:type="spellStart"/>
      <w:r w:rsidRPr="00A937CC">
        <w:rPr>
          <w:sz w:val="24"/>
          <w:lang w:val="el-GR"/>
        </w:rPr>
        <w:t>Impacts</w:t>
      </w:r>
      <w:proofErr w:type="spellEnd"/>
      <w:r w:rsidRPr="00A937CC">
        <w:rPr>
          <w:sz w:val="24"/>
          <w:lang w:val="el-GR"/>
        </w:rPr>
        <w:t xml:space="preserve"> of </w:t>
      </w:r>
      <w:proofErr w:type="spellStart"/>
      <w:r w:rsidRPr="00A937CC">
        <w:rPr>
          <w:sz w:val="24"/>
          <w:lang w:val="el-GR"/>
        </w:rPr>
        <w:t>genetically</w:t>
      </w:r>
      <w:proofErr w:type="spellEnd"/>
      <w:r w:rsidRPr="00A937CC">
        <w:rPr>
          <w:sz w:val="24"/>
          <w:lang w:val="el-GR"/>
        </w:rPr>
        <w:t xml:space="preserve"> </w:t>
      </w:r>
      <w:proofErr w:type="spellStart"/>
      <w:r w:rsidRPr="00A937CC">
        <w:rPr>
          <w:sz w:val="24"/>
          <w:lang w:val="el-GR"/>
        </w:rPr>
        <w:t>engineered</w:t>
      </w:r>
      <w:proofErr w:type="spellEnd"/>
      <w:r w:rsidRPr="00A937CC">
        <w:rPr>
          <w:sz w:val="24"/>
          <w:lang w:val="el-GR"/>
        </w:rPr>
        <w:t xml:space="preserve"> </w:t>
      </w:r>
      <w:proofErr w:type="spellStart"/>
      <w:r w:rsidRPr="00A937CC">
        <w:rPr>
          <w:sz w:val="24"/>
          <w:lang w:val="el-GR"/>
        </w:rPr>
        <w:t>crops</w:t>
      </w:r>
      <w:proofErr w:type="spellEnd"/>
      <w:r w:rsidRPr="00A937CC">
        <w:rPr>
          <w:sz w:val="24"/>
          <w:lang w:val="el-GR"/>
        </w:rPr>
        <w:t xml:space="preserve"> on </w:t>
      </w:r>
      <w:proofErr w:type="spellStart"/>
      <w:r w:rsidRPr="00A937CC">
        <w:rPr>
          <w:sz w:val="24"/>
          <w:lang w:val="el-GR"/>
        </w:rPr>
        <w:t>pesticide</w:t>
      </w:r>
      <w:proofErr w:type="spellEnd"/>
      <w:r w:rsidRPr="00A937CC">
        <w:rPr>
          <w:sz w:val="24"/>
          <w:lang w:val="el-GR"/>
        </w:rPr>
        <w:t xml:space="preserve"> </w:t>
      </w:r>
      <w:proofErr w:type="spellStart"/>
      <w:r w:rsidRPr="00A937CC">
        <w:rPr>
          <w:sz w:val="24"/>
          <w:lang w:val="el-GR"/>
        </w:rPr>
        <w:t>use</w:t>
      </w:r>
      <w:proofErr w:type="spellEnd"/>
      <w:r w:rsidRPr="00A937CC">
        <w:rPr>
          <w:sz w:val="24"/>
          <w:lang w:val="el-GR"/>
        </w:rPr>
        <w:t xml:space="preserve"> in the U.S. - the </w:t>
      </w:r>
      <w:proofErr w:type="spellStart"/>
      <w:r w:rsidRPr="00A937CC">
        <w:rPr>
          <w:sz w:val="24"/>
          <w:lang w:val="el-GR"/>
        </w:rPr>
        <w:t>first</w:t>
      </w:r>
      <w:proofErr w:type="spellEnd"/>
      <w:r w:rsidRPr="00A937CC">
        <w:rPr>
          <w:sz w:val="24"/>
          <w:lang w:val="el-GR"/>
        </w:rPr>
        <w:t xml:space="preserve"> </w:t>
      </w:r>
      <w:proofErr w:type="spellStart"/>
      <w:r w:rsidRPr="00A937CC">
        <w:rPr>
          <w:sz w:val="24"/>
          <w:lang w:val="el-GR"/>
        </w:rPr>
        <w:t>sixteen</w:t>
      </w:r>
      <w:proofErr w:type="spellEnd"/>
      <w:r w:rsidRPr="00A937CC">
        <w:rPr>
          <w:sz w:val="24"/>
          <w:lang w:val="el-GR"/>
        </w:rPr>
        <w:t xml:space="preserve"> </w:t>
      </w:r>
      <w:proofErr w:type="spellStart"/>
      <w:r w:rsidRPr="00A937CC">
        <w:rPr>
          <w:sz w:val="24"/>
          <w:lang w:val="el-GR"/>
        </w:rPr>
        <w:t>years</w:t>
      </w:r>
      <w:proofErr w:type="spellEnd"/>
      <w:r w:rsidRPr="00A937CC">
        <w:rPr>
          <w:sz w:val="24"/>
          <w:lang w:val="el-GR"/>
        </w:rPr>
        <w:t xml:space="preserve">» (Αντίκτυπος των γενετικώς τροποποιημένων καλλιεργειών στη χρήση ζιζανιοκτόνων στις ΗΠΑ – τα πρώτα 16 χρόνια), </w:t>
      </w:r>
      <w:proofErr w:type="spellStart"/>
      <w:r w:rsidRPr="00A937CC">
        <w:rPr>
          <w:sz w:val="24"/>
          <w:lang w:val="el-GR"/>
        </w:rPr>
        <w:t>Environmental</w:t>
      </w:r>
      <w:proofErr w:type="spellEnd"/>
      <w:r w:rsidRPr="00A937CC">
        <w:rPr>
          <w:sz w:val="24"/>
          <w:lang w:val="el-GR"/>
        </w:rPr>
        <w:t xml:space="preserve"> </w:t>
      </w:r>
      <w:proofErr w:type="spellStart"/>
      <w:r w:rsidRPr="00A937CC">
        <w:rPr>
          <w:sz w:val="24"/>
          <w:lang w:val="el-GR"/>
        </w:rPr>
        <w:t>Sciences</w:t>
      </w:r>
      <w:proofErr w:type="spellEnd"/>
      <w:r w:rsidRPr="00A937CC">
        <w:rPr>
          <w:sz w:val="24"/>
          <w:lang w:val="el-GR"/>
        </w:rPr>
        <w:t xml:space="preserve"> Europe, 28 Σεπτεμβρίου 2012, </w:t>
      </w:r>
      <w:proofErr w:type="spellStart"/>
      <w:r w:rsidRPr="00A937CC">
        <w:rPr>
          <w:sz w:val="24"/>
          <w:lang w:val="el-GR"/>
        </w:rPr>
        <w:t>Vol</w:t>
      </w:r>
      <w:proofErr w:type="spellEnd"/>
      <w:r w:rsidRPr="00A937CC">
        <w:rPr>
          <w:sz w:val="24"/>
          <w:lang w:val="el-GR"/>
        </w:rPr>
        <w:t xml:space="preserve">. 24(1), </w:t>
      </w:r>
      <w:hyperlink r:id="rId8" w:history="1">
        <w:r w:rsidRPr="00A937CC">
          <w:rPr>
            <w:rStyle w:val="Hyperlink"/>
            <w:sz w:val="24"/>
            <w:lang w:val="el-GR"/>
          </w:rPr>
          <w:t>https://enveurope.springeropen.com/articles/10.1186/2190-4715-24-24</w:t>
        </w:r>
      </w:hyperlink>
      <w:r w:rsidR="00F96B5D">
        <w:rPr>
          <w:rStyle w:val="Hyperlink"/>
          <w:sz w:val="24"/>
          <w:lang w:val="el-GR"/>
        </w:rPr>
        <w:t>.</w:t>
      </w:r>
    </w:p>
  </w:footnote>
  <w:footnote w:id="8">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Βλ., για παράδειγμα, </w:t>
      </w:r>
      <w:hyperlink r:id="rId9" w:history="1">
        <w:r w:rsidRPr="00A937CC">
          <w:rPr>
            <w:rStyle w:val="Hyperlink"/>
            <w:sz w:val="24"/>
            <w:lang w:val="el-GR"/>
          </w:rPr>
          <w:t>https://www.sciencedirect.com/science/article/pii/S1383574218300887</w:t>
        </w:r>
      </w:hyperlink>
      <w:r w:rsidRPr="00A937CC">
        <w:rPr>
          <w:sz w:val="24"/>
          <w:lang w:val="el-GR"/>
        </w:rPr>
        <w:t xml:space="preserve">, </w:t>
      </w:r>
      <w:hyperlink r:id="rId10" w:history="1">
        <w:r w:rsidRPr="00A937CC">
          <w:rPr>
            <w:rStyle w:val="Hyperlink"/>
            <w:sz w:val="24"/>
            <w:lang w:val="el-GR"/>
          </w:rPr>
          <w:t>https://academic.oup.com/ije/advance-article/doi/10.1093/ije/dyz017/5382278</w:t>
        </w:r>
      </w:hyperlink>
      <w:r w:rsidRPr="00A937CC">
        <w:rPr>
          <w:sz w:val="24"/>
          <w:lang w:val="el-GR"/>
        </w:rPr>
        <w:t xml:space="preserve">, </w:t>
      </w:r>
      <w:hyperlink r:id="rId11" w:history="1">
        <w:r w:rsidRPr="00A937CC">
          <w:rPr>
            <w:rStyle w:val="Hyperlink"/>
            <w:sz w:val="24"/>
            <w:lang w:val="el-GR"/>
          </w:rPr>
          <w:t>https://journals.plos.org/plosone/article?id=10.1371/journal.pone.0219610</w:t>
        </w:r>
      </w:hyperlink>
      <w:r w:rsidRPr="00A937CC">
        <w:rPr>
          <w:sz w:val="24"/>
          <w:lang w:val="el-GR"/>
        </w:rPr>
        <w:t xml:space="preserve">, και </w:t>
      </w:r>
      <w:hyperlink r:id="rId12" w:history="1">
        <w:r w:rsidRPr="00A937CC">
          <w:rPr>
            <w:rStyle w:val="Hyperlink"/>
            <w:sz w:val="24"/>
            <w:lang w:val="el-GR"/>
          </w:rPr>
          <w:t>https://www.ncbi.nlm.nih.gov/pmc/articles/PMC6612199/</w:t>
        </w:r>
      </w:hyperlink>
      <w:r w:rsidR="00F96B5D">
        <w:rPr>
          <w:rStyle w:val="Hyperlink"/>
          <w:sz w:val="24"/>
          <w:lang w:val="el-GR"/>
        </w:rPr>
        <w:t>.</w:t>
      </w:r>
    </w:p>
  </w:footnote>
  <w:footnote w:id="9">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Για μια ανασκόπηση, βλ. </w:t>
      </w:r>
      <w:proofErr w:type="spellStart"/>
      <w:r w:rsidRPr="00A937CC">
        <w:rPr>
          <w:sz w:val="24"/>
          <w:lang w:val="el-GR"/>
        </w:rPr>
        <w:t>Rubio-Infante</w:t>
      </w:r>
      <w:proofErr w:type="spellEnd"/>
      <w:r w:rsidRPr="00A937CC">
        <w:rPr>
          <w:sz w:val="24"/>
          <w:lang w:val="el-GR"/>
        </w:rPr>
        <w:t xml:space="preserve">, N., </w:t>
      </w:r>
      <w:proofErr w:type="spellStart"/>
      <w:r w:rsidRPr="00A937CC">
        <w:rPr>
          <w:sz w:val="24"/>
          <w:lang w:val="el-GR"/>
        </w:rPr>
        <w:t>Moreno-Fierros</w:t>
      </w:r>
      <w:proofErr w:type="spellEnd"/>
      <w:r w:rsidRPr="00A937CC">
        <w:rPr>
          <w:sz w:val="24"/>
          <w:lang w:val="el-GR"/>
        </w:rPr>
        <w:t>, L., «</w:t>
      </w:r>
      <w:proofErr w:type="spellStart"/>
      <w:r w:rsidRPr="00A937CC">
        <w:rPr>
          <w:sz w:val="24"/>
          <w:lang w:val="el-GR"/>
        </w:rPr>
        <w:t>An</w:t>
      </w:r>
      <w:proofErr w:type="spellEnd"/>
      <w:r w:rsidRPr="00A937CC">
        <w:rPr>
          <w:sz w:val="24"/>
          <w:lang w:val="el-GR"/>
        </w:rPr>
        <w:t xml:space="preserve"> </w:t>
      </w:r>
      <w:proofErr w:type="spellStart"/>
      <w:r w:rsidRPr="00A937CC">
        <w:rPr>
          <w:sz w:val="24"/>
          <w:lang w:val="el-GR"/>
        </w:rPr>
        <w:t>overview</w:t>
      </w:r>
      <w:proofErr w:type="spellEnd"/>
      <w:r w:rsidRPr="00A937CC">
        <w:rPr>
          <w:sz w:val="24"/>
          <w:lang w:val="el-GR"/>
        </w:rPr>
        <w:t xml:space="preserve"> of the </w:t>
      </w:r>
      <w:proofErr w:type="spellStart"/>
      <w:r w:rsidRPr="00A937CC">
        <w:rPr>
          <w:sz w:val="24"/>
          <w:lang w:val="el-GR"/>
        </w:rPr>
        <w:t>safety</w:t>
      </w:r>
      <w:proofErr w:type="spellEnd"/>
      <w:r w:rsidRPr="00A937CC">
        <w:rPr>
          <w:sz w:val="24"/>
          <w:lang w:val="el-GR"/>
        </w:rPr>
        <w:t xml:space="preserve"> and </w:t>
      </w:r>
      <w:proofErr w:type="spellStart"/>
      <w:r w:rsidRPr="00A937CC">
        <w:rPr>
          <w:sz w:val="24"/>
          <w:lang w:val="el-GR"/>
        </w:rPr>
        <w:t>biological</w:t>
      </w:r>
      <w:proofErr w:type="spellEnd"/>
      <w:r w:rsidRPr="00A937CC">
        <w:rPr>
          <w:sz w:val="24"/>
          <w:lang w:val="el-GR"/>
        </w:rPr>
        <w:t xml:space="preserve"> </w:t>
      </w:r>
      <w:proofErr w:type="spellStart"/>
      <w:r w:rsidRPr="00A937CC">
        <w:rPr>
          <w:sz w:val="24"/>
          <w:lang w:val="el-GR"/>
        </w:rPr>
        <w:t>effects</w:t>
      </w:r>
      <w:proofErr w:type="spellEnd"/>
      <w:r w:rsidRPr="00A937CC">
        <w:rPr>
          <w:sz w:val="24"/>
          <w:lang w:val="el-GR"/>
        </w:rPr>
        <w:t xml:space="preserve"> of </w:t>
      </w:r>
      <w:proofErr w:type="spellStart"/>
      <w:r w:rsidRPr="00A937CC">
        <w:rPr>
          <w:sz w:val="24"/>
          <w:lang w:val="el-GR"/>
        </w:rPr>
        <w:t>Bacillus</w:t>
      </w:r>
      <w:proofErr w:type="spellEnd"/>
      <w:r w:rsidRPr="00A937CC">
        <w:rPr>
          <w:sz w:val="24"/>
          <w:lang w:val="el-GR"/>
        </w:rPr>
        <w:t xml:space="preserve"> </w:t>
      </w:r>
      <w:proofErr w:type="spellStart"/>
      <w:r w:rsidRPr="00A937CC">
        <w:rPr>
          <w:sz w:val="24"/>
          <w:lang w:val="el-GR"/>
        </w:rPr>
        <w:t>thuringiensis</w:t>
      </w:r>
      <w:proofErr w:type="spellEnd"/>
      <w:r w:rsidRPr="00A937CC">
        <w:rPr>
          <w:sz w:val="24"/>
          <w:lang w:val="el-GR"/>
        </w:rPr>
        <w:t xml:space="preserve"> </w:t>
      </w:r>
      <w:proofErr w:type="spellStart"/>
      <w:r w:rsidRPr="00A937CC">
        <w:rPr>
          <w:sz w:val="24"/>
          <w:lang w:val="el-GR"/>
        </w:rPr>
        <w:t>Cry</w:t>
      </w:r>
      <w:proofErr w:type="spellEnd"/>
      <w:r w:rsidRPr="00A937CC">
        <w:rPr>
          <w:sz w:val="24"/>
          <w:lang w:val="el-GR"/>
        </w:rPr>
        <w:t xml:space="preserve"> </w:t>
      </w:r>
      <w:proofErr w:type="spellStart"/>
      <w:r w:rsidRPr="00A937CC">
        <w:rPr>
          <w:sz w:val="24"/>
          <w:lang w:val="el-GR"/>
        </w:rPr>
        <w:t>toxins</w:t>
      </w:r>
      <w:proofErr w:type="spellEnd"/>
      <w:r w:rsidRPr="00A937CC">
        <w:rPr>
          <w:sz w:val="24"/>
          <w:lang w:val="el-GR"/>
        </w:rPr>
        <w:t xml:space="preserve"> in </w:t>
      </w:r>
      <w:proofErr w:type="spellStart"/>
      <w:r w:rsidRPr="00A937CC">
        <w:rPr>
          <w:sz w:val="24"/>
          <w:lang w:val="el-GR"/>
        </w:rPr>
        <w:t>mammals</w:t>
      </w:r>
      <w:proofErr w:type="spellEnd"/>
      <w:r w:rsidRPr="00A937CC">
        <w:rPr>
          <w:sz w:val="24"/>
          <w:lang w:val="el-GR"/>
        </w:rPr>
        <w:t xml:space="preserve">» [Μια ανασκόπηση σχετικά με την ασφάλεια και τις βιολογικές επιπτώσεις των τοξινών </w:t>
      </w:r>
      <w:proofErr w:type="spellStart"/>
      <w:r w:rsidRPr="00A937CC">
        <w:rPr>
          <w:sz w:val="24"/>
          <w:lang w:val="el-GR"/>
        </w:rPr>
        <w:t>Cry</w:t>
      </w:r>
      <w:proofErr w:type="spellEnd"/>
      <w:r w:rsidRPr="00A937CC">
        <w:rPr>
          <w:sz w:val="24"/>
          <w:lang w:val="el-GR"/>
        </w:rPr>
        <w:t xml:space="preserve"> του </w:t>
      </w:r>
      <w:proofErr w:type="spellStart"/>
      <w:r w:rsidRPr="00A937CC">
        <w:rPr>
          <w:sz w:val="24"/>
          <w:lang w:val="el-GR"/>
        </w:rPr>
        <w:t>Bacillus</w:t>
      </w:r>
      <w:proofErr w:type="spellEnd"/>
      <w:r w:rsidRPr="00A937CC">
        <w:rPr>
          <w:sz w:val="24"/>
          <w:lang w:val="el-GR"/>
        </w:rPr>
        <w:t xml:space="preserve"> </w:t>
      </w:r>
      <w:proofErr w:type="spellStart"/>
      <w:r w:rsidRPr="00A937CC">
        <w:rPr>
          <w:sz w:val="24"/>
          <w:lang w:val="el-GR"/>
        </w:rPr>
        <w:t>thuringiensis</w:t>
      </w:r>
      <w:proofErr w:type="spellEnd"/>
      <w:r w:rsidRPr="00A937CC">
        <w:rPr>
          <w:sz w:val="24"/>
          <w:lang w:val="el-GR"/>
        </w:rPr>
        <w:t xml:space="preserve"> στα θηλαστικά], Journal of </w:t>
      </w:r>
      <w:proofErr w:type="spellStart"/>
      <w:r w:rsidRPr="00A937CC">
        <w:rPr>
          <w:sz w:val="24"/>
          <w:lang w:val="el-GR"/>
        </w:rPr>
        <w:t>Applied</w:t>
      </w:r>
      <w:proofErr w:type="spellEnd"/>
      <w:r w:rsidRPr="00A937CC">
        <w:rPr>
          <w:sz w:val="24"/>
          <w:lang w:val="el-GR"/>
        </w:rPr>
        <w:t xml:space="preserve"> </w:t>
      </w:r>
      <w:proofErr w:type="spellStart"/>
      <w:r w:rsidRPr="00A937CC">
        <w:rPr>
          <w:sz w:val="24"/>
          <w:lang w:val="el-GR"/>
        </w:rPr>
        <w:t>Toxicology</w:t>
      </w:r>
      <w:proofErr w:type="spellEnd"/>
      <w:r w:rsidRPr="00A937CC">
        <w:rPr>
          <w:sz w:val="24"/>
          <w:lang w:val="el-GR"/>
        </w:rPr>
        <w:t xml:space="preserve">, Μάιος 2016, 36,5, σ. </w:t>
      </w:r>
      <w:r w:rsidRPr="00A937CC">
        <w:rPr>
          <w:sz w:val="24"/>
          <w:lang w:val="el-GR"/>
        </w:rPr>
        <w:t xml:space="preserve">630-648, </w:t>
      </w:r>
      <w:hyperlink r:id="rId13" w:history="1">
        <w:r w:rsidRPr="00A937CC">
          <w:rPr>
            <w:rStyle w:val="Hyperlink"/>
            <w:sz w:val="24"/>
            <w:lang w:val="el-GR"/>
          </w:rPr>
          <w:t>https://onlinelibrary.wiley.com/doi/full/10.1002/jat.3252</w:t>
        </w:r>
      </w:hyperlink>
      <w:r w:rsidR="00F96B5D">
        <w:rPr>
          <w:rStyle w:val="Hyperlink"/>
          <w:sz w:val="24"/>
          <w:lang w:val="el-GR"/>
        </w:rPr>
        <w:t>.</w:t>
      </w:r>
    </w:p>
  </w:footnote>
  <w:footnote w:id="10">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hyperlink r:id="rId14" w:history="1">
        <w:r w:rsidRPr="00A937CC">
          <w:rPr>
            <w:rStyle w:val="Hyperlink"/>
            <w:sz w:val="24"/>
            <w:lang w:val="el-GR"/>
          </w:rPr>
          <w:t>https://www.sciencedirect.com/science/article/pii/S0278691516300722?via%3Dihub</w:t>
        </w:r>
      </w:hyperlink>
      <w:r w:rsidR="00F96B5D">
        <w:rPr>
          <w:rStyle w:val="Hyperlink"/>
          <w:sz w:val="24"/>
          <w:lang w:val="el-GR"/>
        </w:rPr>
        <w:t>.</w:t>
      </w:r>
    </w:p>
  </w:footnote>
  <w:footnote w:id="11">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Βλ., για παράδειγμα, </w:t>
      </w:r>
      <w:proofErr w:type="spellStart"/>
      <w:r w:rsidRPr="00A937CC">
        <w:rPr>
          <w:sz w:val="24"/>
          <w:lang w:val="el-GR"/>
        </w:rPr>
        <w:t>Hilbeck</w:t>
      </w:r>
      <w:proofErr w:type="spellEnd"/>
      <w:r w:rsidRPr="00A937CC">
        <w:rPr>
          <w:sz w:val="24"/>
          <w:lang w:val="el-GR"/>
        </w:rPr>
        <w:t xml:space="preserve">, A., </w:t>
      </w:r>
      <w:proofErr w:type="spellStart"/>
      <w:r w:rsidRPr="00A937CC">
        <w:rPr>
          <w:sz w:val="24"/>
          <w:lang w:val="el-GR"/>
        </w:rPr>
        <w:t>Otto</w:t>
      </w:r>
      <w:proofErr w:type="spellEnd"/>
      <w:r w:rsidRPr="00A937CC">
        <w:rPr>
          <w:sz w:val="24"/>
          <w:lang w:val="el-GR"/>
        </w:rPr>
        <w:t xml:space="preserve">, M. </w:t>
      </w:r>
      <w:r w:rsidRPr="00A937CC">
        <w:rPr>
          <w:sz w:val="24"/>
          <w:lang w:val="el-GR"/>
        </w:rPr>
        <w:t>«</w:t>
      </w:r>
      <w:proofErr w:type="spellStart"/>
      <w:r w:rsidRPr="00A937CC">
        <w:rPr>
          <w:sz w:val="24"/>
          <w:lang w:val="el-GR"/>
        </w:rPr>
        <w:t>Specificity</w:t>
      </w:r>
      <w:proofErr w:type="spellEnd"/>
      <w:r w:rsidRPr="00A937CC">
        <w:rPr>
          <w:sz w:val="24"/>
          <w:lang w:val="el-GR"/>
        </w:rPr>
        <w:t xml:space="preserve"> and </w:t>
      </w:r>
      <w:proofErr w:type="spellStart"/>
      <w:r w:rsidRPr="00A937CC">
        <w:rPr>
          <w:sz w:val="24"/>
          <w:lang w:val="el-GR"/>
        </w:rPr>
        <w:t>combinatorial</w:t>
      </w:r>
      <w:proofErr w:type="spellEnd"/>
      <w:r w:rsidRPr="00A937CC">
        <w:rPr>
          <w:sz w:val="24"/>
          <w:lang w:val="el-GR"/>
        </w:rPr>
        <w:t xml:space="preserve"> </w:t>
      </w:r>
      <w:proofErr w:type="spellStart"/>
      <w:r w:rsidRPr="00A937CC">
        <w:rPr>
          <w:sz w:val="24"/>
          <w:lang w:val="el-GR"/>
        </w:rPr>
        <w:t>effects</w:t>
      </w:r>
      <w:proofErr w:type="spellEnd"/>
      <w:r w:rsidRPr="00A937CC">
        <w:rPr>
          <w:sz w:val="24"/>
          <w:lang w:val="el-GR"/>
        </w:rPr>
        <w:t xml:space="preserve"> of </w:t>
      </w:r>
      <w:proofErr w:type="spellStart"/>
      <w:r w:rsidRPr="00A937CC">
        <w:rPr>
          <w:sz w:val="24"/>
          <w:lang w:val="el-GR"/>
        </w:rPr>
        <w:t>Bacillus</w:t>
      </w:r>
      <w:proofErr w:type="spellEnd"/>
      <w:r w:rsidRPr="00A937CC">
        <w:rPr>
          <w:sz w:val="24"/>
          <w:lang w:val="el-GR"/>
        </w:rPr>
        <w:t xml:space="preserve"> </w:t>
      </w:r>
      <w:proofErr w:type="spellStart"/>
      <w:r w:rsidRPr="00A937CC">
        <w:rPr>
          <w:sz w:val="24"/>
          <w:lang w:val="el-GR"/>
        </w:rPr>
        <w:t>thuringiensis</w:t>
      </w:r>
      <w:proofErr w:type="spellEnd"/>
      <w:r w:rsidRPr="00A937CC">
        <w:rPr>
          <w:sz w:val="24"/>
          <w:lang w:val="el-GR"/>
        </w:rPr>
        <w:t xml:space="preserve"> </w:t>
      </w:r>
      <w:proofErr w:type="spellStart"/>
      <w:r w:rsidRPr="00A937CC">
        <w:rPr>
          <w:sz w:val="24"/>
          <w:lang w:val="el-GR"/>
        </w:rPr>
        <w:t>Cry</w:t>
      </w:r>
      <w:proofErr w:type="spellEnd"/>
      <w:r w:rsidRPr="00A937CC">
        <w:rPr>
          <w:sz w:val="24"/>
          <w:lang w:val="el-GR"/>
        </w:rPr>
        <w:t xml:space="preserve"> </w:t>
      </w:r>
      <w:proofErr w:type="spellStart"/>
      <w:r w:rsidRPr="00A937CC">
        <w:rPr>
          <w:sz w:val="24"/>
          <w:lang w:val="el-GR"/>
        </w:rPr>
        <w:t>toxins</w:t>
      </w:r>
      <w:proofErr w:type="spellEnd"/>
      <w:r w:rsidRPr="00A937CC">
        <w:rPr>
          <w:sz w:val="24"/>
          <w:lang w:val="el-GR"/>
        </w:rPr>
        <w:t xml:space="preserve"> in the </w:t>
      </w:r>
      <w:proofErr w:type="spellStart"/>
      <w:r w:rsidRPr="00A937CC">
        <w:rPr>
          <w:sz w:val="24"/>
          <w:lang w:val="el-GR"/>
        </w:rPr>
        <w:t>context</w:t>
      </w:r>
      <w:proofErr w:type="spellEnd"/>
      <w:r w:rsidRPr="00A937CC">
        <w:rPr>
          <w:sz w:val="24"/>
          <w:lang w:val="el-GR"/>
        </w:rPr>
        <w:t xml:space="preserve"> of GMO </w:t>
      </w:r>
      <w:proofErr w:type="spellStart"/>
      <w:r w:rsidRPr="00A937CC">
        <w:rPr>
          <w:sz w:val="24"/>
          <w:lang w:val="el-GR"/>
        </w:rPr>
        <w:t>environmental</w:t>
      </w:r>
      <w:proofErr w:type="spellEnd"/>
      <w:r w:rsidRPr="00A937CC">
        <w:rPr>
          <w:sz w:val="24"/>
          <w:lang w:val="el-GR"/>
        </w:rPr>
        <w:t xml:space="preserve"> </w:t>
      </w:r>
      <w:proofErr w:type="spellStart"/>
      <w:r w:rsidRPr="00A937CC">
        <w:rPr>
          <w:sz w:val="24"/>
          <w:lang w:val="el-GR"/>
        </w:rPr>
        <w:t>risk</w:t>
      </w:r>
      <w:proofErr w:type="spellEnd"/>
      <w:r w:rsidRPr="00A937CC">
        <w:rPr>
          <w:sz w:val="24"/>
          <w:lang w:val="el-GR"/>
        </w:rPr>
        <w:t xml:space="preserve"> </w:t>
      </w:r>
      <w:proofErr w:type="spellStart"/>
      <w:r w:rsidRPr="00A937CC">
        <w:rPr>
          <w:sz w:val="24"/>
          <w:lang w:val="el-GR"/>
        </w:rPr>
        <w:t>assessment</w:t>
      </w:r>
      <w:proofErr w:type="spellEnd"/>
      <w:r w:rsidRPr="00A937CC">
        <w:rPr>
          <w:sz w:val="24"/>
          <w:lang w:val="el-GR"/>
        </w:rPr>
        <w:t xml:space="preserve">» [Ιδιαιτερότητα και συνδυαστικές επιδράσεις τοξινών </w:t>
      </w:r>
      <w:proofErr w:type="spellStart"/>
      <w:r w:rsidRPr="00A937CC">
        <w:rPr>
          <w:sz w:val="24"/>
          <w:lang w:val="el-GR"/>
        </w:rPr>
        <w:t>Cry</w:t>
      </w:r>
      <w:proofErr w:type="spellEnd"/>
      <w:r w:rsidRPr="00A937CC">
        <w:rPr>
          <w:sz w:val="24"/>
          <w:lang w:val="el-GR"/>
        </w:rPr>
        <w:t xml:space="preserve"> του </w:t>
      </w:r>
      <w:proofErr w:type="spellStart"/>
      <w:r w:rsidRPr="00A937CC">
        <w:rPr>
          <w:sz w:val="24"/>
          <w:lang w:val="el-GR"/>
        </w:rPr>
        <w:t>Bacillus</w:t>
      </w:r>
      <w:proofErr w:type="spellEnd"/>
      <w:r w:rsidRPr="00A937CC">
        <w:rPr>
          <w:sz w:val="24"/>
          <w:lang w:val="el-GR"/>
        </w:rPr>
        <w:t xml:space="preserve"> </w:t>
      </w:r>
      <w:proofErr w:type="spellStart"/>
      <w:r w:rsidRPr="00A937CC">
        <w:rPr>
          <w:sz w:val="24"/>
          <w:lang w:val="el-GR"/>
        </w:rPr>
        <w:t>thuringiensis</w:t>
      </w:r>
      <w:proofErr w:type="spellEnd"/>
      <w:r w:rsidRPr="00A937CC">
        <w:rPr>
          <w:sz w:val="24"/>
          <w:lang w:val="el-GR"/>
        </w:rPr>
        <w:t xml:space="preserve"> στο πλαίσιο αξιολόγησης κινδύνου ΓΤΟ], </w:t>
      </w:r>
      <w:proofErr w:type="spellStart"/>
      <w:r w:rsidRPr="00A937CC">
        <w:rPr>
          <w:sz w:val="24"/>
          <w:lang w:val="el-GR"/>
        </w:rPr>
        <w:t>Frontiers</w:t>
      </w:r>
      <w:proofErr w:type="spellEnd"/>
      <w:r w:rsidRPr="00A937CC">
        <w:rPr>
          <w:sz w:val="24"/>
          <w:lang w:val="el-GR"/>
        </w:rPr>
        <w:t xml:space="preserve"> in </w:t>
      </w:r>
      <w:proofErr w:type="spellStart"/>
      <w:r w:rsidRPr="00A937CC">
        <w:rPr>
          <w:sz w:val="24"/>
          <w:lang w:val="el-GR"/>
        </w:rPr>
        <w:t>Environmental</w:t>
      </w:r>
      <w:proofErr w:type="spellEnd"/>
      <w:r w:rsidRPr="00A937CC">
        <w:rPr>
          <w:sz w:val="24"/>
          <w:lang w:val="el-GR"/>
        </w:rPr>
        <w:t xml:space="preserve"> </w:t>
      </w:r>
      <w:proofErr w:type="spellStart"/>
      <w:r w:rsidRPr="00A937CC">
        <w:rPr>
          <w:sz w:val="24"/>
          <w:lang w:val="el-GR"/>
        </w:rPr>
        <w:t>Science</w:t>
      </w:r>
      <w:proofErr w:type="spellEnd"/>
      <w:r w:rsidRPr="00A937CC">
        <w:rPr>
          <w:sz w:val="24"/>
          <w:lang w:val="el-GR"/>
        </w:rPr>
        <w:t xml:space="preserve"> 2015, 3:71, </w:t>
      </w:r>
      <w:hyperlink r:id="rId15" w:history="1">
        <w:r w:rsidRPr="00A937CC">
          <w:rPr>
            <w:rStyle w:val="Hyperlink"/>
            <w:sz w:val="24"/>
            <w:lang w:val="el-GR"/>
          </w:rPr>
          <w:t>https://doi.org/10.3389/fenvs.2015.00071</w:t>
        </w:r>
      </w:hyperlink>
      <w:r w:rsidRPr="00A937CC">
        <w:rPr>
          <w:rStyle w:val="Hyperlink"/>
          <w:sz w:val="24"/>
          <w:lang w:val="el-GR"/>
        </w:rPr>
        <w:t>.</w:t>
      </w:r>
    </w:p>
  </w:footnote>
  <w:footnote w:id="12">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hyperlink r:id="rId16" w:history="1">
        <w:r w:rsidRPr="00A937CC">
          <w:rPr>
            <w:rStyle w:val="Hyperlink"/>
            <w:sz w:val="24"/>
            <w:lang w:val="el-GR"/>
          </w:rPr>
          <w:t>https://efsa.onlinelibrary.wiley.com/action/downloadSupplement?doi=10.2903%2Fj.‌efsa.2024.8716&amp;file=efs28716-sup-0012-Annex8.pdf</w:t>
        </w:r>
      </w:hyperlink>
      <w:r w:rsidR="00F96B5D">
        <w:rPr>
          <w:rStyle w:val="Hyperlink"/>
          <w:sz w:val="24"/>
          <w:lang w:val="el-GR"/>
        </w:rPr>
        <w:t>.</w:t>
      </w:r>
    </w:p>
  </w:footnote>
  <w:footnote w:id="13">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«Στρατηγικός διάλογος για το μέλλον της γεωργίας της ΕΕ – Μια κοινή προοπτική για τη γεωργία και τα τρόφιμα στην Ευρώπη», Σεπτέμβριος 2024, </w:t>
      </w:r>
      <w:hyperlink r:id="rId17" w:history="1">
        <w:r w:rsidRPr="00A937CC">
          <w:rPr>
            <w:rStyle w:val="Hyperlink"/>
            <w:sz w:val="24"/>
            <w:lang w:val="el-GR"/>
          </w:rPr>
          <w:t>https://agriculture.ec.europa.eu/document/download/171329ff-0f50-4fa5-946f-aea11032172e_en?filename=strategic-dialogue-report-2024_en.pdf</w:t>
        </w:r>
      </w:hyperlink>
    </w:p>
  </w:footnote>
  <w:footnote w:id="14">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hyperlink r:id="rId18" w:history="1">
        <w:r w:rsidRPr="00A937CC">
          <w:rPr>
            <w:rStyle w:val="Hyperlink"/>
            <w:sz w:val="24"/>
            <w:lang w:val="el-GR"/>
          </w:rPr>
          <w:t>https://www.ohchr.org/en/documents/thematic-reports/ahrc3448-report-special-rapporteur-right-food</w:t>
        </w:r>
      </w:hyperlink>
      <w:r w:rsidRPr="00A937CC">
        <w:rPr>
          <w:sz w:val="24"/>
          <w:lang w:val="el-GR"/>
        </w:rPr>
        <w:t>.</w:t>
      </w:r>
    </w:p>
  </w:footnote>
  <w:footnote w:id="15">
    <w:p w:rsidR="00C034B0" w:rsidRPr="00A937CC" w:rsidRDefault="00C034B0" w:rsidP="00A937CC">
      <w:pPr>
        <w:pStyle w:val="FootnoteText"/>
        <w:ind w:left="567" w:hanging="567"/>
        <w:rPr>
          <w:sz w:val="24"/>
          <w:lang w:val="el-GR"/>
        </w:rPr>
      </w:pPr>
      <w:r w:rsidRPr="00F96B5D">
        <w:rPr>
          <w:rStyle w:val="FootnoteReference"/>
          <w:sz w:val="24"/>
          <w:lang w:val="el-GR"/>
        </w:rPr>
        <w:footnoteRef/>
      </w:r>
      <w:r w:rsidR="00A937CC" w:rsidRPr="009046DD">
        <w:rPr>
          <w:rStyle w:val="Hyperlink"/>
          <w:sz w:val="24"/>
          <w:u w:val="none"/>
          <w:lang w:val="el-GR"/>
        </w:rPr>
        <w:t xml:space="preserve"> </w:t>
      </w:r>
      <w:r w:rsidR="00A937CC" w:rsidRPr="009046DD">
        <w:rPr>
          <w:rStyle w:val="Hyperlink"/>
          <w:sz w:val="24"/>
          <w:u w:val="none"/>
          <w:lang w:val="el-GR"/>
        </w:rPr>
        <w:tab/>
      </w:r>
      <w:r w:rsidRPr="00A937CC">
        <w:rPr>
          <w:rStyle w:val="Hyperlink"/>
          <w:sz w:val="24"/>
          <w:lang w:val="el-GR"/>
        </w:rPr>
        <w:t>https://indicators.report/targets/3-9/</w:t>
      </w:r>
      <w:r w:rsidR="00F96B5D">
        <w:rPr>
          <w:rStyle w:val="Hyperlink"/>
          <w:sz w:val="24"/>
          <w:lang w:val="el-GR"/>
        </w:rPr>
        <w:t>.</w:t>
      </w:r>
    </w:p>
  </w:footnote>
  <w:footnote w:id="16">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hyperlink r:id="rId19" w:history="1">
        <w:r w:rsidRPr="00A937CC">
          <w:rPr>
            <w:rStyle w:val="Hyperlink"/>
            <w:sz w:val="24"/>
            <w:lang w:val="el-GR"/>
          </w:rPr>
          <w:t>https://commission.europa.eu/document/2c64e540-c07a-4376-a1da-368d289f4afe_en?prefLang=el</w:t>
        </w:r>
      </w:hyperlink>
      <w:r w:rsidR="00F96B5D">
        <w:rPr>
          <w:rStyle w:val="Hyperlink"/>
          <w:sz w:val="24"/>
          <w:lang w:val="el-GR"/>
        </w:rPr>
        <w:t>.</w:t>
      </w:r>
    </w:p>
  </w:footnote>
  <w:footnote w:id="17">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18">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A937CC">
        <w:rPr>
          <w:sz w:val="24"/>
          <w:lang w:val="el-GR"/>
        </w:rPr>
        <w:t>1, ELI: </w:t>
      </w:r>
      <w:hyperlink r:id="rId20" w:history="1">
        <w:r w:rsidR="00F96B5D" w:rsidRPr="004D655F">
          <w:rPr>
            <w:rStyle w:val="Hyperlink"/>
            <w:sz w:val="24"/>
            <w:lang w:val="el-GR"/>
          </w:rPr>
          <w:t>http://data.europa.eu/eli/reg/2002/178/oj</w:t>
        </w:r>
      </w:hyperlink>
      <w:r w:rsidRPr="00A937CC">
        <w:rPr>
          <w:sz w:val="24"/>
          <w:lang w:val="el-GR"/>
        </w:rPr>
        <w:t>).</w:t>
      </w:r>
    </w:p>
  </w:footnote>
  <w:footnote w:id="19">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 xml:space="preserve">Τον Δεκέμβριο του 2022 συμφωνήθηκε ένα παγκόσμιο πλαίσιο για τη βιοποικιλότητα στην COP15 της ΣΒΠ των Ηνωμένων Εθνών, το οποίο περιλαμβάνει έναν παγκόσμιο στόχο για τη μείωση του κινδύνου των φυτοφαρμάκων κατά τουλάχιστον 50 % έως το 2030 (βλ.: </w:t>
      </w:r>
      <w:hyperlink r:id="rId21" w:history="1">
        <w:r w:rsidRPr="00A937CC">
          <w:rPr>
            <w:rStyle w:val="Hyperlink"/>
            <w:sz w:val="24"/>
            <w:lang w:val="el-GR"/>
          </w:rPr>
          <w:t>https://ec.europa.eu/commission/presscorner/detail/el/ip_22_7834</w:t>
        </w:r>
      </w:hyperlink>
      <w:r w:rsidRPr="00A937CC">
        <w:rPr>
          <w:sz w:val="24"/>
          <w:lang w:val="el-GR"/>
        </w:rPr>
        <w:t>).</w:t>
      </w:r>
    </w:p>
  </w:footnote>
  <w:footnote w:id="20">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hyperlink r:id="rId22" w:history="1">
        <w:r w:rsidRPr="00A937CC">
          <w:rPr>
            <w:rStyle w:val="Hyperlink"/>
            <w:sz w:val="24"/>
            <w:lang w:val="el-GR"/>
          </w:rPr>
          <w:t>https://tillymetz.lu/wp-content/uploads/2020/09/Co-signed-letter-MEP-Metz.pdf</w:t>
        </w:r>
      </w:hyperlink>
      <w:r w:rsidR="00F96B5D">
        <w:rPr>
          <w:rStyle w:val="Hyperlink"/>
          <w:sz w:val="24"/>
          <w:lang w:val="el-GR"/>
        </w:rPr>
        <w:t>.</w:t>
      </w:r>
    </w:p>
  </w:footnote>
  <w:footnote w:id="21">
    <w:p w:rsidR="00C034B0" w:rsidRPr="00A937CC" w:rsidRDefault="00C034B0" w:rsidP="00A937CC">
      <w:pPr>
        <w:pStyle w:val="FootnoteText"/>
        <w:ind w:left="567" w:hanging="567"/>
        <w:rPr>
          <w:sz w:val="24"/>
          <w:lang w:val="el-GR"/>
        </w:rPr>
      </w:pPr>
      <w:r w:rsidRPr="00A937CC">
        <w:rPr>
          <w:rStyle w:val="FootnoteReference"/>
          <w:sz w:val="24"/>
          <w:lang w:val="el-GR"/>
        </w:rPr>
        <w:footnoteRef/>
      </w:r>
      <w:r w:rsidR="00A937CC" w:rsidRPr="00A937CC">
        <w:rPr>
          <w:sz w:val="24"/>
          <w:lang w:val="el-GR"/>
        </w:rPr>
        <w:t xml:space="preserve"> </w:t>
      </w:r>
      <w:r w:rsidR="00A937CC" w:rsidRPr="00A937CC">
        <w:rPr>
          <w:sz w:val="24"/>
          <w:lang w:val="el-GR"/>
        </w:rPr>
        <w:tab/>
      </w:r>
      <w:r w:rsidRPr="00A937CC">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4566760"/>
    <w:multiLevelType w:val="hybridMultilevel"/>
    <w:tmpl w:val="2E12B0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4230EC"/>
    <w:multiLevelType w:val="hybridMultilevel"/>
    <w:tmpl w:val="15E8D34E"/>
    <w:lvl w:ilvl="0" w:tplc="DA02183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EL"/>
    <w:docVar w:name="dvnumam" w:val="0"/>
    <w:docVar w:name="dvpe" w:val="763.279"/>
    <w:docVar w:name="dvtitre" w:val="Ψήφισμα του Ευρωπαϊκού Κοινοβουλίου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D098497/04 – 2024/2836(RSP))"/>
  </w:docVars>
  <w:rsids>
    <w:rsidRoot w:val="00D87EFF"/>
    <w:rsid w:val="00002272"/>
    <w:rsid w:val="00064002"/>
    <w:rsid w:val="000677B9"/>
    <w:rsid w:val="000831BA"/>
    <w:rsid w:val="000A42CC"/>
    <w:rsid w:val="000E7DD9"/>
    <w:rsid w:val="0010095E"/>
    <w:rsid w:val="00125B37"/>
    <w:rsid w:val="00187494"/>
    <w:rsid w:val="001D6409"/>
    <w:rsid w:val="001F32AE"/>
    <w:rsid w:val="0022729E"/>
    <w:rsid w:val="00242F41"/>
    <w:rsid w:val="00252FE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159"/>
    <w:rsid w:val="00817416"/>
    <w:rsid w:val="00842779"/>
    <w:rsid w:val="00865F67"/>
    <w:rsid w:val="00881A7B"/>
    <w:rsid w:val="008840E5"/>
    <w:rsid w:val="00887B3E"/>
    <w:rsid w:val="008C2AC6"/>
    <w:rsid w:val="009046DD"/>
    <w:rsid w:val="00930C23"/>
    <w:rsid w:val="0093193B"/>
    <w:rsid w:val="009509D8"/>
    <w:rsid w:val="00950B64"/>
    <w:rsid w:val="00981893"/>
    <w:rsid w:val="00A1687D"/>
    <w:rsid w:val="00A43E52"/>
    <w:rsid w:val="00A4678D"/>
    <w:rsid w:val="00A778C7"/>
    <w:rsid w:val="00A937CC"/>
    <w:rsid w:val="00AB441E"/>
    <w:rsid w:val="00AB6293"/>
    <w:rsid w:val="00AE0928"/>
    <w:rsid w:val="00AF3B82"/>
    <w:rsid w:val="00B12E95"/>
    <w:rsid w:val="00B22876"/>
    <w:rsid w:val="00B558F0"/>
    <w:rsid w:val="00BD48FE"/>
    <w:rsid w:val="00BD7BD8"/>
    <w:rsid w:val="00BE6ADC"/>
    <w:rsid w:val="00C034B0"/>
    <w:rsid w:val="00C05BFE"/>
    <w:rsid w:val="00C23CD4"/>
    <w:rsid w:val="00C61C0C"/>
    <w:rsid w:val="00C941CB"/>
    <w:rsid w:val="00CC2357"/>
    <w:rsid w:val="00CF071A"/>
    <w:rsid w:val="00D058B8"/>
    <w:rsid w:val="00D56C11"/>
    <w:rsid w:val="00D834A0"/>
    <w:rsid w:val="00D872DF"/>
    <w:rsid w:val="00D87EF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B5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3943D"/>
  <w15:chartTrackingRefBased/>
  <w15:docId w15:val="{639C2FEC-7598-4DB9-85A0-8A57AEBF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34B0"/>
    <w:pPr>
      <w:spacing w:before="480" w:after="240"/>
    </w:pPr>
  </w:style>
  <w:style w:type="paragraph" w:customStyle="1" w:styleId="NormalHanging12a">
    <w:name w:val="NormalHanging12a"/>
    <w:basedOn w:val="Normal"/>
    <w:rsid w:val="00C034B0"/>
    <w:pPr>
      <w:spacing w:after="240"/>
      <w:ind w:left="567" w:hanging="567"/>
    </w:pPr>
  </w:style>
  <w:style w:type="character" w:styleId="Hyperlink">
    <w:name w:val="Hyperlink"/>
    <w:basedOn w:val="DefaultParagraphFont"/>
    <w:uiPriority w:val="99"/>
    <w:rsid w:val="00C034B0"/>
    <w:rPr>
      <w:color w:val="0563C1" w:themeColor="hyperlink"/>
      <w:u w:val="single"/>
    </w:rPr>
  </w:style>
  <w:style w:type="paragraph" w:styleId="Header">
    <w:name w:val="header"/>
    <w:basedOn w:val="Normal"/>
    <w:link w:val="HeaderChar"/>
    <w:rsid w:val="00F96B5D"/>
    <w:pPr>
      <w:tabs>
        <w:tab w:val="center" w:pos="4513"/>
        <w:tab w:val="right" w:pos="9026"/>
      </w:tabs>
    </w:pPr>
  </w:style>
  <w:style w:type="character" w:customStyle="1" w:styleId="HeaderChar">
    <w:name w:val="Header Char"/>
    <w:basedOn w:val="DefaultParagraphFont"/>
    <w:link w:val="Header"/>
    <w:rsid w:val="00F96B5D"/>
    <w:rPr>
      <w:sz w:val="24"/>
      <w:lang w:val="el-GR"/>
    </w:rPr>
  </w:style>
  <w:style w:type="character" w:styleId="FollowedHyperlink">
    <w:name w:val="FollowedHyperlink"/>
    <w:basedOn w:val="DefaultParagraphFont"/>
    <w:rsid w:val="00F96B5D"/>
    <w:rPr>
      <w:color w:val="954F72" w:themeColor="followedHyperlink"/>
      <w:u w:val="single"/>
    </w:rPr>
  </w:style>
  <w:style w:type="paragraph" w:styleId="BalloonText">
    <w:name w:val="Balloon Text"/>
    <w:basedOn w:val="Normal"/>
    <w:link w:val="BalloonTextChar"/>
    <w:rsid w:val="00F96B5D"/>
    <w:rPr>
      <w:rFonts w:ascii="Segoe UI" w:hAnsi="Segoe UI" w:cs="Segoe UI"/>
      <w:sz w:val="18"/>
      <w:szCs w:val="18"/>
    </w:rPr>
  </w:style>
  <w:style w:type="character" w:customStyle="1" w:styleId="BalloonTextChar">
    <w:name w:val="Balloon Text Char"/>
    <w:basedOn w:val="DefaultParagraphFont"/>
    <w:link w:val="BalloonText"/>
    <w:rsid w:val="00F96B5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el/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en?prefLang=el"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7211B-8B79-45F7-B8D7-65222B248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2273</Words>
  <Characters>13351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2024-12-20T10:34:00Z</dcterms:created>
  <dcterms:modified xsi:type="dcterms:W3CDTF">2024-12-20T10:34:00Z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B10-0148/2024</vt:lpwstr>
  </property>
  <property fmtid="{D5CDD505-2E9C-101B-9397-08002B2CF9AE}" pid="4" name="&lt;Type&gt;">
    <vt:lpwstr>RR</vt:lpwstr>
  </property>
</Properties>
</file>