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7164" w14:paraId="217AC669" w14:textId="77777777" w:rsidTr="0010095E">
        <w:trPr>
          <w:trHeight w:hRule="exact" w:val="1418"/>
        </w:trPr>
        <w:tc>
          <w:tcPr>
            <w:tcW w:w="6804" w:type="dxa"/>
            <w:shd w:val="clear" w:color="auto" w:fill="auto"/>
            <w:vAlign w:val="center"/>
          </w:tcPr>
          <w:p w14:paraId="5DD48A59" w14:textId="77777777" w:rsidR="00751A4A" w:rsidRPr="00DC7164" w:rsidRDefault="00C76251" w:rsidP="001A10B5">
            <w:pPr>
              <w:pStyle w:val="EPName"/>
            </w:pPr>
            <w:bookmarkStart w:id="0" w:name="_GoBack"/>
            <w:bookmarkEnd w:id="0"/>
            <w:r w:rsidRPr="00DC7164">
              <w:t>European Parliament</w:t>
            </w:r>
          </w:p>
          <w:p w14:paraId="3DCC5B17" w14:textId="77777777" w:rsidR="00751A4A" w:rsidRPr="00DC7164" w:rsidRDefault="005F1B17" w:rsidP="001A10B5">
            <w:pPr>
              <w:pStyle w:val="EPTerm"/>
              <w:rPr>
                <w:rStyle w:val="HideTWBExt"/>
                <w:noProof w:val="0"/>
                <w:vanish w:val="0"/>
                <w:color w:val="auto"/>
              </w:rPr>
            </w:pPr>
            <w:r w:rsidRPr="00DC7164">
              <w:t>2024</w:t>
            </w:r>
            <w:r w:rsidR="00817416" w:rsidRPr="00DC7164">
              <w:t>-202</w:t>
            </w:r>
            <w:r w:rsidRPr="00DC7164">
              <w:t>9</w:t>
            </w:r>
          </w:p>
        </w:tc>
        <w:tc>
          <w:tcPr>
            <w:tcW w:w="2268" w:type="dxa"/>
            <w:shd w:val="clear" w:color="auto" w:fill="auto"/>
          </w:tcPr>
          <w:p w14:paraId="63CF4444" w14:textId="77777777" w:rsidR="00751A4A" w:rsidRPr="00DC7164" w:rsidRDefault="00187494" w:rsidP="001A10B5">
            <w:pPr>
              <w:pStyle w:val="EPLogo"/>
            </w:pPr>
            <w:r w:rsidRPr="00DC7164">
              <w:rPr>
                <w:noProof/>
              </w:rPr>
              <w:drawing>
                <wp:inline distT="0" distB="0" distL="0" distR="0" wp14:anchorId="0138A56E" wp14:editId="752F25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1A7E96" w14:textId="77777777" w:rsidR="00D058B8" w:rsidRPr="00DC7164" w:rsidRDefault="00D058B8" w:rsidP="001A10B5">
      <w:pPr>
        <w:pStyle w:val="LineTop"/>
      </w:pPr>
    </w:p>
    <w:p w14:paraId="59773587" w14:textId="77777777" w:rsidR="00680577" w:rsidRPr="00DC7164" w:rsidRDefault="00C76251" w:rsidP="001A10B5">
      <w:pPr>
        <w:pStyle w:val="EPBodyTA1"/>
      </w:pPr>
      <w:r w:rsidRPr="00DC7164">
        <w:t>TEXTS ADOPTED</w:t>
      </w:r>
    </w:p>
    <w:p w14:paraId="4D4D71C1" w14:textId="77777777" w:rsidR="00D058B8" w:rsidRPr="00DC7164" w:rsidRDefault="00D058B8" w:rsidP="001A10B5">
      <w:pPr>
        <w:pStyle w:val="LineBottom"/>
      </w:pPr>
    </w:p>
    <w:p w14:paraId="2F11E0AA" w14:textId="69CA93F4" w:rsidR="00C76251" w:rsidRPr="00DC7164" w:rsidRDefault="00C76251" w:rsidP="001A10B5">
      <w:pPr>
        <w:pStyle w:val="ATHeading1"/>
        <w:keepNext w:val="0"/>
        <w:keepLines w:val="0"/>
        <w:widowControl w:val="0"/>
      </w:pPr>
      <w:bookmarkStart w:id="1" w:name="TANumber"/>
      <w:r w:rsidRPr="00DC7164">
        <w:t>P10_</w:t>
      </w:r>
      <w:proofErr w:type="gramStart"/>
      <w:r w:rsidRPr="00DC7164">
        <w:t>TA(</w:t>
      </w:r>
      <w:proofErr w:type="gramEnd"/>
      <w:r w:rsidRPr="00DC7164">
        <w:t>2024)</w:t>
      </w:r>
      <w:bookmarkEnd w:id="1"/>
      <w:r w:rsidR="0041030B" w:rsidRPr="00DC7164">
        <w:t>00</w:t>
      </w:r>
      <w:r w:rsidR="0041030B">
        <w:t>38</w:t>
      </w:r>
    </w:p>
    <w:p w14:paraId="5BE4B4A5" w14:textId="77777777" w:rsidR="00C76251" w:rsidRPr="00DC7164" w:rsidRDefault="001A10B5" w:rsidP="001A10B5">
      <w:pPr>
        <w:pStyle w:val="ATHeading2"/>
        <w:widowControl w:val="0"/>
      </w:pPr>
      <w:bookmarkStart w:id="2" w:name="title"/>
      <w:r w:rsidRPr="00DC7164">
        <w:t>Genetically modified maize MON 89034 × 1507 × NK603</w:t>
      </w:r>
      <w:bookmarkEnd w:id="2"/>
    </w:p>
    <w:p w14:paraId="6FF30471" w14:textId="77777777" w:rsidR="00C76251" w:rsidRPr="00DC7164" w:rsidRDefault="00C76251" w:rsidP="001A10B5">
      <w:pPr>
        <w:rPr>
          <w:i/>
          <w:vanish/>
        </w:rPr>
      </w:pPr>
      <w:r w:rsidRPr="00DC7164">
        <w:rPr>
          <w:i/>
        </w:rPr>
        <w:fldChar w:fldCharType="begin"/>
      </w:r>
      <w:r w:rsidRPr="00DC7164">
        <w:rPr>
          <w:i/>
        </w:rPr>
        <w:instrText xml:space="preserve"> TC"(</w:instrText>
      </w:r>
      <w:bookmarkStart w:id="3" w:name="DocNumber"/>
      <w:r w:rsidRPr="00DC7164">
        <w:rPr>
          <w:i/>
        </w:rPr>
        <w:instrText>B10-0148/2024</w:instrText>
      </w:r>
      <w:bookmarkEnd w:id="3"/>
      <w:r w:rsidRPr="00DC7164">
        <w:rPr>
          <w:i/>
        </w:rPr>
        <w:instrText xml:space="preserve">)"\l3 \n&gt; \* MERGEFORMAT </w:instrText>
      </w:r>
      <w:r w:rsidRPr="00DC7164">
        <w:rPr>
          <w:i/>
        </w:rPr>
        <w:fldChar w:fldCharType="end"/>
      </w:r>
    </w:p>
    <w:p w14:paraId="58FE4F79" w14:textId="77777777" w:rsidR="00C76251" w:rsidRPr="00DC7164" w:rsidRDefault="00C76251" w:rsidP="001A10B5">
      <w:pPr>
        <w:rPr>
          <w:vanish/>
        </w:rPr>
      </w:pPr>
      <w:bookmarkStart w:id="4" w:name="PE"/>
      <w:r w:rsidRPr="00DC7164">
        <w:rPr>
          <w:vanish/>
        </w:rPr>
        <w:t>PE763.279</w:t>
      </w:r>
      <w:bookmarkEnd w:id="4"/>
    </w:p>
    <w:p w14:paraId="2F3BA881" w14:textId="2EA8CA0C" w:rsidR="00C76251" w:rsidRPr="00DC7164" w:rsidRDefault="00C76251" w:rsidP="001A10B5">
      <w:pPr>
        <w:pStyle w:val="ATHeading3"/>
        <w:keepNext w:val="0"/>
        <w:keepLines w:val="0"/>
        <w:widowControl w:val="0"/>
      </w:pPr>
      <w:bookmarkStart w:id="5" w:name="Sujet"/>
      <w:r w:rsidRPr="00DC7164">
        <w:t xml:space="preserve">European Parliament resolution of </w:t>
      </w:r>
      <w:r w:rsidR="001D01AC" w:rsidRPr="00DC7164">
        <w:t>26</w:t>
      </w:r>
      <w:r w:rsidRPr="00DC7164">
        <w:t xml:space="preserve"> </w:t>
      </w:r>
      <w:r w:rsidR="001A10B5" w:rsidRPr="00DC7164">
        <w:t>November</w:t>
      </w:r>
      <w:r w:rsidRPr="00DC7164">
        <w:t xml:space="preserve"> 2024 on Commission </w:t>
      </w:r>
      <w:r w:rsidR="002010CB" w:rsidRPr="00DC7164">
        <w:t>I</w:t>
      </w:r>
      <w:r w:rsidRPr="00DC7164">
        <w:t xml:space="preserve">mplementing </w:t>
      </w:r>
      <w:r w:rsidR="002010CB" w:rsidRPr="00DC7164">
        <w:t>D</w:t>
      </w:r>
      <w:r w:rsidRPr="00DC7164">
        <w:t>ecision</w:t>
      </w:r>
      <w:r w:rsidR="002010CB" w:rsidRPr="00DC7164">
        <w:t xml:space="preserve"> (EU) 2024/2628</w:t>
      </w:r>
      <w:r w:rsidRPr="00DC7164">
        <w:t xml:space="preserve"> renewing the authorisation for the placing on the market of products containing, consisting of or produced from genetically modified maize MON 89034 × 1507 × NK603 pursuant to Regulation (EC) No 1829/2003 of the European Parliament and of the Council</w:t>
      </w:r>
      <w:bookmarkEnd w:id="5"/>
      <w:r w:rsidRPr="00DC7164">
        <w:t xml:space="preserve"> </w:t>
      </w:r>
      <w:bookmarkStart w:id="6" w:name="References"/>
      <w:r w:rsidRPr="00DC7164">
        <w:t>(2024/2836(RSP))</w:t>
      </w:r>
      <w:bookmarkEnd w:id="6"/>
    </w:p>
    <w:p w14:paraId="1EBC24A6" w14:textId="77777777" w:rsidR="0039308A" w:rsidRPr="00DC7164" w:rsidRDefault="0039308A" w:rsidP="001A10B5">
      <w:pPr>
        <w:pStyle w:val="EPComma"/>
      </w:pPr>
      <w:bookmarkStart w:id="7" w:name="TextBodyBegin"/>
      <w:bookmarkEnd w:id="7"/>
      <w:r w:rsidRPr="00DC7164">
        <w:rPr>
          <w:i/>
        </w:rPr>
        <w:t>The European Parliament</w:t>
      </w:r>
      <w:r w:rsidRPr="00DC7164">
        <w:t>,</w:t>
      </w:r>
    </w:p>
    <w:p w14:paraId="32D6A83B" w14:textId="5D679AB4" w:rsidR="0039308A" w:rsidRPr="00DC7164" w:rsidRDefault="0039308A" w:rsidP="001A10B5">
      <w:pPr>
        <w:pStyle w:val="NormalHanging12a"/>
        <w:rPr>
          <w:szCs w:val="24"/>
        </w:rPr>
      </w:pPr>
      <w:r w:rsidRPr="00DC7164">
        <w:rPr>
          <w:szCs w:val="24"/>
        </w:rPr>
        <w:t>–</w:t>
      </w:r>
      <w:r w:rsidRPr="00DC7164">
        <w:rPr>
          <w:szCs w:val="24"/>
        </w:rPr>
        <w:tab/>
        <w:t xml:space="preserve">having regard to Commission </w:t>
      </w:r>
      <w:r w:rsidR="002010CB" w:rsidRPr="00DC7164">
        <w:rPr>
          <w:szCs w:val="24"/>
        </w:rPr>
        <w:t>I</w:t>
      </w:r>
      <w:r w:rsidRPr="00DC7164">
        <w:rPr>
          <w:szCs w:val="24"/>
        </w:rPr>
        <w:t xml:space="preserve">mplementing </w:t>
      </w:r>
      <w:r w:rsidR="002010CB" w:rsidRPr="00DC7164">
        <w:rPr>
          <w:szCs w:val="24"/>
        </w:rPr>
        <w:t>D</w:t>
      </w:r>
      <w:r w:rsidRPr="00DC7164">
        <w:rPr>
          <w:szCs w:val="24"/>
        </w:rPr>
        <w:t xml:space="preserve">ecision </w:t>
      </w:r>
      <w:r w:rsidR="002010CB" w:rsidRPr="00DC7164">
        <w:t xml:space="preserve">(EU) 2024/2628 </w:t>
      </w:r>
      <w:r w:rsidRPr="00DC7164">
        <w:rPr>
          <w:szCs w:val="24"/>
        </w:rPr>
        <w:t>renewing the authorisation for the placing on the market of products containing, consisting of or produced from genetically modified maize MON 89034 × 1507 × NK603 pursuant to Regulation (EC) No 1829/2003 of the European Parliament and of the Council</w:t>
      </w:r>
      <w:r w:rsidR="002010CB" w:rsidRPr="00DC7164">
        <w:rPr>
          <w:rStyle w:val="FootnoteReference"/>
          <w:szCs w:val="24"/>
        </w:rPr>
        <w:footnoteReference w:id="1"/>
      </w:r>
      <w:r w:rsidRPr="00DC7164">
        <w:rPr>
          <w:szCs w:val="24"/>
        </w:rPr>
        <w:t>,</w:t>
      </w:r>
    </w:p>
    <w:p w14:paraId="7000B48D" w14:textId="77777777" w:rsidR="0039308A" w:rsidRPr="00DC7164" w:rsidRDefault="0039308A" w:rsidP="001A10B5">
      <w:pPr>
        <w:pStyle w:val="NormalHanging12a"/>
        <w:rPr>
          <w:szCs w:val="24"/>
        </w:rPr>
      </w:pPr>
      <w:r w:rsidRPr="00DC7164">
        <w:rPr>
          <w:szCs w:val="24"/>
        </w:rPr>
        <w:t>–</w:t>
      </w:r>
      <w:r w:rsidRPr="00DC7164">
        <w:rPr>
          <w:szCs w:val="24"/>
        </w:rPr>
        <w:tab/>
        <w:t>having regard to Regulation (EC) No 1829/2003 of the European Parliament and of the Council of 22 September 2003 on genetically modified food and feed</w:t>
      </w:r>
      <w:r w:rsidRPr="00DC7164">
        <w:rPr>
          <w:rStyle w:val="FootnoteReference"/>
          <w:szCs w:val="24"/>
        </w:rPr>
        <w:footnoteReference w:id="2"/>
      </w:r>
      <w:r w:rsidRPr="00DC7164">
        <w:rPr>
          <w:szCs w:val="24"/>
        </w:rPr>
        <w:t>, and in particular Article 11(3) and Article 23(3) thereof,</w:t>
      </w:r>
    </w:p>
    <w:p w14:paraId="661B6C3F" w14:textId="77777777" w:rsidR="0039308A" w:rsidRPr="00DC7164" w:rsidRDefault="0039308A" w:rsidP="001A10B5">
      <w:pPr>
        <w:pStyle w:val="NormalHanging12a"/>
        <w:rPr>
          <w:szCs w:val="24"/>
        </w:rPr>
      </w:pPr>
      <w:r w:rsidRPr="00DC7164">
        <w:rPr>
          <w:szCs w:val="24"/>
        </w:rPr>
        <w:t>–</w:t>
      </w:r>
      <w:r w:rsidRPr="00DC7164">
        <w:rPr>
          <w:szCs w:val="24"/>
        </w:rPr>
        <w:tab/>
        <w:t>having regard to the vot</w:t>
      </w:r>
      <w:r w:rsidRPr="00DC7164">
        <w:rPr>
          <w:szCs w:val="24"/>
          <w:shd w:val="clear" w:color="auto" w:fill="FFFFFF"/>
        </w:rPr>
        <w:t xml:space="preserve">e of the Standing Committee on Plants, Animals, Food and Feed referred to in Article 35 of Regulation (EC) No 1829/2003, on 8 July 2024, at which no opinion was delivered, and the vote of the Appeal Committee on 3 September 2024, at which again no </w:t>
      </w:r>
      <w:r w:rsidRPr="00DC7164">
        <w:rPr>
          <w:szCs w:val="24"/>
        </w:rPr>
        <w:t>opinion was delivered,</w:t>
      </w:r>
    </w:p>
    <w:p w14:paraId="4514A3CC" w14:textId="77777777" w:rsidR="0039308A" w:rsidRPr="00DC7164" w:rsidRDefault="0039308A" w:rsidP="001A10B5">
      <w:pPr>
        <w:pStyle w:val="NormalHanging12a"/>
        <w:rPr>
          <w:szCs w:val="24"/>
        </w:rPr>
      </w:pPr>
      <w:r w:rsidRPr="00DC7164">
        <w:rPr>
          <w:szCs w:val="24"/>
        </w:rPr>
        <w:t>–</w:t>
      </w:r>
      <w:r w:rsidRPr="00DC7164">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DC7164">
        <w:rPr>
          <w:rStyle w:val="FootnoteReference"/>
          <w:szCs w:val="24"/>
        </w:rPr>
        <w:footnoteReference w:id="3"/>
      </w:r>
      <w:r w:rsidRPr="00DC7164">
        <w:rPr>
          <w:szCs w:val="24"/>
        </w:rPr>
        <w:t>,</w:t>
      </w:r>
    </w:p>
    <w:p w14:paraId="43DCAD10" w14:textId="77777777" w:rsidR="0039308A" w:rsidRPr="00DC7164" w:rsidRDefault="0039308A" w:rsidP="001A10B5">
      <w:pPr>
        <w:pStyle w:val="NormalHanging12a"/>
        <w:rPr>
          <w:szCs w:val="24"/>
        </w:rPr>
      </w:pPr>
      <w:r w:rsidRPr="00DC7164">
        <w:rPr>
          <w:szCs w:val="24"/>
        </w:rPr>
        <w:t>–</w:t>
      </w:r>
      <w:r w:rsidRPr="00DC7164">
        <w:rPr>
          <w:szCs w:val="24"/>
        </w:rPr>
        <w:tab/>
        <w:t>having regard to the opinion adopted by the European Food Safety Authority (EFSA) on 13 March 2024, and published on 29 April 2024</w:t>
      </w:r>
      <w:r w:rsidRPr="00DC7164">
        <w:rPr>
          <w:rStyle w:val="FootnoteReference"/>
          <w:szCs w:val="24"/>
        </w:rPr>
        <w:footnoteReference w:id="4"/>
      </w:r>
      <w:r w:rsidRPr="00DC7164">
        <w:rPr>
          <w:szCs w:val="24"/>
        </w:rPr>
        <w:t>,</w:t>
      </w:r>
    </w:p>
    <w:p w14:paraId="03E8247F" w14:textId="77777777" w:rsidR="0039308A" w:rsidRPr="00DC7164" w:rsidRDefault="0039308A" w:rsidP="001A10B5">
      <w:pPr>
        <w:pStyle w:val="NormalHanging12a"/>
        <w:rPr>
          <w:szCs w:val="24"/>
        </w:rPr>
      </w:pPr>
      <w:r w:rsidRPr="00DC7164">
        <w:rPr>
          <w:szCs w:val="24"/>
        </w:rPr>
        <w:lastRenderedPageBreak/>
        <w:t>–</w:t>
      </w:r>
      <w:r w:rsidRPr="00DC7164">
        <w:rPr>
          <w:szCs w:val="24"/>
        </w:rPr>
        <w:tab/>
      </w:r>
      <w:r w:rsidRPr="00DC7164">
        <w:rPr>
          <w:szCs w:val="24"/>
          <w:shd w:val="clear" w:color="auto" w:fill="FFFFFF"/>
        </w:rPr>
        <w:t>having regard to its previous resolutions objecting to the authorisation of genetically modified organisms (‘GMOs’)</w:t>
      </w:r>
      <w:r w:rsidRPr="00DC7164">
        <w:rPr>
          <w:szCs w:val="24"/>
          <w:shd w:val="clear" w:color="auto" w:fill="FFFFFF"/>
          <w:vertAlign w:val="superscript"/>
        </w:rPr>
        <w:footnoteReference w:id="5"/>
      </w:r>
      <w:r w:rsidRPr="00DC7164">
        <w:rPr>
          <w:szCs w:val="24"/>
          <w:shd w:val="clear" w:color="auto" w:fill="FFFFFF"/>
        </w:rPr>
        <w:t>,</w:t>
      </w:r>
    </w:p>
    <w:p w14:paraId="7BCCBBE7" w14:textId="77777777" w:rsidR="0039308A" w:rsidRPr="00DC7164" w:rsidRDefault="0039308A" w:rsidP="001A10B5">
      <w:pPr>
        <w:pStyle w:val="NormalHanging12a"/>
        <w:rPr>
          <w:szCs w:val="24"/>
        </w:rPr>
      </w:pPr>
      <w:r w:rsidRPr="00DC7164">
        <w:rPr>
          <w:szCs w:val="24"/>
        </w:rPr>
        <w:t>–</w:t>
      </w:r>
      <w:r w:rsidRPr="00DC7164">
        <w:rPr>
          <w:szCs w:val="24"/>
        </w:rPr>
        <w:tab/>
        <w:t>having regard to Rule 115(2) and (3) of its Rules of Procedure,</w:t>
      </w:r>
    </w:p>
    <w:p w14:paraId="78518DB7" w14:textId="77777777" w:rsidR="0039308A" w:rsidRPr="00DC7164" w:rsidRDefault="0039308A" w:rsidP="001A10B5">
      <w:pPr>
        <w:pStyle w:val="NormalHanging12a"/>
        <w:rPr>
          <w:szCs w:val="24"/>
        </w:rPr>
      </w:pPr>
      <w:r w:rsidRPr="00DC7164">
        <w:rPr>
          <w:szCs w:val="24"/>
        </w:rPr>
        <w:t>–</w:t>
      </w:r>
      <w:r w:rsidRPr="00DC7164">
        <w:rPr>
          <w:szCs w:val="24"/>
        </w:rPr>
        <w:tab/>
        <w:t>having regard to the motion for a resolution of the Committee on the Environment, Public Health and Food Safety,</w:t>
      </w:r>
    </w:p>
    <w:p w14:paraId="6BB6AEF9" w14:textId="77777777" w:rsidR="0039308A" w:rsidRPr="00DC7164" w:rsidRDefault="0039308A" w:rsidP="001A10B5">
      <w:pPr>
        <w:pStyle w:val="NormalHanging12a"/>
        <w:rPr>
          <w:szCs w:val="24"/>
        </w:rPr>
      </w:pPr>
      <w:proofErr w:type="gramStart"/>
      <w:r w:rsidRPr="00DC7164">
        <w:rPr>
          <w:szCs w:val="24"/>
        </w:rPr>
        <w:t>A.</w:t>
      </w:r>
      <w:r w:rsidRPr="00DC7164">
        <w:rPr>
          <w:szCs w:val="24"/>
        </w:rPr>
        <w:tab/>
        <w:t xml:space="preserve">whereas, on 21 October 2022, </w:t>
      </w:r>
      <w:proofErr w:type="spellStart"/>
      <w:r w:rsidRPr="00DC7164">
        <w:rPr>
          <w:szCs w:val="24"/>
        </w:rPr>
        <w:t>Corteva</w:t>
      </w:r>
      <w:proofErr w:type="spellEnd"/>
      <w:r w:rsidRPr="00DC7164">
        <w:rPr>
          <w:szCs w:val="24"/>
        </w:rPr>
        <w:t xml:space="preserve"> </w:t>
      </w:r>
      <w:proofErr w:type="spellStart"/>
      <w:r w:rsidRPr="00DC7164">
        <w:rPr>
          <w:szCs w:val="24"/>
        </w:rPr>
        <w:t>Agriscience</w:t>
      </w:r>
      <w:proofErr w:type="spellEnd"/>
      <w:r w:rsidRPr="00DC7164">
        <w:rPr>
          <w:szCs w:val="24"/>
        </w:rPr>
        <w:t xml:space="preserve"> Belgium BV, based in Belgium, on behalf of </w:t>
      </w:r>
      <w:proofErr w:type="spellStart"/>
      <w:r w:rsidRPr="00DC7164">
        <w:rPr>
          <w:szCs w:val="24"/>
        </w:rPr>
        <w:t>Corteva</w:t>
      </w:r>
      <w:proofErr w:type="spellEnd"/>
      <w:r w:rsidRPr="00DC7164">
        <w:rPr>
          <w:szCs w:val="24"/>
        </w:rPr>
        <w:t xml:space="preserve"> </w:t>
      </w:r>
      <w:proofErr w:type="spellStart"/>
      <w:r w:rsidRPr="00DC7164">
        <w:rPr>
          <w:szCs w:val="24"/>
        </w:rPr>
        <w:t>Agriscience</w:t>
      </w:r>
      <w:proofErr w:type="spellEnd"/>
      <w:r w:rsidRPr="00DC7164">
        <w:rPr>
          <w:szCs w:val="24"/>
        </w:rPr>
        <w:t xml:space="preserve"> LLC, based in the United States, and Bayer Agriculture BV, based in Belgium, on behalf of Bayer </w:t>
      </w:r>
      <w:proofErr w:type="spellStart"/>
      <w:r w:rsidRPr="00DC7164">
        <w:rPr>
          <w:szCs w:val="24"/>
        </w:rPr>
        <w:t>CropScience</w:t>
      </w:r>
      <w:proofErr w:type="spellEnd"/>
      <w:r w:rsidRPr="00DC7164">
        <w:rPr>
          <w:szCs w:val="24"/>
        </w:rPr>
        <w:t xml:space="preserve"> LP based in the United States, jointly submitted an application to the Commission for the renewal of the authorisation of genetically modified maize MON 89034 × 1507 × NK603 (the ‘GM maize’);</w:t>
      </w:r>
      <w:proofErr w:type="gramEnd"/>
    </w:p>
    <w:p w14:paraId="5A636C49" w14:textId="77777777" w:rsidR="0039308A" w:rsidRPr="00DC7164" w:rsidRDefault="0039308A" w:rsidP="001A10B5">
      <w:pPr>
        <w:pStyle w:val="NormalHanging12a"/>
        <w:rPr>
          <w:szCs w:val="24"/>
        </w:rPr>
      </w:pPr>
      <w:r w:rsidRPr="00DC7164">
        <w:rPr>
          <w:szCs w:val="24"/>
        </w:rPr>
        <w:t>B.</w:t>
      </w:r>
      <w:r w:rsidRPr="00DC7164">
        <w:rPr>
          <w:szCs w:val="24"/>
        </w:rPr>
        <w:tab/>
        <w:t>whereas, on 13 March 2024, EFSA adopted a favourable opinion, which was published on 26 April 2024;</w:t>
      </w:r>
    </w:p>
    <w:p w14:paraId="333E00AA" w14:textId="77777777" w:rsidR="0039308A" w:rsidRPr="00DC7164" w:rsidRDefault="0039308A" w:rsidP="001A10B5">
      <w:pPr>
        <w:pStyle w:val="NormalHanging12a"/>
        <w:rPr>
          <w:szCs w:val="24"/>
        </w:rPr>
      </w:pPr>
      <w:r w:rsidRPr="00DC7164">
        <w:rPr>
          <w:szCs w:val="24"/>
        </w:rPr>
        <w:t>C.</w:t>
      </w:r>
      <w:r w:rsidRPr="00DC7164">
        <w:rPr>
          <w:szCs w:val="24"/>
        </w:rPr>
        <w:tab/>
        <w:t>whereas the GM maize contains genes conferring resistance to glyphosate and produces insecticidal proteins (‘</w:t>
      </w:r>
      <w:proofErr w:type="spellStart"/>
      <w:r w:rsidRPr="00DC7164">
        <w:rPr>
          <w:szCs w:val="24"/>
        </w:rPr>
        <w:t>Bt</w:t>
      </w:r>
      <w:proofErr w:type="spellEnd"/>
      <w:r w:rsidRPr="00DC7164">
        <w:rPr>
          <w:szCs w:val="24"/>
        </w:rPr>
        <w:t xml:space="preserve"> toxins’);</w:t>
      </w:r>
    </w:p>
    <w:p w14:paraId="6CAC52EC" w14:textId="77777777" w:rsidR="0039308A" w:rsidRPr="00DC7164" w:rsidRDefault="0039308A" w:rsidP="001A10B5">
      <w:pPr>
        <w:pStyle w:val="NormalHanging12a"/>
        <w:rPr>
          <w:b/>
          <w:i/>
          <w:szCs w:val="24"/>
        </w:rPr>
      </w:pPr>
      <w:r w:rsidRPr="00DC7164">
        <w:rPr>
          <w:b/>
          <w:i/>
          <w:szCs w:val="24"/>
        </w:rPr>
        <w:t>Lack of assessment of the complementary herbicide</w:t>
      </w:r>
    </w:p>
    <w:p w14:paraId="29F6076B" w14:textId="77777777" w:rsidR="0039308A" w:rsidRPr="00DC7164" w:rsidRDefault="0039308A" w:rsidP="001A10B5">
      <w:pPr>
        <w:pStyle w:val="NormalHanging12a"/>
        <w:rPr>
          <w:szCs w:val="24"/>
        </w:rPr>
      </w:pPr>
      <w:r w:rsidRPr="00DC7164">
        <w:rPr>
          <w:szCs w:val="24"/>
        </w:rPr>
        <w:t>D.</w:t>
      </w:r>
      <w:r w:rsidRPr="00DC7164">
        <w:rPr>
          <w:szCs w:val="24"/>
        </w:rPr>
        <w:tab/>
        <w:t>whereas Commission Implementing Regulation (EU) No 503/2013</w:t>
      </w:r>
      <w:r w:rsidRPr="00DC7164">
        <w:rPr>
          <w:rStyle w:val="FootnoteReference"/>
          <w:szCs w:val="24"/>
        </w:rPr>
        <w:footnoteReference w:id="6"/>
      </w:r>
      <w:r w:rsidRPr="00DC7164">
        <w:rPr>
          <w:szCs w:val="24"/>
        </w:rPr>
        <w:t> requires an assessment of whether the expected agricultural practices influence the outcome of the studied endpoints; whereas, according to that Implementing Regulation, this is especially relevant for herbicide-tolerant plants;</w:t>
      </w:r>
    </w:p>
    <w:p w14:paraId="5E876C0F" w14:textId="77777777" w:rsidR="0039308A" w:rsidRPr="00DC7164" w:rsidRDefault="0039308A" w:rsidP="001A10B5">
      <w:pPr>
        <w:pStyle w:val="NormalHanging12a"/>
        <w:rPr>
          <w:szCs w:val="24"/>
        </w:rPr>
      </w:pPr>
      <w:proofErr w:type="gramStart"/>
      <w:r w:rsidRPr="00DC7164">
        <w:rPr>
          <w:szCs w:val="24"/>
        </w:rPr>
        <w:t>E.</w:t>
      </w:r>
      <w:r w:rsidRPr="00DC7164">
        <w:rPr>
          <w:szCs w:val="24"/>
        </w:rPr>
        <w:tab/>
        <w:t>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DC7164">
        <w:rPr>
          <w:rStyle w:val="FootnoteReference"/>
          <w:szCs w:val="24"/>
        </w:rPr>
        <w:footnoteReference w:id="7"/>
      </w:r>
      <w:r w:rsidRPr="00DC7164">
        <w:rPr>
          <w:szCs w:val="24"/>
        </w:rPr>
        <w:t>;</w:t>
      </w:r>
      <w:proofErr w:type="gramEnd"/>
    </w:p>
    <w:p w14:paraId="0C4973A3" w14:textId="77777777" w:rsidR="0039308A" w:rsidRPr="00DC7164" w:rsidRDefault="0039308A" w:rsidP="001A10B5">
      <w:pPr>
        <w:pStyle w:val="NormalHanging12a"/>
        <w:rPr>
          <w:szCs w:val="24"/>
        </w:rPr>
      </w:pPr>
      <w:proofErr w:type="gramStart"/>
      <w:r w:rsidRPr="00DC7164">
        <w:rPr>
          <w:szCs w:val="24"/>
        </w:rPr>
        <w:t>F.</w:t>
      </w:r>
      <w:r w:rsidRPr="00DC7164">
        <w:rPr>
          <w:szCs w:val="24"/>
        </w:rPr>
        <w:tab/>
        <w:t xml:space="preserve">whereas herbicide-tolerant GM crops lock farmers into a weed management system that </w:t>
      </w:r>
      <w:r w:rsidRPr="00DC7164">
        <w:rPr>
          <w:szCs w:val="24"/>
        </w:rPr>
        <w:lastRenderedPageBreak/>
        <w:t>is largely or wholly dependent on herbicides, and does so by charging a premium for GM seeds that can be justified only if farmers purchasing such seed also spray the complementary herbicides; whereas heightened reliance on complementary herbicides on farms planting the GM crops accelerate the emergence and spread of weeds resistant to those herbicides, thereby triggering the need for even more herbicide use, a vicious circle known as ‘the herbicide treadmill’;</w:t>
      </w:r>
      <w:proofErr w:type="gramEnd"/>
    </w:p>
    <w:p w14:paraId="78E5F52D" w14:textId="77777777" w:rsidR="0039308A" w:rsidRPr="00DC7164" w:rsidRDefault="0039308A" w:rsidP="001A10B5">
      <w:pPr>
        <w:pStyle w:val="NormalHanging12a"/>
        <w:rPr>
          <w:szCs w:val="24"/>
        </w:rPr>
      </w:pPr>
      <w:r w:rsidRPr="00DC7164">
        <w:rPr>
          <w:szCs w:val="24"/>
        </w:rPr>
        <w:t>G.</w:t>
      </w:r>
      <w:r w:rsidRPr="00DC7164">
        <w:rPr>
          <w:szCs w:val="24"/>
        </w:rPr>
        <w:tab/>
        <w:t>whereas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p>
    <w:p w14:paraId="28FBABB2" w14:textId="77777777" w:rsidR="0039308A" w:rsidRPr="00DC7164" w:rsidRDefault="0039308A" w:rsidP="001A10B5">
      <w:pPr>
        <w:pStyle w:val="NormalHanging12a"/>
        <w:rPr>
          <w:szCs w:val="24"/>
        </w:rPr>
      </w:pPr>
      <w:proofErr w:type="gramStart"/>
      <w:r w:rsidRPr="00DC7164">
        <w:rPr>
          <w:szCs w:val="24"/>
        </w:rPr>
        <w:t>H.</w:t>
      </w:r>
      <w:r w:rsidRPr="00DC7164">
        <w:rPr>
          <w:szCs w:val="24"/>
        </w:rPr>
        <w:tab/>
        <w:t>whereas EFSA concluded in November 2015 that glyphosate was unlikely to be carcinogenic and the European Chemicals Agency concluded in March 2017 that no classification was warranted; whereas, on the contrary, in 2015, the International Agency for Research on Cancer, the specialised cancer agency of the World Health Organization, classified glyphosate as a probable carcinogen for humans; whereas a number of recent scientific peer-reviewed studies confirm the carcinogenic potential of glyphosate</w:t>
      </w:r>
      <w:r w:rsidRPr="00DC7164">
        <w:rPr>
          <w:rStyle w:val="FootnoteReference"/>
          <w:szCs w:val="24"/>
        </w:rPr>
        <w:footnoteReference w:id="8"/>
      </w:r>
      <w:r w:rsidRPr="00DC7164">
        <w:rPr>
          <w:szCs w:val="24"/>
        </w:rPr>
        <w:t>;</w:t>
      </w:r>
      <w:proofErr w:type="gramEnd"/>
    </w:p>
    <w:p w14:paraId="59F69850" w14:textId="77777777" w:rsidR="0039308A" w:rsidRPr="00DC7164" w:rsidRDefault="0039308A" w:rsidP="001A10B5">
      <w:pPr>
        <w:pStyle w:val="NormalHanging12a"/>
        <w:rPr>
          <w:szCs w:val="24"/>
        </w:rPr>
      </w:pPr>
      <w:r w:rsidRPr="00DC7164">
        <w:rPr>
          <w:szCs w:val="24"/>
        </w:rPr>
        <w:t>I.</w:t>
      </w:r>
      <w:r w:rsidRPr="00DC7164">
        <w:rPr>
          <w:szCs w:val="24"/>
        </w:rPr>
        <w:tab/>
        <w:t>whereas assessment of herbicide residues and metabolites found on GM plants is considered outside the remit of the EFSA Panel on Genetically Modified Organisms and is therefore not undertaken as part of the authorisation process for GMOs;</w:t>
      </w:r>
    </w:p>
    <w:p w14:paraId="643E2E4B" w14:textId="77777777" w:rsidR="0039308A" w:rsidRPr="00DC7164" w:rsidRDefault="0039308A" w:rsidP="001A10B5">
      <w:pPr>
        <w:pStyle w:val="NormalHanging12a"/>
        <w:rPr>
          <w:b/>
          <w:i/>
          <w:szCs w:val="24"/>
        </w:rPr>
      </w:pPr>
      <w:r w:rsidRPr="00DC7164">
        <w:rPr>
          <w:b/>
          <w:i/>
          <w:szCs w:val="24"/>
        </w:rPr>
        <w:t xml:space="preserve">Outstanding questions concerning </w:t>
      </w:r>
      <w:proofErr w:type="spellStart"/>
      <w:proofErr w:type="gramStart"/>
      <w:r w:rsidRPr="00DC7164">
        <w:rPr>
          <w:b/>
          <w:i/>
          <w:szCs w:val="24"/>
        </w:rPr>
        <w:t>Bt</w:t>
      </w:r>
      <w:proofErr w:type="spellEnd"/>
      <w:proofErr w:type="gramEnd"/>
      <w:r w:rsidRPr="00DC7164">
        <w:rPr>
          <w:b/>
          <w:i/>
          <w:szCs w:val="24"/>
        </w:rPr>
        <w:t xml:space="preserve"> toxins</w:t>
      </w:r>
    </w:p>
    <w:p w14:paraId="4082EF67" w14:textId="77777777" w:rsidR="0039308A" w:rsidRPr="00DC7164" w:rsidRDefault="0039308A" w:rsidP="001A10B5">
      <w:pPr>
        <w:pStyle w:val="NormalHanging12a"/>
        <w:rPr>
          <w:szCs w:val="24"/>
        </w:rPr>
      </w:pPr>
      <w:r w:rsidRPr="00DC7164">
        <w:rPr>
          <w:szCs w:val="24"/>
        </w:rPr>
        <w:t>J.</w:t>
      </w:r>
      <w:r w:rsidRPr="00DC7164">
        <w:rPr>
          <w:szCs w:val="24"/>
        </w:rPr>
        <w:tab/>
        <w:t xml:space="preserve">whereas a number of studies show that side effects have been observed that may affect the immune system following exposure to </w:t>
      </w:r>
      <w:proofErr w:type="spellStart"/>
      <w:r w:rsidRPr="00DC7164">
        <w:rPr>
          <w:szCs w:val="24"/>
        </w:rPr>
        <w:t>Bt</w:t>
      </w:r>
      <w:proofErr w:type="spellEnd"/>
      <w:r w:rsidRPr="00DC7164">
        <w:rPr>
          <w:szCs w:val="24"/>
        </w:rPr>
        <w:t xml:space="preserve"> toxins and that some </w:t>
      </w:r>
      <w:proofErr w:type="spellStart"/>
      <w:r w:rsidRPr="00DC7164">
        <w:rPr>
          <w:szCs w:val="24"/>
        </w:rPr>
        <w:t>Bt</w:t>
      </w:r>
      <w:proofErr w:type="spellEnd"/>
      <w:r w:rsidRPr="00DC7164">
        <w:rPr>
          <w:szCs w:val="24"/>
        </w:rPr>
        <w:t xml:space="preserve"> toxins may have adjuvant properties</w:t>
      </w:r>
      <w:r w:rsidRPr="00DC7164">
        <w:rPr>
          <w:rStyle w:val="FootnoteReference"/>
          <w:szCs w:val="24"/>
        </w:rPr>
        <w:footnoteReference w:id="9"/>
      </w:r>
      <w:r w:rsidRPr="00DC7164">
        <w:rPr>
          <w:szCs w:val="24"/>
        </w:rPr>
        <w:t xml:space="preserve">, meaning that they can increase the </w:t>
      </w:r>
      <w:proofErr w:type="spellStart"/>
      <w:r w:rsidRPr="00DC7164">
        <w:rPr>
          <w:szCs w:val="24"/>
        </w:rPr>
        <w:t>allergenicity</w:t>
      </w:r>
      <w:proofErr w:type="spellEnd"/>
      <w:r w:rsidRPr="00DC7164">
        <w:rPr>
          <w:szCs w:val="24"/>
        </w:rPr>
        <w:t xml:space="preserve"> of other proteins with which they come into contact;</w:t>
      </w:r>
    </w:p>
    <w:p w14:paraId="7A271B6E" w14:textId="77777777" w:rsidR="0039308A" w:rsidRPr="00DC7164" w:rsidRDefault="0039308A" w:rsidP="001A10B5">
      <w:pPr>
        <w:pStyle w:val="NormalHanging12a"/>
        <w:rPr>
          <w:szCs w:val="24"/>
        </w:rPr>
      </w:pPr>
      <w:proofErr w:type="gramStart"/>
      <w:r w:rsidRPr="00DC7164">
        <w:rPr>
          <w:szCs w:val="24"/>
        </w:rPr>
        <w:t>K.</w:t>
      </w:r>
      <w:r w:rsidRPr="00DC7164">
        <w:rPr>
          <w:szCs w:val="24"/>
        </w:rPr>
        <w:tab/>
        <w:t xml:space="preserve">whereas a scientific study found that the toxicity of </w:t>
      </w:r>
      <w:proofErr w:type="spellStart"/>
      <w:r w:rsidRPr="00DC7164">
        <w:rPr>
          <w:szCs w:val="24"/>
        </w:rPr>
        <w:t>Bt</w:t>
      </w:r>
      <w:proofErr w:type="spellEnd"/>
      <w:r w:rsidRPr="00DC7164">
        <w:rPr>
          <w:szCs w:val="24"/>
        </w:rPr>
        <w:t xml:space="preserve"> toxins may also be increased through interaction with residues from spraying with herbicides, and that further studies are needed on the combinatorial effects of ‘stacked’ events (GM crops which have been modified to be herbicide tolerant and to produce insecticides in the form of </w:t>
      </w:r>
      <w:proofErr w:type="spellStart"/>
      <w:r w:rsidRPr="00DC7164">
        <w:rPr>
          <w:szCs w:val="24"/>
        </w:rPr>
        <w:t>Bt</w:t>
      </w:r>
      <w:proofErr w:type="spellEnd"/>
      <w:r w:rsidRPr="00DC7164">
        <w:rPr>
          <w:szCs w:val="24"/>
        </w:rPr>
        <w:t xml:space="preserve"> toxins)</w:t>
      </w:r>
      <w:r w:rsidRPr="00DC7164">
        <w:rPr>
          <w:rStyle w:val="FootnoteReference"/>
          <w:szCs w:val="24"/>
        </w:rPr>
        <w:footnoteReference w:id="10"/>
      </w:r>
      <w:r w:rsidRPr="00DC7164">
        <w:rPr>
          <w:szCs w:val="24"/>
        </w:rPr>
        <w:t xml:space="preserve">; whereas assessment of the potential interaction of herbicide residues and their metabolites with </w:t>
      </w:r>
      <w:proofErr w:type="spellStart"/>
      <w:r w:rsidRPr="00DC7164">
        <w:rPr>
          <w:szCs w:val="24"/>
        </w:rPr>
        <w:t>Bt</w:t>
      </w:r>
      <w:proofErr w:type="spellEnd"/>
      <w:r w:rsidRPr="00DC7164">
        <w:rPr>
          <w:szCs w:val="24"/>
        </w:rPr>
        <w:t xml:space="preserve"> toxins is, however, considered to be outside the remit of the EFSA GMO Panel and is, therefore, not undertaken as part of the risk assessment;</w:t>
      </w:r>
      <w:proofErr w:type="gramEnd"/>
    </w:p>
    <w:p w14:paraId="49544312" w14:textId="77777777" w:rsidR="0039308A" w:rsidRPr="00DC7164" w:rsidRDefault="0039308A" w:rsidP="001A10B5">
      <w:pPr>
        <w:pStyle w:val="NormalHanging12a"/>
        <w:rPr>
          <w:b/>
          <w:i/>
          <w:szCs w:val="24"/>
        </w:rPr>
      </w:pPr>
      <w:proofErr w:type="spellStart"/>
      <w:proofErr w:type="gramStart"/>
      <w:r w:rsidRPr="00DC7164">
        <w:rPr>
          <w:b/>
          <w:i/>
          <w:szCs w:val="24"/>
        </w:rPr>
        <w:t>Bt</w:t>
      </w:r>
      <w:proofErr w:type="spellEnd"/>
      <w:proofErr w:type="gramEnd"/>
      <w:r w:rsidRPr="00DC7164">
        <w:rPr>
          <w:b/>
          <w:i/>
          <w:szCs w:val="24"/>
        </w:rPr>
        <w:t xml:space="preserve"> crops: effects on non-target organisms</w:t>
      </w:r>
    </w:p>
    <w:p w14:paraId="409DE9F9" w14:textId="77777777" w:rsidR="0039308A" w:rsidRPr="00DC7164" w:rsidRDefault="0039308A" w:rsidP="001A10B5">
      <w:pPr>
        <w:pStyle w:val="NormalHanging12a"/>
        <w:rPr>
          <w:szCs w:val="24"/>
        </w:rPr>
      </w:pPr>
      <w:r w:rsidRPr="00DC7164">
        <w:rPr>
          <w:szCs w:val="24"/>
        </w:rPr>
        <w:lastRenderedPageBreak/>
        <w:t>L.</w:t>
      </w:r>
      <w:r w:rsidRPr="00DC7164">
        <w:rPr>
          <w:szCs w:val="24"/>
        </w:rPr>
        <w:tab/>
        <w:t xml:space="preserve">whereas, unlike the use of insecticides, where exposure is at the time of spraying and for a limited time afterwards, the use of </w:t>
      </w:r>
      <w:proofErr w:type="spellStart"/>
      <w:r w:rsidRPr="00DC7164">
        <w:rPr>
          <w:szCs w:val="24"/>
        </w:rPr>
        <w:t>Bt</w:t>
      </w:r>
      <w:proofErr w:type="spellEnd"/>
      <w:r w:rsidRPr="00DC7164">
        <w:rPr>
          <w:szCs w:val="24"/>
        </w:rPr>
        <w:t xml:space="preserve"> GM crops leads to continuous exposure of the target and non-target organisms to </w:t>
      </w:r>
      <w:proofErr w:type="spellStart"/>
      <w:r w:rsidRPr="00DC7164">
        <w:rPr>
          <w:szCs w:val="24"/>
        </w:rPr>
        <w:t>Bt</w:t>
      </w:r>
      <w:proofErr w:type="spellEnd"/>
      <w:r w:rsidRPr="00DC7164">
        <w:rPr>
          <w:szCs w:val="24"/>
        </w:rPr>
        <w:t xml:space="preserve"> toxins;</w:t>
      </w:r>
    </w:p>
    <w:p w14:paraId="0525C689" w14:textId="77777777" w:rsidR="0039308A" w:rsidRPr="00DC7164" w:rsidRDefault="0039308A" w:rsidP="001A10B5">
      <w:pPr>
        <w:pStyle w:val="NormalHanging12a"/>
        <w:rPr>
          <w:szCs w:val="24"/>
        </w:rPr>
      </w:pPr>
      <w:proofErr w:type="gramStart"/>
      <w:r w:rsidRPr="00DC7164">
        <w:rPr>
          <w:szCs w:val="24"/>
        </w:rPr>
        <w:t>M.</w:t>
      </w:r>
      <w:r w:rsidRPr="00DC7164">
        <w:rPr>
          <w:szCs w:val="24"/>
        </w:rPr>
        <w:tab/>
        <w:t xml:space="preserve">whereas the assumption that </w:t>
      </w:r>
      <w:proofErr w:type="spellStart"/>
      <w:r w:rsidRPr="00DC7164">
        <w:rPr>
          <w:szCs w:val="24"/>
        </w:rPr>
        <w:t>Bt</w:t>
      </w:r>
      <w:proofErr w:type="spellEnd"/>
      <w:r w:rsidRPr="00DC7164">
        <w:rPr>
          <w:szCs w:val="24"/>
        </w:rPr>
        <w:t xml:space="preserve"> toxins exhibit a single target-specific mode-of-action can no longer be considered correct and effects on non-target organisms cannot be excluded; whereas an increasing number of non-target organisms are reported to be affected in many ways; whereas 39 peer-reviewed publications that report significant adverse effects of </w:t>
      </w:r>
      <w:proofErr w:type="spellStart"/>
      <w:r w:rsidRPr="00DC7164">
        <w:rPr>
          <w:szCs w:val="24"/>
        </w:rPr>
        <w:t>Bt</w:t>
      </w:r>
      <w:proofErr w:type="spellEnd"/>
      <w:r w:rsidRPr="00DC7164">
        <w:rPr>
          <w:szCs w:val="24"/>
        </w:rPr>
        <w:t xml:space="preserve"> toxins on many ‘out-of-range’ species are mentioned in a recent overview</w:t>
      </w:r>
      <w:r w:rsidRPr="00DC7164">
        <w:rPr>
          <w:rStyle w:val="FootnoteReference"/>
          <w:szCs w:val="24"/>
        </w:rPr>
        <w:footnoteReference w:id="11"/>
      </w:r>
      <w:r w:rsidRPr="00DC7164">
        <w:rPr>
          <w:szCs w:val="24"/>
        </w:rPr>
        <w:t>;</w:t>
      </w:r>
      <w:proofErr w:type="gramEnd"/>
    </w:p>
    <w:p w14:paraId="153E176A" w14:textId="77777777" w:rsidR="0039308A" w:rsidRPr="00DC7164" w:rsidRDefault="0039308A" w:rsidP="001A10B5">
      <w:pPr>
        <w:pStyle w:val="NormalHanging12a"/>
        <w:rPr>
          <w:b/>
          <w:i/>
          <w:szCs w:val="24"/>
        </w:rPr>
      </w:pPr>
      <w:r w:rsidRPr="00DC7164">
        <w:rPr>
          <w:b/>
          <w:i/>
          <w:szCs w:val="24"/>
        </w:rPr>
        <w:t>Member State and stakeholder comments</w:t>
      </w:r>
    </w:p>
    <w:p w14:paraId="0A150657" w14:textId="77777777" w:rsidR="0039308A" w:rsidRPr="00DC7164" w:rsidRDefault="0039308A" w:rsidP="001A10B5">
      <w:pPr>
        <w:pStyle w:val="NormalHanging12a"/>
        <w:rPr>
          <w:szCs w:val="24"/>
        </w:rPr>
      </w:pPr>
      <w:r w:rsidRPr="00DC7164">
        <w:rPr>
          <w:szCs w:val="24"/>
        </w:rPr>
        <w:t>N.</w:t>
      </w:r>
      <w:r w:rsidRPr="00DC7164">
        <w:rPr>
          <w:szCs w:val="24"/>
        </w:rPr>
        <w:tab/>
        <w:t>whereas Member States submitted many critical comments to EFSA during the three-month consultation period</w:t>
      </w:r>
      <w:r w:rsidRPr="00DC7164">
        <w:rPr>
          <w:rStyle w:val="FootnoteReference"/>
          <w:szCs w:val="24"/>
        </w:rPr>
        <w:footnoteReference w:id="12"/>
      </w:r>
      <w:r w:rsidRPr="00DC7164">
        <w:rPr>
          <w:szCs w:val="24"/>
        </w:rPr>
        <w:t xml:space="preserve"> including that the list of relevant studies, identified in the literature review of the applicant, did not include studies on the fate of </w:t>
      </w:r>
      <w:proofErr w:type="spellStart"/>
      <w:r w:rsidRPr="00DC7164">
        <w:rPr>
          <w:szCs w:val="24"/>
        </w:rPr>
        <w:t>Bt</w:t>
      </w:r>
      <w:proofErr w:type="spellEnd"/>
      <w:r w:rsidRPr="00DC7164">
        <w:rPr>
          <w:szCs w:val="24"/>
        </w:rPr>
        <w:t xml:space="preserve">-proteins in the environment or on potential effects of </w:t>
      </w:r>
      <w:proofErr w:type="spellStart"/>
      <w:r w:rsidRPr="00DC7164">
        <w:rPr>
          <w:szCs w:val="24"/>
        </w:rPr>
        <w:t>Bt</w:t>
      </w:r>
      <w:proofErr w:type="spellEnd"/>
      <w:r w:rsidRPr="00DC7164">
        <w:rPr>
          <w:szCs w:val="24"/>
        </w:rPr>
        <w:t xml:space="preserve">-crop residues on non-target organisms even though such studies exist; </w:t>
      </w:r>
    </w:p>
    <w:p w14:paraId="63A1005C" w14:textId="77777777" w:rsidR="0039308A" w:rsidRPr="00DC7164" w:rsidRDefault="0039308A" w:rsidP="001A10B5">
      <w:pPr>
        <w:pStyle w:val="NormalHanging12a"/>
        <w:rPr>
          <w:b/>
          <w:i/>
          <w:szCs w:val="24"/>
        </w:rPr>
      </w:pPr>
      <w:r w:rsidRPr="00DC7164">
        <w:rPr>
          <w:b/>
          <w:i/>
          <w:szCs w:val="24"/>
        </w:rPr>
        <w:t>Ensuring a global level playing field and upholding the Union’s international obligations</w:t>
      </w:r>
    </w:p>
    <w:p w14:paraId="3297B193" w14:textId="77777777" w:rsidR="0039308A" w:rsidRPr="00DC7164" w:rsidRDefault="0039308A" w:rsidP="001A10B5">
      <w:pPr>
        <w:pStyle w:val="NormalHanging12a"/>
        <w:rPr>
          <w:szCs w:val="24"/>
        </w:rPr>
      </w:pPr>
      <w:proofErr w:type="gramStart"/>
      <w:r w:rsidRPr="00DC7164">
        <w:rPr>
          <w:szCs w:val="24"/>
        </w:rPr>
        <w:t>O.</w:t>
      </w:r>
      <w:r w:rsidRPr="00DC7164">
        <w:rPr>
          <w:szCs w:val="24"/>
        </w:rPr>
        <w:tab/>
        <w:t>whereas the conclusions of the Strategic Dialogue on the Future of EU Agriculture</w:t>
      </w:r>
      <w:r w:rsidRPr="00DC7164">
        <w:rPr>
          <w:rStyle w:val="FootnoteReference"/>
          <w:szCs w:val="24"/>
        </w:rPr>
        <w:footnoteReference w:id="13"/>
      </w:r>
      <w:r w:rsidRPr="00DC7164">
        <w:rPr>
          <w:szCs w:val="24"/>
        </w:rPr>
        <w:t xml:space="preserve"> call on the Commission to reassess its approach on market access for </w:t>
      </w:r>
      <w:proofErr w:type="spellStart"/>
      <w:r w:rsidRPr="00DC7164">
        <w:rPr>
          <w:szCs w:val="24"/>
        </w:rPr>
        <w:t>agri</w:t>
      </w:r>
      <w:proofErr w:type="spellEnd"/>
      <w:r w:rsidRPr="00DC7164">
        <w:rPr>
          <w:szCs w:val="24"/>
        </w:rPr>
        <w:t>-food imports and exports, given the challenge of diverging standards of the Union and its trading partners; whereas fairer trade relations, on a global level, coherent with goals for a healthy environment, were one of the main demands of farmers during the demonstrations of 2023 and 2024;</w:t>
      </w:r>
      <w:proofErr w:type="gramEnd"/>
    </w:p>
    <w:p w14:paraId="00841A51" w14:textId="77777777" w:rsidR="0039308A" w:rsidRPr="00DC7164" w:rsidRDefault="0039308A" w:rsidP="001A10B5">
      <w:pPr>
        <w:pStyle w:val="NormalHanging12a"/>
        <w:rPr>
          <w:szCs w:val="24"/>
        </w:rPr>
      </w:pPr>
      <w:proofErr w:type="gramStart"/>
      <w:r w:rsidRPr="00DC7164">
        <w:rPr>
          <w:szCs w:val="24"/>
        </w:rPr>
        <w:t>P.</w:t>
      </w:r>
      <w:r w:rsidRPr="00DC7164">
        <w:rPr>
          <w:szCs w:val="24"/>
        </w:rPr>
        <w:tab/>
        <w:t>whereas a 2017 report by the United Nations’ (UN) Special Rapporteur on the right to food found that, particularly in developing countries, hazardous pesticides have catastrophic impacts on health</w:t>
      </w:r>
      <w:r w:rsidRPr="00DC7164">
        <w:rPr>
          <w:rStyle w:val="FootnoteReference"/>
          <w:szCs w:val="24"/>
        </w:rPr>
        <w:footnoteReference w:id="14"/>
      </w:r>
      <w:r w:rsidRPr="00DC7164">
        <w:rPr>
          <w:szCs w:val="24"/>
        </w:rPr>
        <w:t>; whereas the UN Sustainable Development Goal (UN SDG) Target 3.9 aims by 2030 to substantially reduce the number of deaths and illnesses from hazardous chemicals and air, water and soil pollution and contamination;</w:t>
      </w:r>
      <w:proofErr w:type="gramEnd"/>
    </w:p>
    <w:p w14:paraId="66F23498" w14:textId="77777777" w:rsidR="0039308A" w:rsidRPr="00DC7164" w:rsidRDefault="0039308A" w:rsidP="001A10B5">
      <w:pPr>
        <w:pStyle w:val="NormalHanging12a"/>
        <w:rPr>
          <w:szCs w:val="24"/>
        </w:rPr>
      </w:pPr>
      <w:r w:rsidRPr="00DC7164">
        <w:rPr>
          <w:szCs w:val="24"/>
        </w:rPr>
        <w:t>Q.</w:t>
      </w:r>
      <w:r w:rsidRPr="00DC7164">
        <w:rPr>
          <w:szCs w:val="24"/>
        </w:rPr>
        <w:tab/>
        <w:t>whereas the Kunming-Montreal Global Biodiversity Framework (‘Kunming-Montreal Framework’</w:t>
      </w:r>
      <w:proofErr w:type="gramStart"/>
      <w:r w:rsidRPr="00DC7164">
        <w:rPr>
          <w:szCs w:val="24"/>
        </w:rPr>
        <w:t>),</w:t>
      </w:r>
      <w:proofErr w:type="gramEnd"/>
      <w:r w:rsidRPr="00DC7164">
        <w:rPr>
          <w:szCs w:val="24"/>
        </w:rPr>
        <w:t xml:space="preserve"> agreed at the COP15 of the UN Convention on Biological Diversity (UN CBD) in December 2022, includes a global target to reduce the risk of pesticides by at </w:t>
      </w:r>
      <w:r w:rsidRPr="00DC7164">
        <w:rPr>
          <w:szCs w:val="24"/>
        </w:rPr>
        <w:lastRenderedPageBreak/>
        <w:t>least 50 % by 2030</w:t>
      </w:r>
      <w:r w:rsidRPr="00DC7164">
        <w:rPr>
          <w:rStyle w:val="FootnoteReference"/>
          <w:szCs w:val="24"/>
        </w:rPr>
        <w:footnoteReference w:id="15"/>
      </w:r>
      <w:r w:rsidRPr="00DC7164">
        <w:rPr>
          <w:szCs w:val="24"/>
        </w:rPr>
        <w:t>;</w:t>
      </w:r>
    </w:p>
    <w:p w14:paraId="74D89AA3" w14:textId="77777777" w:rsidR="0039308A" w:rsidRPr="00DC7164" w:rsidRDefault="0039308A" w:rsidP="001A10B5">
      <w:pPr>
        <w:pStyle w:val="NormalHanging12a"/>
        <w:rPr>
          <w:szCs w:val="24"/>
        </w:rPr>
      </w:pPr>
      <w:proofErr w:type="gramStart"/>
      <w:r w:rsidRPr="00DC7164">
        <w:rPr>
          <w:szCs w:val="24"/>
        </w:rPr>
        <w:t>R.</w:t>
      </w:r>
      <w:r w:rsidRPr="00DC7164">
        <w:rPr>
          <w:szCs w:val="24"/>
        </w:rPr>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14:paraId="34B14857" w14:textId="77777777" w:rsidR="0039308A" w:rsidRPr="00DC7164" w:rsidRDefault="0039308A" w:rsidP="001A10B5">
      <w:pPr>
        <w:pStyle w:val="NormalHanging12a"/>
        <w:rPr>
          <w:b/>
          <w:i/>
          <w:szCs w:val="24"/>
        </w:rPr>
      </w:pPr>
      <w:r w:rsidRPr="00DC7164">
        <w:rPr>
          <w:b/>
          <w:i/>
          <w:szCs w:val="24"/>
        </w:rPr>
        <w:t>Reducing dependency on imported feed</w:t>
      </w:r>
    </w:p>
    <w:p w14:paraId="10310574" w14:textId="77777777" w:rsidR="0039308A" w:rsidRPr="00DC7164" w:rsidRDefault="0039308A" w:rsidP="001A10B5">
      <w:pPr>
        <w:pStyle w:val="NormalHanging12a"/>
        <w:rPr>
          <w:b/>
          <w:i/>
          <w:szCs w:val="24"/>
        </w:rPr>
      </w:pPr>
      <w:r w:rsidRPr="00DC7164">
        <w:rPr>
          <w:szCs w:val="24"/>
        </w:rPr>
        <w:t>S.</w:t>
      </w:r>
      <w:r w:rsidRPr="00DC7164">
        <w:rPr>
          <w:szCs w:val="24"/>
        </w:rPr>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DC7164">
        <w:rPr>
          <w:szCs w:val="24"/>
        </w:rPr>
        <w:t>Leyen</w:t>
      </w:r>
      <w:proofErr w:type="spellEnd"/>
      <w:r w:rsidRPr="00DC7164">
        <w:rPr>
          <w:szCs w:val="24"/>
        </w:rPr>
        <w:t xml:space="preserve"> asks him to look at ways to reduce imports of critical commodities</w:t>
      </w:r>
      <w:r w:rsidRPr="00DC7164">
        <w:rPr>
          <w:rStyle w:val="FootnoteReference"/>
          <w:szCs w:val="24"/>
        </w:rPr>
        <w:footnoteReference w:id="16"/>
      </w:r>
      <w:r w:rsidRPr="00DC7164">
        <w:rPr>
          <w:szCs w:val="24"/>
        </w:rPr>
        <w:t xml:space="preserve">; </w:t>
      </w:r>
    </w:p>
    <w:p w14:paraId="43AAF06F" w14:textId="77777777" w:rsidR="0039308A" w:rsidRPr="00DC7164" w:rsidRDefault="0039308A" w:rsidP="001A10B5">
      <w:pPr>
        <w:pStyle w:val="NormalHanging12a"/>
        <w:rPr>
          <w:b/>
          <w:i/>
          <w:szCs w:val="24"/>
        </w:rPr>
      </w:pPr>
      <w:r w:rsidRPr="00DC7164">
        <w:rPr>
          <w:b/>
          <w:i/>
          <w:szCs w:val="24"/>
        </w:rPr>
        <w:t>Undemocratic decision-making</w:t>
      </w:r>
    </w:p>
    <w:p w14:paraId="0FD69C22" w14:textId="77777777" w:rsidR="0039308A" w:rsidRPr="00DC7164" w:rsidRDefault="0039308A" w:rsidP="001A10B5">
      <w:pPr>
        <w:pStyle w:val="NormalHanging12a"/>
        <w:rPr>
          <w:szCs w:val="24"/>
        </w:rPr>
      </w:pPr>
      <w:r w:rsidRPr="00DC7164">
        <w:rPr>
          <w:szCs w:val="24"/>
        </w:rPr>
        <w:t>T.</w:t>
      </w:r>
      <w:r w:rsidRPr="00DC7164">
        <w:rPr>
          <w:szCs w:val="24"/>
        </w:rPr>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placing GMOs on the market;</w:t>
      </w:r>
    </w:p>
    <w:p w14:paraId="3730749B" w14:textId="77777777" w:rsidR="0039308A" w:rsidRPr="00DC7164" w:rsidRDefault="0039308A" w:rsidP="001A10B5">
      <w:pPr>
        <w:pStyle w:val="NormalHanging12a"/>
        <w:rPr>
          <w:szCs w:val="24"/>
        </w:rPr>
      </w:pPr>
      <w:r w:rsidRPr="00DC7164">
        <w:rPr>
          <w:szCs w:val="24"/>
        </w:rPr>
        <w:t>U.</w:t>
      </w:r>
      <w:r w:rsidRPr="00DC7164">
        <w:rPr>
          <w:szCs w:val="24"/>
        </w:rPr>
        <w:tab/>
        <w:t>whereas despite its own acknowledgement of the democratic shortcomings, the lack of support from Member States and the objections of Parliament, the Commission continues to authorise GMOs;</w:t>
      </w:r>
    </w:p>
    <w:p w14:paraId="58F6373F" w14:textId="77777777" w:rsidR="0039308A" w:rsidRPr="00DC7164" w:rsidRDefault="0039308A" w:rsidP="001A10B5">
      <w:pPr>
        <w:pStyle w:val="NormalHanging12a"/>
        <w:rPr>
          <w:szCs w:val="24"/>
        </w:rPr>
      </w:pPr>
      <w:r w:rsidRPr="00DC7164">
        <w:rPr>
          <w:szCs w:val="24"/>
        </w:rPr>
        <w:t>V.</w:t>
      </w:r>
      <w:r w:rsidRPr="00DC7164">
        <w:rPr>
          <w:szCs w:val="24"/>
        </w:rPr>
        <w:tab/>
        <w:t>whereas no change of law is required for the Commission to be able not to authorise GMOs when there is no qualified majority of Member States in favour in the Appeal Committee</w:t>
      </w:r>
      <w:r w:rsidRPr="00DC7164">
        <w:rPr>
          <w:rStyle w:val="FootnoteReference"/>
          <w:szCs w:val="24"/>
        </w:rPr>
        <w:footnoteReference w:id="17"/>
      </w:r>
      <w:proofErr w:type="gramStart"/>
      <w:r w:rsidRPr="00DC7164">
        <w:rPr>
          <w:szCs w:val="24"/>
        </w:rPr>
        <w:t>;</w:t>
      </w:r>
      <w:proofErr w:type="gramEnd"/>
    </w:p>
    <w:p w14:paraId="78B25D06" w14:textId="77777777" w:rsidR="0039308A" w:rsidRPr="00DC7164" w:rsidRDefault="0039308A" w:rsidP="001A10B5">
      <w:pPr>
        <w:spacing w:after="240"/>
        <w:ind w:left="567" w:hanging="567"/>
        <w:rPr>
          <w:szCs w:val="24"/>
          <w:shd w:val="clear" w:color="auto" w:fill="FFFFFF"/>
        </w:rPr>
      </w:pPr>
      <w:proofErr w:type="gramStart"/>
      <w:r w:rsidRPr="00DC7164">
        <w:rPr>
          <w:szCs w:val="24"/>
        </w:rPr>
        <w:t>W.</w:t>
      </w:r>
      <w:r w:rsidRPr="00DC7164">
        <w:rPr>
          <w:szCs w:val="24"/>
        </w:rPr>
        <w:tab/>
      </w:r>
      <w:r w:rsidRPr="00DC7164">
        <w:rPr>
          <w:szCs w:val="24"/>
          <w:shd w:val="clear" w:color="auto" w:fill="FFFFFF"/>
        </w:rPr>
        <w:t>whereas the vote on 8 July 2024 of the Standing Committee on Plants, Animals, Food and Feed referred to in Article 35 of Regulation (EC) No 1829/2003 delivered no opinion, meaning that the authorisation was not supported by a qualified majority of Member States; whereas the vote on 3 September 2024 of the Appeal Committee again delivered no opinion;</w:t>
      </w:r>
      <w:proofErr w:type="gramEnd"/>
    </w:p>
    <w:p w14:paraId="6DA7BA05" w14:textId="1B22B786" w:rsidR="0039308A" w:rsidRPr="00DC7164" w:rsidRDefault="0039308A" w:rsidP="001A10B5">
      <w:pPr>
        <w:pStyle w:val="NormalHanging12a"/>
        <w:rPr>
          <w:szCs w:val="24"/>
        </w:rPr>
      </w:pPr>
      <w:r w:rsidRPr="00DC7164">
        <w:rPr>
          <w:szCs w:val="24"/>
        </w:rPr>
        <w:t>1.</w:t>
      </w:r>
      <w:r w:rsidRPr="00DC7164">
        <w:rPr>
          <w:szCs w:val="24"/>
        </w:rPr>
        <w:tab/>
      </w:r>
      <w:proofErr w:type="gramStart"/>
      <w:r w:rsidRPr="00DC7164">
        <w:rPr>
          <w:szCs w:val="24"/>
        </w:rPr>
        <w:t>Considers</w:t>
      </w:r>
      <w:proofErr w:type="gramEnd"/>
      <w:r w:rsidRPr="00DC7164">
        <w:rPr>
          <w:szCs w:val="24"/>
        </w:rPr>
        <w:t xml:space="preserve"> that </w:t>
      </w:r>
      <w:r w:rsidR="00043FA4" w:rsidRPr="00DC7164">
        <w:rPr>
          <w:szCs w:val="24"/>
        </w:rPr>
        <w:t>I</w:t>
      </w:r>
      <w:r w:rsidRPr="00DC7164">
        <w:rPr>
          <w:szCs w:val="24"/>
        </w:rPr>
        <w:t xml:space="preserve">mplementing </w:t>
      </w:r>
      <w:r w:rsidR="00043FA4" w:rsidRPr="00DC7164">
        <w:rPr>
          <w:szCs w:val="24"/>
        </w:rPr>
        <w:t>D</w:t>
      </w:r>
      <w:r w:rsidRPr="00DC7164">
        <w:rPr>
          <w:szCs w:val="24"/>
        </w:rPr>
        <w:t xml:space="preserve">ecision </w:t>
      </w:r>
      <w:r w:rsidR="00043FA4" w:rsidRPr="00DC7164">
        <w:t xml:space="preserve">(EU) 2024/2628 </w:t>
      </w:r>
      <w:r w:rsidRPr="00DC7164">
        <w:rPr>
          <w:szCs w:val="24"/>
        </w:rPr>
        <w:t>exceeds the implementing powers provided for in Regulation (EC) No 1829/2003;</w:t>
      </w:r>
    </w:p>
    <w:p w14:paraId="569841FC" w14:textId="30F925A3" w:rsidR="0039308A" w:rsidRDefault="0039308A" w:rsidP="001A10B5">
      <w:pPr>
        <w:pStyle w:val="NormalHanging12a"/>
        <w:rPr>
          <w:szCs w:val="24"/>
        </w:rPr>
      </w:pPr>
      <w:proofErr w:type="gramStart"/>
      <w:r w:rsidRPr="00DC7164">
        <w:rPr>
          <w:szCs w:val="24"/>
        </w:rPr>
        <w:t>2.</w:t>
      </w:r>
      <w:r w:rsidRPr="00DC7164">
        <w:rPr>
          <w:szCs w:val="24"/>
        </w:rPr>
        <w:tab/>
        <w:t xml:space="preserve">Considers that </w:t>
      </w:r>
      <w:r w:rsidR="00043FA4" w:rsidRPr="00DC7164">
        <w:rPr>
          <w:szCs w:val="24"/>
        </w:rPr>
        <w:t>I</w:t>
      </w:r>
      <w:r w:rsidRPr="00DC7164">
        <w:rPr>
          <w:szCs w:val="24"/>
        </w:rPr>
        <w:t xml:space="preserve">mplementing </w:t>
      </w:r>
      <w:r w:rsidR="00043FA4" w:rsidRPr="00DC7164">
        <w:rPr>
          <w:szCs w:val="24"/>
        </w:rPr>
        <w:t>D</w:t>
      </w:r>
      <w:r w:rsidRPr="00DC7164">
        <w:rPr>
          <w:szCs w:val="24"/>
        </w:rPr>
        <w:t>ecision</w:t>
      </w:r>
      <w:r w:rsidR="00043FA4" w:rsidRPr="00DC7164">
        <w:rPr>
          <w:szCs w:val="24"/>
        </w:rPr>
        <w:t xml:space="preserve"> </w:t>
      </w:r>
      <w:r w:rsidR="00043FA4" w:rsidRPr="00DC7164">
        <w:t>(EU) 2024/2628</w:t>
      </w:r>
      <w:r w:rsidRPr="00DC7164">
        <w:rPr>
          <w:szCs w:val="24"/>
        </w:rPr>
        <w:t xml:space="preserve"> is not consistent with Union law, in that it is not compatible with the aim of Regulation (EC) No 1829/2003, which is, in accordance with the general principles laid down in Regulation (EC) No 178/2002 </w:t>
      </w:r>
      <w:r w:rsidRPr="00DC7164">
        <w:rPr>
          <w:szCs w:val="24"/>
        </w:rPr>
        <w:lastRenderedPageBreak/>
        <w:t>of the European Parliament and of the Council</w:t>
      </w:r>
      <w:r w:rsidRPr="00DC7164">
        <w:rPr>
          <w:rStyle w:val="FootnoteReference"/>
          <w:szCs w:val="24"/>
        </w:rPr>
        <w:footnoteReference w:id="18"/>
      </w:r>
      <w:r w:rsidRPr="00DC7164">
        <w:rPr>
          <w:szCs w:val="24"/>
        </w:rPr>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14:paraId="6125A0E6" w14:textId="2C5DB616" w:rsidR="0041030B" w:rsidRPr="00DC7164" w:rsidRDefault="0041030B" w:rsidP="001A10B5">
      <w:pPr>
        <w:pStyle w:val="NormalHanging12a"/>
        <w:rPr>
          <w:szCs w:val="24"/>
        </w:rPr>
      </w:pPr>
      <w:r>
        <w:rPr>
          <w:szCs w:val="24"/>
        </w:rPr>
        <w:t>3</w:t>
      </w:r>
      <w:r w:rsidRPr="0041030B">
        <w:rPr>
          <w:szCs w:val="24"/>
        </w:rPr>
        <w:t>.</w:t>
      </w:r>
      <w:r w:rsidRPr="0041030B">
        <w:rPr>
          <w:szCs w:val="24"/>
        </w:rPr>
        <w:tab/>
        <w:t>Calls on the Commission to ensure convergence of standards between the Union and its partners in free trade agreement negotiations, in order to meet Union safety standards</w:t>
      </w:r>
      <w:proofErr w:type="gramStart"/>
      <w:r w:rsidRPr="0041030B">
        <w:rPr>
          <w:szCs w:val="24"/>
        </w:rPr>
        <w:t>;</w:t>
      </w:r>
      <w:proofErr w:type="gramEnd"/>
    </w:p>
    <w:p w14:paraId="2A28373E" w14:textId="221F2A35" w:rsidR="0039308A" w:rsidRPr="00DC7164" w:rsidRDefault="0041030B" w:rsidP="001A10B5">
      <w:pPr>
        <w:pStyle w:val="NormalHanging12a"/>
        <w:rPr>
          <w:szCs w:val="24"/>
        </w:rPr>
      </w:pPr>
      <w:r>
        <w:rPr>
          <w:szCs w:val="24"/>
        </w:rPr>
        <w:t>4</w:t>
      </w:r>
      <w:r w:rsidR="0039308A" w:rsidRPr="00DC7164">
        <w:rPr>
          <w:szCs w:val="24"/>
        </w:rPr>
        <w:t>.</w:t>
      </w:r>
      <w:r w:rsidR="0039308A" w:rsidRPr="00DC7164">
        <w:rPr>
          <w:szCs w:val="24"/>
        </w:rPr>
        <w:tab/>
        <w:t xml:space="preserve">Calls on the Commission to </w:t>
      </w:r>
      <w:r w:rsidR="00043FA4" w:rsidRPr="00DC7164">
        <w:rPr>
          <w:szCs w:val="24"/>
        </w:rPr>
        <w:t>repeal I</w:t>
      </w:r>
      <w:r w:rsidR="0039308A" w:rsidRPr="00DC7164">
        <w:rPr>
          <w:szCs w:val="24"/>
        </w:rPr>
        <w:t xml:space="preserve">mplementing </w:t>
      </w:r>
      <w:r w:rsidR="00043FA4" w:rsidRPr="00DC7164">
        <w:rPr>
          <w:szCs w:val="24"/>
        </w:rPr>
        <w:t>D</w:t>
      </w:r>
      <w:r w:rsidR="0039308A" w:rsidRPr="00DC7164">
        <w:rPr>
          <w:szCs w:val="24"/>
        </w:rPr>
        <w:t xml:space="preserve">ecision </w:t>
      </w:r>
      <w:r w:rsidR="00043FA4" w:rsidRPr="00DC7164">
        <w:t xml:space="preserve">(EU) 2024/2628 </w:t>
      </w:r>
      <w:r w:rsidR="0039308A" w:rsidRPr="00DC7164">
        <w:rPr>
          <w:szCs w:val="24"/>
        </w:rPr>
        <w:t>and to submit a new draft to the committee</w:t>
      </w:r>
      <w:proofErr w:type="gramStart"/>
      <w:r w:rsidR="0039308A" w:rsidRPr="00DC7164">
        <w:rPr>
          <w:szCs w:val="24"/>
        </w:rPr>
        <w:t>;</w:t>
      </w:r>
      <w:proofErr w:type="gramEnd"/>
    </w:p>
    <w:p w14:paraId="63DBFF11" w14:textId="20A30048" w:rsidR="0039308A" w:rsidRPr="00DC7164" w:rsidRDefault="0041030B" w:rsidP="001A10B5">
      <w:pPr>
        <w:pStyle w:val="NormalHanging12a"/>
        <w:rPr>
          <w:szCs w:val="24"/>
        </w:rPr>
      </w:pPr>
      <w:r>
        <w:rPr>
          <w:szCs w:val="24"/>
        </w:rPr>
        <w:t>5</w:t>
      </w:r>
      <w:r w:rsidR="0039308A" w:rsidRPr="00DC7164">
        <w:rPr>
          <w:szCs w:val="24"/>
        </w:rPr>
        <w:t>.</w:t>
      </w:r>
      <w:r w:rsidR="0039308A" w:rsidRPr="00DC7164">
        <w:rPr>
          <w:szCs w:val="24"/>
        </w:rPr>
        <w:tab/>
        <w:t xml:space="preserve">Calls on the Commission not to authorise herbicide-tolerant GM crops, due to the associated increased use of complementary herbicides and therefore the increased risks to biodiversity, food safety and workers’ health </w:t>
      </w:r>
      <w:r w:rsidR="0039308A" w:rsidRPr="00DC7164">
        <w:rPr>
          <w:bCs/>
          <w:iCs/>
          <w:szCs w:val="24"/>
        </w:rPr>
        <w:t>in line with the One Health approach</w:t>
      </w:r>
      <w:r w:rsidR="0039308A" w:rsidRPr="00DC7164">
        <w:rPr>
          <w:szCs w:val="24"/>
        </w:rPr>
        <w:t>;</w:t>
      </w:r>
    </w:p>
    <w:p w14:paraId="09D51C33" w14:textId="284E9982" w:rsidR="0039308A" w:rsidRPr="00DC7164" w:rsidRDefault="0041030B" w:rsidP="001A10B5">
      <w:pPr>
        <w:pStyle w:val="NormalHanging12a"/>
        <w:rPr>
          <w:szCs w:val="24"/>
        </w:rPr>
      </w:pPr>
      <w:r>
        <w:rPr>
          <w:szCs w:val="24"/>
        </w:rPr>
        <w:t>6</w:t>
      </w:r>
      <w:r w:rsidR="0039308A" w:rsidRPr="00DC7164">
        <w:rPr>
          <w:szCs w:val="24"/>
        </w:rPr>
        <w:t>.</w:t>
      </w:r>
      <w:r w:rsidR="0039308A" w:rsidRPr="00DC7164">
        <w:rPr>
          <w:szCs w:val="24"/>
        </w:rPr>
        <w:tab/>
        <w:t>Highlights, in this regard, that authorising the import for food or feed uses of any GM plant which has been made tolerant to herbicides is incoherent with the Union’s international commitments under, inter alia, the UN SDGs and the UN CBD, including the recently adopted Kunming-Montreal Framework</w:t>
      </w:r>
      <w:r w:rsidR="0039308A" w:rsidRPr="00DC7164">
        <w:rPr>
          <w:rStyle w:val="FootnoteReference"/>
          <w:szCs w:val="24"/>
        </w:rPr>
        <w:footnoteReference w:id="19"/>
      </w:r>
      <w:r w:rsidR="0039308A" w:rsidRPr="00DC7164">
        <w:rPr>
          <w:szCs w:val="24"/>
        </w:rPr>
        <w:t>;</w:t>
      </w:r>
    </w:p>
    <w:p w14:paraId="4FA78F04" w14:textId="6A63D169" w:rsidR="0039308A" w:rsidRPr="00DC7164" w:rsidRDefault="0041030B" w:rsidP="001A10B5">
      <w:pPr>
        <w:pStyle w:val="NormalHanging12a"/>
        <w:rPr>
          <w:szCs w:val="24"/>
        </w:rPr>
      </w:pPr>
      <w:proofErr w:type="gramStart"/>
      <w:r>
        <w:rPr>
          <w:szCs w:val="24"/>
        </w:rPr>
        <w:t>7</w:t>
      </w:r>
      <w:r w:rsidR="0039308A" w:rsidRPr="00DC7164">
        <w:rPr>
          <w:szCs w:val="24"/>
        </w:rPr>
        <w:t>.</w:t>
      </w:r>
      <w:r w:rsidR="0039308A" w:rsidRPr="00DC7164">
        <w:rPr>
          <w:szCs w:val="24"/>
        </w:rPr>
        <w:tab/>
        <w:t>Welcomes the fact that the Commission finally recognised, in a letter of 11 September 2020 to Members, the need to take sustainability into account when it comes to authorisation decisions on GMOs</w:t>
      </w:r>
      <w:r w:rsidR="0039308A" w:rsidRPr="00DC7164">
        <w:rPr>
          <w:rStyle w:val="FootnoteReference"/>
          <w:szCs w:val="24"/>
        </w:rPr>
        <w:footnoteReference w:id="20"/>
      </w:r>
      <w:r w:rsidR="0039308A" w:rsidRPr="00DC7164">
        <w:rPr>
          <w:szCs w:val="24"/>
        </w:rPr>
        <w:t>; expresses its deep disappointment, however, that, since then the Commission has continued to authorise GMOs for import into the Union, despite ongoing objections by Parliament and a majority of Member States voting against;</w:t>
      </w:r>
      <w:proofErr w:type="gramEnd"/>
    </w:p>
    <w:p w14:paraId="6A267906" w14:textId="1265AA66" w:rsidR="0039308A" w:rsidRPr="00DC7164" w:rsidRDefault="0041030B" w:rsidP="001A10B5">
      <w:pPr>
        <w:pStyle w:val="NormalHanging12a"/>
        <w:rPr>
          <w:szCs w:val="24"/>
        </w:rPr>
      </w:pPr>
      <w:r>
        <w:rPr>
          <w:szCs w:val="24"/>
        </w:rPr>
        <w:t>8</w:t>
      </w:r>
      <w:r w:rsidR="0039308A" w:rsidRPr="00DC7164">
        <w:rPr>
          <w:szCs w:val="24"/>
        </w:rPr>
        <w:t>.</w:t>
      </w:r>
      <w:r w:rsidR="0039308A" w:rsidRPr="00DC7164">
        <w:rPr>
          <w:szCs w:val="24"/>
        </w:rPr>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0039308A" w:rsidRPr="00DC7164">
        <w:rPr>
          <w:rStyle w:val="FootnoteReference"/>
          <w:szCs w:val="24"/>
        </w:rPr>
        <w:footnoteReference w:id="21"/>
      </w:r>
      <w:r w:rsidR="0039308A" w:rsidRPr="00DC7164">
        <w:rPr>
          <w:szCs w:val="24"/>
        </w:rPr>
        <w:t xml:space="preserve">; </w:t>
      </w:r>
    </w:p>
    <w:p w14:paraId="60FDBC96" w14:textId="6146CB31" w:rsidR="00E365E1" w:rsidRPr="00CB49B7" w:rsidRDefault="0041030B" w:rsidP="001A10B5">
      <w:pPr>
        <w:pStyle w:val="NormalHanging12a"/>
      </w:pPr>
      <w:r>
        <w:rPr>
          <w:szCs w:val="24"/>
        </w:rPr>
        <w:t>9</w:t>
      </w:r>
      <w:r w:rsidR="0039308A" w:rsidRPr="00DC7164">
        <w:rPr>
          <w:szCs w:val="24"/>
        </w:rPr>
        <w:t>.</w:t>
      </w:r>
      <w:r w:rsidR="0039308A" w:rsidRPr="00DC7164">
        <w:rPr>
          <w:szCs w:val="24"/>
        </w:rPr>
        <w:tab/>
        <w:t>Instructs its President to forward this resolution to the Council and the Commission, and to the governments and parliaments of the Member States.</w:t>
      </w:r>
    </w:p>
    <w:sectPr w:rsidR="00E365E1" w:rsidRPr="00CB49B7" w:rsidSect="00CB49B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0BE74" w14:textId="77777777" w:rsidR="00C76251" w:rsidRPr="00CB49B7" w:rsidRDefault="00C76251">
      <w:r w:rsidRPr="00CB49B7">
        <w:separator/>
      </w:r>
    </w:p>
  </w:endnote>
  <w:endnote w:type="continuationSeparator" w:id="0">
    <w:p w14:paraId="1ABEBAE1" w14:textId="77777777" w:rsidR="00C76251" w:rsidRPr="00CB49B7" w:rsidRDefault="00C76251">
      <w:r w:rsidRPr="00CB49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6DA04" w14:textId="77777777" w:rsidR="00064002" w:rsidRPr="00CB49B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014B9" w14:textId="77777777" w:rsidR="00064002" w:rsidRPr="00CB49B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B5A43" w14:textId="77777777" w:rsidR="00064002" w:rsidRPr="00CB49B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8B264" w14:textId="77777777" w:rsidR="00C76251" w:rsidRPr="00CB49B7" w:rsidRDefault="00C76251">
      <w:r w:rsidRPr="00CB49B7">
        <w:separator/>
      </w:r>
    </w:p>
  </w:footnote>
  <w:footnote w:type="continuationSeparator" w:id="0">
    <w:p w14:paraId="281BE458" w14:textId="77777777" w:rsidR="00C76251" w:rsidRPr="00CB49B7" w:rsidRDefault="00C76251">
      <w:r w:rsidRPr="00CB49B7">
        <w:continuationSeparator/>
      </w:r>
    </w:p>
  </w:footnote>
  <w:footnote w:id="1">
    <w:p w14:paraId="0B24576B" w14:textId="20BDB69A" w:rsidR="002010CB" w:rsidRPr="00DC7164" w:rsidRDefault="002010CB" w:rsidP="00DC7164">
      <w:pPr>
        <w:pStyle w:val="FootnoteText"/>
        <w:ind w:left="567" w:hanging="567"/>
        <w:rPr>
          <w:lang w:val="fi-FI"/>
        </w:rPr>
      </w:pPr>
      <w:r w:rsidRPr="00DC7164">
        <w:rPr>
          <w:rStyle w:val="FootnoteReference"/>
        </w:rPr>
        <w:footnoteRef/>
      </w:r>
      <w:r w:rsidRPr="00DC7164">
        <w:rPr>
          <w:lang w:val="fi-FI"/>
        </w:rPr>
        <w:t xml:space="preserve"> </w:t>
      </w:r>
      <w:r w:rsidRPr="00DC7164">
        <w:rPr>
          <w:sz w:val="24"/>
          <w:szCs w:val="24"/>
          <w:lang w:val="fi-FI"/>
        </w:rPr>
        <w:tab/>
        <w:t>OJ L, 2024/2628, 10.10.2024, ELI: http://data.europa.eu/eli/dec_impl/2024/2628/oj.</w:t>
      </w:r>
    </w:p>
  </w:footnote>
  <w:footnote w:id="2">
    <w:p w14:paraId="32232145" w14:textId="77777777" w:rsidR="0039308A" w:rsidRPr="00DC7164" w:rsidRDefault="0039308A" w:rsidP="00CB49B7">
      <w:pPr>
        <w:pStyle w:val="FootnoteText"/>
        <w:ind w:left="567" w:hanging="567"/>
        <w:rPr>
          <w:sz w:val="24"/>
          <w:lang w:val="pl-PL"/>
        </w:rPr>
      </w:pPr>
      <w:r w:rsidRPr="00DC7164">
        <w:rPr>
          <w:rStyle w:val="FootnoteReference"/>
          <w:sz w:val="24"/>
          <w:lang w:val="en-GB"/>
        </w:rPr>
        <w:footnoteRef/>
      </w:r>
      <w:r w:rsidR="00CB49B7" w:rsidRPr="00DC7164">
        <w:rPr>
          <w:sz w:val="24"/>
          <w:lang w:val="pl-PL"/>
        </w:rPr>
        <w:t xml:space="preserve"> </w:t>
      </w:r>
      <w:r w:rsidR="00CB49B7" w:rsidRPr="00DC7164">
        <w:rPr>
          <w:sz w:val="24"/>
          <w:lang w:val="pl-PL"/>
        </w:rPr>
        <w:tab/>
      </w:r>
      <w:r w:rsidRPr="00DC7164">
        <w:rPr>
          <w:sz w:val="24"/>
          <w:lang w:val="pl-PL"/>
        </w:rPr>
        <w:t>OJ L 268, 18.10.2003, p. 1, ELI</w:t>
      </w:r>
      <w:proofErr w:type="gramStart"/>
      <w:r w:rsidRPr="00DC7164">
        <w:rPr>
          <w:sz w:val="24"/>
          <w:lang w:val="pl-PL"/>
        </w:rPr>
        <w:t>: </w:t>
      </w:r>
      <w:hyperlink r:id="rId1" w:tooltip="Gives access to this document through its ELI URI." w:history="1">
        <w:proofErr w:type="gramEnd"/>
        <w:r w:rsidRPr="00DC7164">
          <w:rPr>
            <w:rStyle w:val="Hyperlink"/>
            <w:sz w:val="24"/>
            <w:lang w:val="pl-PL"/>
          </w:rPr>
          <w:t>http://data.europa.eu/eli/reg/2003/1829/oj</w:t>
        </w:r>
      </w:hyperlink>
      <w:r w:rsidRPr="00DC7164">
        <w:rPr>
          <w:sz w:val="24"/>
          <w:lang w:val="pl-PL"/>
        </w:rPr>
        <w:t>.</w:t>
      </w:r>
    </w:p>
  </w:footnote>
  <w:footnote w:id="3">
    <w:p w14:paraId="08C03075" w14:textId="77777777" w:rsidR="0039308A" w:rsidRPr="00DC7164" w:rsidRDefault="0039308A" w:rsidP="00CB49B7">
      <w:pPr>
        <w:pStyle w:val="FootnoteText"/>
        <w:ind w:left="567" w:hanging="567"/>
        <w:rPr>
          <w:sz w:val="24"/>
          <w:lang w:val="pl-PL"/>
        </w:rPr>
      </w:pPr>
      <w:r w:rsidRPr="00DC7164">
        <w:rPr>
          <w:rStyle w:val="FootnoteReference"/>
          <w:sz w:val="24"/>
          <w:lang w:val="en-GB"/>
        </w:rPr>
        <w:footnoteRef/>
      </w:r>
      <w:r w:rsidR="00CB49B7" w:rsidRPr="00DC7164">
        <w:rPr>
          <w:sz w:val="24"/>
          <w:lang w:val="pl-PL"/>
        </w:rPr>
        <w:t xml:space="preserve"> </w:t>
      </w:r>
      <w:r w:rsidR="00CB49B7" w:rsidRPr="00DC7164">
        <w:rPr>
          <w:sz w:val="24"/>
          <w:lang w:val="pl-PL"/>
        </w:rPr>
        <w:tab/>
      </w:r>
      <w:r w:rsidRPr="00DC7164">
        <w:rPr>
          <w:sz w:val="24"/>
          <w:lang w:val="pl-PL"/>
        </w:rPr>
        <w:t>OJ L 55, 28.2.2011, p. 13, ELI</w:t>
      </w:r>
      <w:proofErr w:type="gramStart"/>
      <w:r w:rsidRPr="00DC7164">
        <w:rPr>
          <w:sz w:val="24"/>
          <w:lang w:val="pl-PL"/>
        </w:rPr>
        <w:t>: </w:t>
      </w:r>
      <w:hyperlink r:id="rId2" w:tooltip="Gives access to this document through its ELI URI." w:history="1">
        <w:proofErr w:type="gramEnd"/>
        <w:r w:rsidRPr="00DC7164">
          <w:rPr>
            <w:rStyle w:val="Hyperlink"/>
            <w:sz w:val="24"/>
            <w:lang w:val="pl-PL"/>
          </w:rPr>
          <w:t>http://data.europa.eu/eli/reg/2011/182/oj</w:t>
        </w:r>
      </w:hyperlink>
      <w:r w:rsidRPr="00DC7164">
        <w:rPr>
          <w:sz w:val="24"/>
          <w:lang w:val="pl-PL"/>
        </w:rPr>
        <w:t>.</w:t>
      </w:r>
    </w:p>
  </w:footnote>
  <w:footnote w:id="4">
    <w:p w14:paraId="500FAA8E"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 xml:space="preserve">EFSA Panel on Genetically Modified Organisms scientific opinion on assessment of genetically modified maize MON 89034 × 1507 × NK603 for renewal authorisation under Regulation (EC) No 1829/2003 (dossier GMFF-2022-3670), EFSA Journal, 2024;22(4):8716, </w:t>
      </w:r>
      <w:hyperlink r:id="rId3" w:history="1">
        <w:r w:rsidRPr="00DC7164">
          <w:rPr>
            <w:rStyle w:val="Hyperlink"/>
            <w:sz w:val="24"/>
            <w:lang w:val="en-GB"/>
          </w:rPr>
          <w:t>https://doi.org/10.2903/j.efsa.2024.8716</w:t>
        </w:r>
      </w:hyperlink>
      <w:r w:rsidRPr="00DC7164">
        <w:rPr>
          <w:sz w:val="24"/>
          <w:lang w:val="en-GB"/>
        </w:rPr>
        <w:t>.</w:t>
      </w:r>
    </w:p>
  </w:footnote>
  <w:footnote w:id="5">
    <w:p w14:paraId="040EF051"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color w:val="000000" w:themeColor="text1"/>
          <w:sz w:val="24"/>
          <w:lang w:val="en-GB"/>
        </w:rPr>
        <w:t xml:space="preserve"> </w:t>
      </w:r>
      <w:r w:rsidR="00CB49B7" w:rsidRPr="00DC7164">
        <w:rPr>
          <w:color w:val="000000" w:themeColor="text1"/>
          <w:sz w:val="24"/>
          <w:lang w:val="en-GB"/>
        </w:rPr>
        <w:tab/>
      </w:r>
      <w:r w:rsidRPr="00DC7164">
        <w:rPr>
          <w:color w:val="000000" w:themeColor="text1"/>
          <w:sz w:val="24"/>
          <w:lang w:val="en-GB"/>
        </w:rPr>
        <w:t>In its eighth term, Parliament adopted 36 resolutions and, in its ninth term, Parliament adopted 38 resolutions objecting to the authorisation of GMOs.</w:t>
      </w:r>
    </w:p>
  </w:footnote>
  <w:footnote w:id="6">
    <w:p w14:paraId="4C260806"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proofErr w:type="gramStart"/>
      <w:r w:rsidRPr="00DC7164">
        <w:rPr>
          <w:sz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4" w:tooltip="Gives access to this document through its ELI URI." w:history="1">
        <w:r w:rsidRPr="00DC7164">
          <w:rPr>
            <w:rStyle w:val="Hyperlink"/>
            <w:sz w:val="24"/>
            <w:lang w:val="en-GB"/>
          </w:rPr>
          <w:t>http://data.europa.eu/eli/reg_impl/2013/503/oj</w:t>
        </w:r>
      </w:hyperlink>
      <w:r w:rsidRPr="00DC7164">
        <w:rPr>
          <w:sz w:val="24"/>
          <w:lang w:val="en-GB"/>
        </w:rPr>
        <w:t>).</w:t>
      </w:r>
      <w:proofErr w:type="gramEnd"/>
    </w:p>
  </w:footnote>
  <w:footnote w:id="7">
    <w:p w14:paraId="6A0EBBA6"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proofErr w:type="gramStart"/>
      <w:r w:rsidRPr="00DC7164">
        <w:rPr>
          <w:sz w:val="24"/>
          <w:lang w:val="en-GB"/>
        </w:rPr>
        <w:t xml:space="preserve">See, for example, Schulz, R., Bub, S., </w:t>
      </w:r>
      <w:proofErr w:type="spellStart"/>
      <w:r w:rsidRPr="00DC7164">
        <w:rPr>
          <w:sz w:val="24"/>
          <w:lang w:val="en-GB"/>
        </w:rPr>
        <w:t>Petschick</w:t>
      </w:r>
      <w:proofErr w:type="spellEnd"/>
      <w:r w:rsidRPr="00DC7164">
        <w:rPr>
          <w:sz w:val="24"/>
          <w:lang w:val="en-GB"/>
        </w:rPr>
        <w:t xml:space="preserve">, L. L., </w:t>
      </w:r>
      <w:proofErr w:type="spellStart"/>
      <w:r w:rsidRPr="00DC7164">
        <w:rPr>
          <w:sz w:val="24"/>
          <w:lang w:val="en-GB"/>
        </w:rPr>
        <w:t>Stehle</w:t>
      </w:r>
      <w:proofErr w:type="spellEnd"/>
      <w:r w:rsidRPr="00DC7164">
        <w:rPr>
          <w:sz w:val="24"/>
          <w:lang w:val="en-GB"/>
        </w:rPr>
        <w:t xml:space="preserve">, S., Wolfram, J. (2021) ‘Applied pesticide toxicity shifts toward plants and invertebrates, even in GM crops’, Science 372(6537), pp. 81-84, </w:t>
      </w:r>
      <w:hyperlink r:id="rId5" w:history="1">
        <w:r w:rsidRPr="00DC7164">
          <w:rPr>
            <w:rStyle w:val="Hyperlink"/>
            <w:sz w:val="24"/>
            <w:lang w:val="en-GB"/>
          </w:rPr>
          <w:t>https://doi.org/10.1126/science.abe1148</w:t>
        </w:r>
      </w:hyperlink>
      <w:r w:rsidRPr="00DC7164">
        <w:rPr>
          <w:sz w:val="24"/>
          <w:lang w:val="en-GB"/>
        </w:rPr>
        <w:t xml:space="preserve">; Bonny, S., ‘Genetically Modified Herbicide-Tolerant Crops, Weeds, and Herbicides: Overview and Impact’, Environmental Management, January 2016;57(1), pp. 31-48, </w:t>
      </w:r>
      <w:hyperlink r:id="rId6" w:history="1">
        <w:r w:rsidRPr="00DC7164">
          <w:rPr>
            <w:rStyle w:val="Hyperlink"/>
            <w:sz w:val="24"/>
            <w:lang w:val="en-GB"/>
          </w:rPr>
          <w:t>https://www.ncbi.nlm.nih.gov/pubmed/26296738</w:t>
        </w:r>
      </w:hyperlink>
      <w:r w:rsidRPr="00DC7164">
        <w:rPr>
          <w:rStyle w:val="Hyperlink"/>
          <w:sz w:val="24"/>
          <w:lang w:val="en-GB"/>
        </w:rPr>
        <w:t>;</w:t>
      </w:r>
      <w:r w:rsidRPr="00DC7164">
        <w:rPr>
          <w:sz w:val="24"/>
          <w:lang w:val="en-GB"/>
        </w:rPr>
        <w:t xml:space="preserve"> and Benbrook, C. M., ‘Impacts of genetically engineered crops on pesticide use in the U.S. - the first sixteen years’, Environmental Sciences Europe, 28 September 2012, Vol. 24(1), </w:t>
      </w:r>
      <w:hyperlink r:id="rId7" w:history="1">
        <w:r w:rsidRPr="00DC7164">
          <w:rPr>
            <w:rStyle w:val="Hyperlink"/>
            <w:sz w:val="24"/>
            <w:lang w:val="en-GB"/>
          </w:rPr>
          <w:t>https://enveurope.springeropen.com/articles/10.1186/2190-4715-24-24</w:t>
        </w:r>
      </w:hyperlink>
      <w:r w:rsidRPr="00DC7164">
        <w:rPr>
          <w:sz w:val="24"/>
          <w:lang w:val="en-GB"/>
        </w:rPr>
        <w:t>.</w:t>
      </w:r>
      <w:proofErr w:type="gramEnd"/>
    </w:p>
  </w:footnote>
  <w:footnote w:id="8">
    <w:p w14:paraId="5241B79B"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 xml:space="preserve">See, for example, </w:t>
      </w:r>
      <w:hyperlink r:id="rId8" w:history="1">
        <w:r w:rsidRPr="00DC7164">
          <w:rPr>
            <w:rStyle w:val="Hyperlink"/>
            <w:sz w:val="24"/>
            <w:lang w:val="en-GB"/>
          </w:rPr>
          <w:t>https://www.sciencedirect.com/science/article/pii/S1383574218300887</w:t>
        </w:r>
      </w:hyperlink>
      <w:r w:rsidRPr="00DC7164">
        <w:rPr>
          <w:sz w:val="24"/>
          <w:lang w:val="en-GB"/>
        </w:rPr>
        <w:t xml:space="preserve">, </w:t>
      </w:r>
      <w:hyperlink r:id="rId9" w:history="1">
        <w:r w:rsidRPr="00DC7164">
          <w:rPr>
            <w:rStyle w:val="Hyperlink"/>
            <w:sz w:val="24"/>
            <w:lang w:val="en-GB"/>
          </w:rPr>
          <w:t>https://academic.oup.com/ije/advance-article/doi/10.1093/ije/dyz017/5382278</w:t>
        </w:r>
      </w:hyperlink>
      <w:r w:rsidRPr="00DC7164">
        <w:rPr>
          <w:sz w:val="24"/>
          <w:lang w:val="en-GB"/>
        </w:rPr>
        <w:t xml:space="preserve">, </w:t>
      </w:r>
      <w:hyperlink r:id="rId10" w:history="1">
        <w:r w:rsidRPr="00DC7164">
          <w:rPr>
            <w:rStyle w:val="Hyperlink"/>
            <w:sz w:val="24"/>
            <w:lang w:val="en-GB"/>
          </w:rPr>
          <w:t>https://journals.plos.org/plosone/article?id=10.1371/journal.pone.0219610</w:t>
        </w:r>
      </w:hyperlink>
      <w:r w:rsidRPr="00DC7164">
        <w:rPr>
          <w:sz w:val="24"/>
          <w:lang w:val="en-GB"/>
        </w:rPr>
        <w:t xml:space="preserve">, and </w:t>
      </w:r>
      <w:hyperlink r:id="rId11" w:history="1">
        <w:r w:rsidRPr="00DC7164">
          <w:rPr>
            <w:rStyle w:val="Hyperlink"/>
            <w:sz w:val="24"/>
            <w:lang w:val="en-GB"/>
          </w:rPr>
          <w:t>https://www.ncbi.nlm.nih.gov/pmc/articles/PMC6612199/</w:t>
        </w:r>
      </w:hyperlink>
      <w:r w:rsidRPr="00DC7164">
        <w:rPr>
          <w:rStyle w:val="Hyperlink"/>
          <w:sz w:val="24"/>
          <w:lang w:val="en-GB"/>
        </w:rPr>
        <w:t>.</w:t>
      </w:r>
    </w:p>
  </w:footnote>
  <w:footnote w:id="9">
    <w:p w14:paraId="3E2D8927"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For a review, see Rubio-</w:t>
      </w:r>
      <w:proofErr w:type="spellStart"/>
      <w:r w:rsidRPr="00DC7164">
        <w:rPr>
          <w:sz w:val="24"/>
          <w:lang w:val="en-GB"/>
        </w:rPr>
        <w:t>Infante</w:t>
      </w:r>
      <w:proofErr w:type="spellEnd"/>
      <w:r w:rsidRPr="00DC7164">
        <w:rPr>
          <w:sz w:val="24"/>
          <w:lang w:val="en-GB"/>
        </w:rPr>
        <w:t>, N., Moreno-</w:t>
      </w:r>
      <w:proofErr w:type="spellStart"/>
      <w:r w:rsidRPr="00DC7164">
        <w:rPr>
          <w:sz w:val="24"/>
          <w:lang w:val="en-GB"/>
        </w:rPr>
        <w:t>Fierros</w:t>
      </w:r>
      <w:proofErr w:type="spellEnd"/>
      <w:r w:rsidRPr="00DC7164">
        <w:rPr>
          <w:sz w:val="24"/>
          <w:lang w:val="en-GB"/>
        </w:rPr>
        <w:t>, L., ‘An overview of the safety and biological effects of </w:t>
      </w:r>
      <w:r w:rsidRPr="00DC7164">
        <w:rPr>
          <w:i/>
          <w:sz w:val="24"/>
          <w:lang w:val="en-GB"/>
        </w:rPr>
        <w:t xml:space="preserve">Bacillus </w:t>
      </w:r>
      <w:proofErr w:type="spellStart"/>
      <w:r w:rsidRPr="00DC7164">
        <w:rPr>
          <w:i/>
          <w:sz w:val="24"/>
          <w:lang w:val="en-GB"/>
        </w:rPr>
        <w:t>thuringiensis</w:t>
      </w:r>
      <w:proofErr w:type="spellEnd"/>
      <w:r w:rsidRPr="00DC7164">
        <w:rPr>
          <w:sz w:val="24"/>
          <w:lang w:val="en-GB"/>
        </w:rPr>
        <w:t xml:space="preserve"> Cry toxins in mammals’, Journal of Applied Toxicology, May 2016, 36,5, pp. 630-648, </w:t>
      </w:r>
      <w:hyperlink r:id="rId12" w:history="1">
        <w:r w:rsidRPr="00DC7164">
          <w:rPr>
            <w:rStyle w:val="Hyperlink"/>
            <w:sz w:val="24"/>
            <w:lang w:val="en-GB"/>
          </w:rPr>
          <w:t>https://onlinelibrary.wiley.com/doi/full/10.1002/jat.3252</w:t>
        </w:r>
      </w:hyperlink>
      <w:r w:rsidRPr="00DC7164">
        <w:rPr>
          <w:sz w:val="24"/>
          <w:lang w:val="en-GB"/>
        </w:rPr>
        <w:t>.</w:t>
      </w:r>
    </w:p>
  </w:footnote>
  <w:footnote w:id="10">
    <w:p w14:paraId="73F380D2"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hyperlink r:id="rId13" w:history="1">
        <w:r w:rsidRPr="00DC7164">
          <w:rPr>
            <w:rStyle w:val="Hyperlink"/>
            <w:sz w:val="24"/>
            <w:lang w:val="en-GB"/>
          </w:rPr>
          <w:t>https://www.sciencedirect.com/science/article/pii/S0278691516300722?via%3Dihub</w:t>
        </w:r>
      </w:hyperlink>
      <w:r w:rsidRPr="00DC7164">
        <w:rPr>
          <w:rStyle w:val="Hyperlink"/>
          <w:sz w:val="24"/>
          <w:lang w:val="en-GB"/>
        </w:rPr>
        <w:t>.</w:t>
      </w:r>
    </w:p>
  </w:footnote>
  <w:footnote w:id="11">
    <w:p w14:paraId="5FA1E875"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 xml:space="preserve">See, for example, </w:t>
      </w:r>
      <w:proofErr w:type="spellStart"/>
      <w:r w:rsidRPr="00DC7164">
        <w:rPr>
          <w:sz w:val="24"/>
          <w:lang w:val="en-GB"/>
        </w:rPr>
        <w:t>Hilbeck</w:t>
      </w:r>
      <w:proofErr w:type="spellEnd"/>
      <w:r w:rsidRPr="00DC7164">
        <w:rPr>
          <w:sz w:val="24"/>
          <w:lang w:val="en-GB"/>
        </w:rPr>
        <w:t>, A., Otto, M., ‘Specificity and combinatorial effects of </w:t>
      </w:r>
      <w:r w:rsidRPr="00DC7164">
        <w:rPr>
          <w:i/>
          <w:sz w:val="24"/>
          <w:lang w:val="en-GB"/>
        </w:rPr>
        <w:t xml:space="preserve">Bacillus </w:t>
      </w:r>
      <w:proofErr w:type="spellStart"/>
      <w:r w:rsidRPr="00DC7164">
        <w:rPr>
          <w:i/>
          <w:sz w:val="24"/>
          <w:lang w:val="en-GB"/>
        </w:rPr>
        <w:t>thuringiensis</w:t>
      </w:r>
      <w:proofErr w:type="spellEnd"/>
      <w:r w:rsidRPr="00DC7164">
        <w:rPr>
          <w:sz w:val="24"/>
          <w:lang w:val="en-GB"/>
        </w:rPr>
        <w:t xml:space="preserve"> Cry toxins in the context of GMO environmental risk assessment’, Frontiers in Environmental Science 2015, 3:71, </w:t>
      </w:r>
      <w:hyperlink r:id="rId14" w:history="1">
        <w:r w:rsidRPr="00DC7164">
          <w:rPr>
            <w:rStyle w:val="Hyperlink"/>
            <w:sz w:val="24"/>
            <w:lang w:val="en-GB"/>
          </w:rPr>
          <w:t>https://doi.org/10.3389/fenvs.2015.00071</w:t>
        </w:r>
      </w:hyperlink>
      <w:r w:rsidRPr="00DC7164">
        <w:rPr>
          <w:rStyle w:val="Hyperlink"/>
          <w:sz w:val="24"/>
          <w:lang w:val="en-GB"/>
        </w:rPr>
        <w:t>.</w:t>
      </w:r>
    </w:p>
  </w:footnote>
  <w:footnote w:id="12">
    <w:p w14:paraId="615FA732"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hyperlink r:id="rId15" w:history="1">
        <w:r w:rsidRPr="00DC7164">
          <w:rPr>
            <w:rStyle w:val="Hyperlink"/>
            <w:sz w:val="24"/>
            <w:lang w:val="en-GB"/>
          </w:rPr>
          <w:t>https://efsa.onlinelibrary.wiley.com/action/downloadSupplement?doi=10.2903%2Fj.‌efsa.2024.8716&amp;file=efs28716-sup-0012-Annex8.pdf</w:t>
        </w:r>
      </w:hyperlink>
      <w:r w:rsidRPr="00DC7164">
        <w:rPr>
          <w:rStyle w:val="Hyperlink"/>
          <w:sz w:val="24"/>
          <w:lang w:val="en-GB"/>
        </w:rPr>
        <w:t>.</w:t>
      </w:r>
    </w:p>
  </w:footnote>
  <w:footnote w:id="13">
    <w:p w14:paraId="2D9E0913"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 xml:space="preserve">‘Strategic Dialogue on the Future of EU Agriculture - A shared prospect for farming and food in Europe’, September 2024, </w:t>
      </w:r>
      <w:hyperlink r:id="rId16" w:history="1">
        <w:r w:rsidRPr="00DC7164">
          <w:rPr>
            <w:rStyle w:val="Hyperlink"/>
            <w:sz w:val="24"/>
            <w:lang w:val="en-GB"/>
          </w:rPr>
          <w:t>https://agriculture.ec.europa.eu/document/download/171329ff-0f50-4fa5-946f-aea11032172e_en?filename=strategic-dialogue-report-2024_en.pdf</w:t>
        </w:r>
      </w:hyperlink>
      <w:r w:rsidRPr="00DC7164">
        <w:rPr>
          <w:rStyle w:val="Hyperlink"/>
          <w:sz w:val="24"/>
          <w:lang w:val="en-GB"/>
        </w:rPr>
        <w:t>.</w:t>
      </w:r>
    </w:p>
  </w:footnote>
  <w:footnote w:id="14">
    <w:p w14:paraId="22CEE490"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hyperlink r:id="rId17" w:history="1">
        <w:r w:rsidRPr="00DC7164">
          <w:rPr>
            <w:rStyle w:val="Hyperlink"/>
            <w:sz w:val="24"/>
            <w:lang w:val="en-GB"/>
          </w:rPr>
          <w:t>https://www.ohchr.org/en/documents/thematic-reports/ahrc3448-report-special-rapporteur-right-food</w:t>
        </w:r>
      </w:hyperlink>
      <w:r w:rsidRPr="00DC7164">
        <w:rPr>
          <w:sz w:val="24"/>
          <w:lang w:val="en-GB"/>
        </w:rPr>
        <w:t>.</w:t>
      </w:r>
    </w:p>
  </w:footnote>
  <w:footnote w:id="15">
    <w:p w14:paraId="762326CD"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rStyle w:val="Hyperlink"/>
          <w:sz w:val="24"/>
          <w:u w:val="none"/>
          <w:lang w:val="en-GB"/>
        </w:rPr>
        <w:t xml:space="preserve"> </w:t>
      </w:r>
      <w:r w:rsidR="00CB49B7" w:rsidRPr="00DC7164">
        <w:rPr>
          <w:rStyle w:val="Hyperlink"/>
          <w:sz w:val="24"/>
          <w:u w:val="none"/>
          <w:lang w:val="en-GB"/>
        </w:rPr>
        <w:tab/>
      </w:r>
      <w:hyperlink r:id="rId18" w:history="1">
        <w:r w:rsidR="001A10B5" w:rsidRPr="00DC7164">
          <w:rPr>
            <w:rStyle w:val="Hyperlink"/>
            <w:sz w:val="24"/>
            <w:lang w:val="en-GB"/>
          </w:rPr>
          <w:t>https://indicators.report/targets/3-9/</w:t>
        </w:r>
      </w:hyperlink>
    </w:p>
  </w:footnote>
  <w:footnote w:id="16">
    <w:p w14:paraId="3D94730B"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hyperlink r:id="rId19" w:history="1">
        <w:r w:rsidRPr="00DC7164">
          <w:rPr>
            <w:rStyle w:val="Hyperlink"/>
            <w:sz w:val="24"/>
            <w:lang w:val="en-GB"/>
          </w:rPr>
          <w:t>https://commission.europa.eu/document/2c64e540-c07a-4376-a1da-368d289f4afe_en</w:t>
        </w:r>
      </w:hyperlink>
    </w:p>
  </w:footnote>
  <w:footnote w:id="17">
    <w:p w14:paraId="030E4E7B"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The Commission ‘may’, and not ‘shall’, go ahead with authorisation if there is no qualified majority of Member States in favour at the Appeal Committee, according to Article 6(3) of Regulation (EU) No 182/2011.</w:t>
      </w:r>
    </w:p>
  </w:footnote>
  <w:footnote w:id="18">
    <w:p w14:paraId="56E58439"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20" w:tooltip="Gives access to this document through its ELI URI." w:history="1">
        <w:r w:rsidRPr="00DC7164">
          <w:rPr>
            <w:rStyle w:val="Hyperlink"/>
            <w:sz w:val="24"/>
            <w:lang w:val="en-GB"/>
          </w:rPr>
          <w:t>http://data.europa.eu/eli/reg/2002/178/oj</w:t>
        </w:r>
      </w:hyperlink>
      <w:r w:rsidRPr="00DC7164">
        <w:rPr>
          <w:sz w:val="24"/>
          <w:lang w:val="en-GB"/>
        </w:rPr>
        <w:t>).</w:t>
      </w:r>
    </w:p>
  </w:footnote>
  <w:footnote w:id="19">
    <w:p w14:paraId="3E0E59BF"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 xml:space="preserve">In December 2022, a global framework on biodiversity was agreed at the COP15 of the UN CBD which includes a global target for reducing the risk of pesticides by at least 50 % by 2030 (see: </w:t>
      </w:r>
      <w:hyperlink r:id="rId21" w:history="1">
        <w:r w:rsidRPr="00DC7164">
          <w:rPr>
            <w:rStyle w:val="Hyperlink"/>
            <w:sz w:val="24"/>
            <w:lang w:val="en-GB"/>
          </w:rPr>
          <w:t>https://ec.europa.eu/commission/presscorner/detail/en/ip_22_7834</w:t>
        </w:r>
      </w:hyperlink>
      <w:r w:rsidRPr="00DC7164">
        <w:rPr>
          <w:sz w:val="24"/>
          <w:lang w:val="en-GB"/>
        </w:rPr>
        <w:t>).</w:t>
      </w:r>
    </w:p>
  </w:footnote>
  <w:footnote w:id="20">
    <w:p w14:paraId="4795D977" w14:textId="77777777" w:rsidR="0039308A" w:rsidRPr="00DC7164"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hyperlink r:id="rId22" w:history="1">
        <w:r w:rsidRPr="00DC7164">
          <w:rPr>
            <w:rStyle w:val="Hyperlink"/>
            <w:sz w:val="24"/>
            <w:lang w:val="en-GB"/>
          </w:rPr>
          <w:t>https://tillymetz.lu/wp-content/uploads/2020/09/Co-signed-letter-MEP-Metz.pdf</w:t>
        </w:r>
      </w:hyperlink>
      <w:r w:rsidRPr="00DC7164">
        <w:rPr>
          <w:rStyle w:val="Hyperlink"/>
          <w:sz w:val="24"/>
          <w:lang w:val="en-GB"/>
        </w:rPr>
        <w:t>.</w:t>
      </w:r>
    </w:p>
  </w:footnote>
  <w:footnote w:id="21">
    <w:p w14:paraId="5AC48558" w14:textId="77777777" w:rsidR="0039308A" w:rsidRPr="00CB49B7" w:rsidRDefault="0039308A" w:rsidP="00CB49B7">
      <w:pPr>
        <w:pStyle w:val="FootnoteText"/>
        <w:ind w:left="567" w:hanging="567"/>
        <w:rPr>
          <w:sz w:val="24"/>
          <w:lang w:val="en-GB"/>
        </w:rPr>
      </w:pPr>
      <w:r w:rsidRPr="00DC7164">
        <w:rPr>
          <w:rStyle w:val="FootnoteReference"/>
          <w:sz w:val="24"/>
          <w:lang w:val="en-GB"/>
        </w:rPr>
        <w:footnoteRef/>
      </w:r>
      <w:r w:rsidR="00CB49B7" w:rsidRPr="00DC7164">
        <w:rPr>
          <w:sz w:val="24"/>
          <w:lang w:val="en-GB"/>
        </w:rPr>
        <w:t xml:space="preserve"> </w:t>
      </w:r>
      <w:r w:rsidR="00CB49B7" w:rsidRPr="00DC7164">
        <w:rPr>
          <w:sz w:val="24"/>
          <w:lang w:val="en-GB"/>
        </w:rPr>
        <w:tab/>
      </w:r>
      <w:r w:rsidRPr="00DC7164">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A9E8" w14:textId="77777777" w:rsidR="00064002" w:rsidRPr="00CB49B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4DCDD" w14:textId="77777777" w:rsidR="00064002" w:rsidRPr="00CB49B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2B1C9" w14:textId="77777777" w:rsidR="00064002" w:rsidRPr="00CB49B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8/2024"/>
    <w:docVar w:name="dvlangue" w:val="EN"/>
    <w:docVar w:name="dvnumam" w:val="0"/>
    <w:docVar w:name="dvpe" w:val="763.279"/>
    <w:docVar w:name="dvtitre" w:val="European Parliament resolution of xx Xxxx 2024 on the draft Commission implementing decision renewing the authorisation for the placing on the market of products containing, consisting of or produced from genetically modified maize MON 89034 × 1507 × NK603 pursuant to Regulation (EC) No 1829/2003 of the European Parliament and of the Council(D098497/04 – 2024/2836(RSP))"/>
  </w:docVars>
  <w:rsids>
    <w:rsidRoot w:val="00C76251"/>
    <w:rsid w:val="00002272"/>
    <w:rsid w:val="00043FA4"/>
    <w:rsid w:val="00060174"/>
    <w:rsid w:val="00064002"/>
    <w:rsid w:val="000677B9"/>
    <w:rsid w:val="000831BA"/>
    <w:rsid w:val="000A42CC"/>
    <w:rsid w:val="000E7DD9"/>
    <w:rsid w:val="0010095E"/>
    <w:rsid w:val="00125B37"/>
    <w:rsid w:val="00187494"/>
    <w:rsid w:val="001A10B5"/>
    <w:rsid w:val="001D01AC"/>
    <w:rsid w:val="001F32AE"/>
    <w:rsid w:val="002010CB"/>
    <w:rsid w:val="002767FF"/>
    <w:rsid w:val="002B18FE"/>
    <w:rsid w:val="002B5493"/>
    <w:rsid w:val="00343214"/>
    <w:rsid w:val="00361C00"/>
    <w:rsid w:val="0039308A"/>
    <w:rsid w:val="00395FA1"/>
    <w:rsid w:val="003E15D4"/>
    <w:rsid w:val="0041030B"/>
    <w:rsid w:val="00411CCE"/>
    <w:rsid w:val="0041666E"/>
    <w:rsid w:val="00421060"/>
    <w:rsid w:val="00471C19"/>
    <w:rsid w:val="004867E3"/>
    <w:rsid w:val="00494A28"/>
    <w:rsid w:val="004C0004"/>
    <w:rsid w:val="004C5D52"/>
    <w:rsid w:val="0050519A"/>
    <w:rsid w:val="005072A1"/>
    <w:rsid w:val="00514517"/>
    <w:rsid w:val="00532D81"/>
    <w:rsid w:val="00545827"/>
    <w:rsid w:val="00560270"/>
    <w:rsid w:val="005A23F5"/>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6251"/>
    <w:rsid w:val="00C941CB"/>
    <w:rsid w:val="00CB49B7"/>
    <w:rsid w:val="00CC2357"/>
    <w:rsid w:val="00CF071A"/>
    <w:rsid w:val="00D058B8"/>
    <w:rsid w:val="00D56C11"/>
    <w:rsid w:val="00D834A0"/>
    <w:rsid w:val="00D872DF"/>
    <w:rsid w:val="00D91652"/>
    <w:rsid w:val="00D91E21"/>
    <w:rsid w:val="00DA7FCD"/>
    <w:rsid w:val="00DC7164"/>
    <w:rsid w:val="00DD77C3"/>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5ACAA"/>
  <w15:chartTrackingRefBased/>
  <w15:docId w15:val="{35429CED-04FA-43BA-9312-73334144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9308A"/>
    <w:pPr>
      <w:spacing w:before="480" w:after="240"/>
    </w:pPr>
  </w:style>
  <w:style w:type="paragraph" w:customStyle="1" w:styleId="NormalHanging12a">
    <w:name w:val="NormalHanging12a"/>
    <w:basedOn w:val="Normal"/>
    <w:rsid w:val="0039308A"/>
    <w:pPr>
      <w:spacing w:after="240"/>
      <w:ind w:left="567" w:hanging="567"/>
    </w:pPr>
  </w:style>
  <w:style w:type="character" w:styleId="Hyperlink">
    <w:name w:val="Hyperlink"/>
    <w:basedOn w:val="DefaultParagraphFont"/>
    <w:uiPriority w:val="99"/>
    <w:rsid w:val="0039308A"/>
    <w:rPr>
      <w:color w:val="0563C1" w:themeColor="hyperlink"/>
      <w:u w:val="single"/>
    </w:rPr>
  </w:style>
  <w:style w:type="character" w:styleId="FollowedHyperlink">
    <w:name w:val="FollowedHyperlink"/>
    <w:basedOn w:val="DefaultParagraphFont"/>
    <w:rsid w:val="001A10B5"/>
    <w:rPr>
      <w:color w:val="954F72" w:themeColor="followedHyperlink"/>
      <w:u w:val="single"/>
    </w:rPr>
  </w:style>
  <w:style w:type="character" w:styleId="CommentReference">
    <w:name w:val="annotation reference"/>
    <w:basedOn w:val="DefaultParagraphFont"/>
    <w:rsid w:val="00532D81"/>
    <w:rPr>
      <w:sz w:val="16"/>
      <w:szCs w:val="16"/>
    </w:rPr>
  </w:style>
  <w:style w:type="paragraph" w:styleId="CommentText">
    <w:name w:val="annotation text"/>
    <w:basedOn w:val="Normal"/>
    <w:link w:val="CommentTextChar"/>
    <w:rsid w:val="00532D81"/>
    <w:rPr>
      <w:sz w:val="20"/>
    </w:rPr>
  </w:style>
  <w:style w:type="character" w:customStyle="1" w:styleId="CommentTextChar">
    <w:name w:val="Comment Text Char"/>
    <w:basedOn w:val="DefaultParagraphFont"/>
    <w:link w:val="CommentText"/>
    <w:rsid w:val="00532D81"/>
  </w:style>
  <w:style w:type="paragraph" w:styleId="CommentSubject">
    <w:name w:val="annotation subject"/>
    <w:basedOn w:val="CommentText"/>
    <w:next w:val="CommentText"/>
    <w:link w:val="CommentSubjectChar"/>
    <w:rsid w:val="00532D81"/>
    <w:rPr>
      <w:b/>
      <w:bCs/>
    </w:rPr>
  </w:style>
  <w:style w:type="character" w:customStyle="1" w:styleId="CommentSubjectChar">
    <w:name w:val="Comment Subject Char"/>
    <w:basedOn w:val="CommentTextChar"/>
    <w:link w:val="CommentSubject"/>
    <w:rsid w:val="00532D81"/>
    <w:rPr>
      <w:b/>
      <w:bCs/>
    </w:rPr>
  </w:style>
  <w:style w:type="paragraph" w:styleId="BalloonText">
    <w:name w:val="Balloon Text"/>
    <w:basedOn w:val="Normal"/>
    <w:link w:val="BalloonTextChar"/>
    <w:rsid w:val="00532D81"/>
    <w:rPr>
      <w:rFonts w:ascii="Segoe UI" w:hAnsi="Segoe UI" w:cs="Segoe UI"/>
      <w:sz w:val="18"/>
      <w:szCs w:val="18"/>
    </w:rPr>
  </w:style>
  <w:style w:type="character" w:customStyle="1" w:styleId="BalloonTextChar">
    <w:name w:val="Balloon Text Char"/>
    <w:basedOn w:val="DefaultParagraphFont"/>
    <w:link w:val="BalloonText"/>
    <w:rsid w:val="00532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sciencedirect.com/science/article/pii/S1383574218300887" TargetMode="External"/><Relationship Id="rId13" Type="http://schemas.openxmlformats.org/officeDocument/2006/relationships/hyperlink" Target="https://www.sciencedirect.com/science/article/pii/S0278691516300722?via%3Dihub" TargetMode="External"/><Relationship Id="rId18" Type="http://schemas.openxmlformats.org/officeDocument/2006/relationships/hyperlink" Target="https://indicators.report/targets/3-9/" TargetMode="External"/><Relationship Id="rId3" Type="http://schemas.openxmlformats.org/officeDocument/2006/relationships/hyperlink" Target="https://doi.org/10.2903/j.efsa.2024.8716" TargetMode="External"/><Relationship Id="rId21" Type="http://schemas.openxmlformats.org/officeDocument/2006/relationships/hyperlink" Target="https://ec.europa.eu/commission/presscorner/detail/en/ip_22_7834" TargetMode="External"/><Relationship Id="rId7" Type="http://schemas.openxmlformats.org/officeDocument/2006/relationships/hyperlink" Target="https://enveurope.springeropen.com/articles/10.1186/2190-4715-24-24" TargetMode="External"/><Relationship Id="rId12" Type="http://schemas.openxmlformats.org/officeDocument/2006/relationships/hyperlink" Target="https://onlinelibrary.wiley.com/doi/full/10.1002/jat.3252" TargetMode="External"/><Relationship Id="rId17" Type="http://schemas.openxmlformats.org/officeDocument/2006/relationships/hyperlink" Target="https://www.ohchr.org/en/documents/thematic-reports/ahrc3448-report-special-rapporteur-right-food" TargetMode="External"/><Relationship Id="rId2" Type="http://schemas.openxmlformats.org/officeDocument/2006/relationships/hyperlink" Target="http://data.europa.eu/eli/reg/2011/182/oj" TargetMode="External"/><Relationship Id="rId16" Type="http://schemas.openxmlformats.org/officeDocument/2006/relationships/hyperlink" Target="https://agriculture.ec.europa.eu/document/download/171329ff-0f50-4fa5-946f-aea11032172e_en?filename=strategic-dialogue-report-2024_en.pdf" TargetMode="External"/><Relationship Id="rId20" Type="http://schemas.openxmlformats.org/officeDocument/2006/relationships/hyperlink" Target="http://data.europa.eu/eli/reg/2002/178/oj" TargetMode="External"/><Relationship Id="rId1" Type="http://schemas.openxmlformats.org/officeDocument/2006/relationships/hyperlink" Target="http://data.europa.eu/eli/reg/2003/1829/oj" TargetMode="External"/><Relationship Id="rId6" Type="http://schemas.openxmlformats.org/officeDocument/2006/relationships/hyperlink" Target="https://www.ncbi.nlm.nih.gov/pubmed/26296738" TargetMode="External"/><Relationship Id="rId11" Type="http://schemas.openxmlformats.org/officeDocument/2006/relationships/hyperlink" Target="https://www.ncbi.nlm.nih.gov/pmc/articles/PMC6612199/" TargetMode="External"/><Relationship Id="rId5" Type="http://schemas.openxmlformats.org/officeDocument/2006/relationships/hyperlink" Target="https://doi.org/10.1126/science.abe1148" TargetMode="External"/><Relationship Id="rId15" Type="http://schemas.openxmlformats.org/officeDocument/2006/relationships/hyperlink" Target="https://efsa.onlinelibrary.wiley.com/action/downloadSupplement?doi=10.2903%2Fj.efsa.2024.8716&amp;file=efs28716-sup-0012-Annex8.pdf" TargetMode="External"/><Relationship Id="rId10" Type="http://schemas.openxmlformats.org/officeDocument/2006/relationships/hyperlink" Target="https://journals.plos.org/plosone/article?id=10.1371/journal.pone.0219610" TargetMode="External"/><Relationship Id="rId19" Type="http://schemas.openxmlformats.org/officeDocument/2006/relationships/hyperlink" Target="https://commission.europa.eu/document/2c64e540-c07a-4376-a1da-368d289f4afe_en" TargetMode="External"/><Relationship Id="rId4" Type="http://schemas.openxmlformats.org/officeDocument/2006/relationships/hyperlink" Target="http://data.europa.eu/eli/reg_impl/2013/503/oj" TargetMode="External"/><Relationship Id="rId9" Type="http://schemas.openxmlformats.org/officeDocument/2006/relationships/hyperlink" Target="https://academic.oup.com/ije/advance-article/doi/10.1093/ije/dyz017/5382278" TargetMode="External"/><Relationship Id="rId14" Type="http://schemas.openxmlformats.org/officeDocument/2006/relationships/hyperlink" Target="https://doi.org/10.3389/fenvs.2015.00071" TargetMode="External"/><Relationship Id="rId22" Type="http://schemas.openxmlformats.org/officeDocument/2006/relationships/hyperlink" Target="https://tillymetz.lu/wp-content/uploads/2020/09/Co-signed-letter-MEP-Met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3A2A6-6CE4-4CC7-8AED-154588BC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2002</Words>
  <Characters>10799</Characters>
  <Application>Microsoft Office Word</Application>
  <DocSecurity>0</DocSecurity>
  <Lines>186</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2024-11-26T13:33:00Z</dcterms:created>
  <dcterms:modified xsi:type="dcterms:W3CDTF">2024-11-26T13:33:00Z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B10-0148/2024</vt:lpwstr>
  </property>
  <property fmtid="{D5CDD505-2E9C-101B-9397-08002B2CF9AE}" pid="4" name="&lt;Type&gt;">
    <vt:lpwstr>RR</vt:lpwstr>
  </property>
</Properties>
</file>