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5B5A" w14:paraId="120ACE82" w14:textId="77777777" w:rsidTr="0010095E">
        <w:trPr>
          <w:trHeight w:hRule="exact" w:val="1418"/>
        </w:trPr>
        <w:tc>
          <w:tcPr>
            <w:tcW w:w="6804" w:type="dxa"/>
            <w:shd w:val="clear" w:color="auto" w:fill="auto"/>
            <w:vAlign w:val="center"/>
          </w:tcPr>
          <w:p w14:paraId="36612498" w14:textId="77777777" w:rsidR="00751A4A" w:rsidRPr="00665B5A" w:rsidRDefault="00A134EB" w:rsidP="0010095E">
            <w:pPr>
              <w:pStyle w:val="EPName"/>
            </w:pPr>
            <w:bookmarkStart w:id="0" w:name="_GoBack"/>
            <w:bookmarkEnd w:id="0"/>
            <w:r w:rsidRPr="00665B5A">
              <w:t>Parlamento Europeo</w:t>
            </w:r>
          </w:p>
          <w:p w14:paraId="47C5AA31" w14:textId="77777777" w:rsidR="00751A4A" w:rsidRPr="00665B5A" w:rsidRDefault="005F1B17" w:rsidP="005F1B17">
            <w:pPr>
              <w:pStyle w:val="EPTerm"/>
              <w:rPr>
                <w:rStyle w:val="HideTWBExt"/>
                <w:noProof w:val="0"/>
                <w:vanish w:val="0"/>
                <w:color w:val="auto"/>
              </w:rPr>
            </w:pPr>
            <w:r w:rsidRPr="00665B5A">
              <w:t>2024</w:t>
            </w:r>
            <w:r w:rsidR="00817416" w:rsidRPr="00665B5A">
              <w:t>-202</w:t>
            </w:r>
            <w:r w:rsidRPr="00665B5A">
              <w:t>9</w:t>
            </w:r>
          </w:p>
        </w:tc>
        <w:tc>
          <w:tcPr>
            <w:tcW w:w="2268" w:type="dxa"/>
            <w:shd w:val="clear" w:color="auto" w:fill="auto"/>
          </w:tcPr>
          <w:p w14:paraId="051F04E1" w14:textId="77777777" w:rsidR="00751A4A" w:rsidRPr="00665B5A" w:rsidRDefault="00187494" w:rsidP="0010095E">
            <w:pPr>
              <w:pStyle w:val="EPLogo"/>
            </w:pPr>
            <w:r w:rsidRPr="00665B5A">
              <w:rPr>
                <w:noProof/>
                <w:lang w:val="en-GB"/>
              </w:rPr>
              <w:drawing>
                <wp:inline distT="0" distB="0" distL="0" distR="0" wp14:anchorId="627C5D3F" wp14:editId="581212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A10F7E" w14:textId="77777777" w:rsidR="00D058B8" w:rsidRPr="00665B5A" w:rsidRDefault="00D058B8" w:rsidP="004C5D52">
      <w:pPr>
        <w:pStyle w:val="LineTop"/>
      </w:pPr>
    </w:p>
    <w:p w14:paraId="14DC2C71" w14:textId="77777777" w:rsidR="00680577" w:rsidRPr="00665B5A" w:rsidRDefault="00A134EB" w:rsidP="00680577">
      <w:pPr>
        <w:pStyle w:val="EPBodyTA1"/>
        <w:rPr>
          <w:lang w:val="pt-PT"/>
        </w:rPr>
      </w:pPr>
      <w:r w:rsidRPr="00665B5A">
        <w:rPr>
          <w:lang w:val="pt-PT"/>
        </w:rPr>
        <w:t>TEXTOS APROBADOS</w:t>
      </w:r>
    </w:p>
    <w:p w14:paraId="5DA1B275" w14:textId="77777777" w:rsidR="00D058B8" w:rsidRPr="00665B5A" w:rsidRDefault="00D058B8" w:rsidP="00D058B8">
      <w:pPr>
        <w:pStyle w:val="LineBottom"/>
        <w:rPr>
          <w:lang w:val="pt-PT"/>
        </w:rPr>
      </w:pPr>
    </w:p>
    <w:p w14:paraId="1F481051" w14:textId="66A29087" w:rsidR="00A134EB" w:rsidRPr="00665B5A" w:rsidRDefault="00A134EB" w:rsidP="00A134EB">
      <w:pPr>
        <w:pStyle w:val="ATHeading1"/>
        <w:rPr>
          <w:lang w:val="pt-PT"/>
        </w:rPr>
      </w:pPr>
      <w:bookmarkStart w:id="1" w:name="TANumber"/>
      <w:r w:rsidRPr="00665B5A">
        <w:rPr>
          <w:lang w:val="pt-PT"/>
        </w:rPr>
        <w:t>P10_TA(2024)00</w:t>
      </w:r>
      <w:r w:rsidR="00F556EF" w:rsidRPr="00665B5A">
        <w:rPr>
          <w:lang w:val="pt-PT"/>
        </w:rPr>
        <w:t>38</w:t>
      </w:r>
      <w:bookmarkEnd w:id="1"/>
    </w:p>
    <w:p w14:paraId="2AA6B6CA" w14:textId="77777777" w:rsidR="00A134EB" w:rsidRPr="00665B5A" w:rsidRDefault="00A134EB" w:rsidP="00A134EB">
      <w:pPr>
        <w:pStyle w:val="ATHeading2"/>
        <w:rPr>
          <w:lang w:val="pt-PT"/>
        </w:rPr>
      </w:pPr>
      <w:bookmarkStart w:id="2" w:name="title"/>
      <w:r w:rsidRPr="00665B5A">
        <w:rPr>
          <w:lang w:val="pt-PT"/>
        </w:rPr>
        <w:t>Maíz modificado genéticamente MON 89034 × 1507 × NK603</w:t>
      </w:r>
      <w:bookmarkEnd w:id="2"/>
    </w:p>
    <w:p w14:paraId="58BF222C" w14:textId="77777777" w:rsidR="00A134EB" w:rsidRPr="00665B5A" w:rsidRDefault="00A134EB" w:rsidP="00A134EB">
      <w:pPr>
        <w:rPr>
          <w:i/>
          <w:vanish/>
          <w:lang w:val="pt-PT"/>
        </w:rPr>
      </w:pPr>
      <w:r w:rsidRPr="00665B5A">
        <w:rPr>
          <w:i/>
        </w:rPr>
        <w:fldChar w:fldCharType="begin"/>
      </w:r>
      <w:r w:rsidRPr="00665B5A">
        <w:rPr>
          <w:i/>
          <w:lang w:val="pt-PT"/>
        </w:rPr>
        <w:instrText xml:space="preserve"> TC"(</w:instrText>
      </w:r>
      <w:bookmarkStart w:id="3" w:name="DocNumber"/>
      <w:r w:rsidRPr="00665B5A">
        <w:rPr>
          <w:i/>
          <w:lang w:val="pt-PT"/>
        </w:rPr>
        <w:instrText>B10-0148/2024</w:instrText>
      </w:r>
      <w:bookmarkEnd w:id="3"/>
      <w:r w:rsidRPr="00665B5A">
        <w:rPr>
          <w:i/>
          <w:lang w:val="pt-PT"/>
        </w:rPr>
        <w:instrText xml:space="preserve">)"\l3 \n&gt; \* MERGEFORMAT </w:instrText>
      </w:r>
      <w:r w:rsidRPr="00665B5A">
        <w:rPr>
          <w:i/>
        </w:rPr>
        <w:fldChar w:fldCharType="end"/>
      </w:r>
    </w:p>
    <w:p w14:paraId="378ED411" w14:textId="77777777" w:rsidR="00A134EB" w:rsidRPr="00665B5A" w:rsidRDefault="00A134EB" w:rsidP="00A134EB">
      <w:pPr>
        <w:rPr>
          <w:vanish/>
        </w:rPr>
      </w:pPr>
      <w:bookmarkStart w:id="4" w:name="PE"/>
      <w:r w:rsidRPr="00665B5A">
        <w:rPr>
          <w:vanish/>
        </w:rPr>
        <w:t>PE763.279</w:t>
      </w:r>
      <w:bookmarkEnd w:id="4"/>
    </w:p>
    <w:p w14:paraId="7D6A6118" w14:textId="77777777" w:rsidR="00A134EB" w:rsidRPr="00665B5A" w:rsidRDefault="00A134EB" w:rsidP="00A134EB">
      <w:pPr>
        <w:pStyle w:val="ATHeading3"/>
      </w:pPr>
      <w:bookmarkStart w:id="5" w:name="Sujet"/>
      <w:r w:rsidRPr="00665B5A">
        <w:t xml:space="preserve">Resolución del Parlamento Europeo, de 26 de noviembre de 2024, sobre </w:t>
      </w:r>
      <w:r w:rsidR="00E534B7" w:rsidRPr="00665B5A">
        <w:t>la</w:t>
      </w:r>
      <w:r w:rsidRPr="00665B5A">
        <w:t xml:space="preserve"> Decisión de Ejecución </w:t>
      </w:r>
      <w:r w:rsidR="00E534B7" w:rsidRPr="00665B5A">
        <w:t xml:space="preserve">(UE) 2024/2628 </w:t>
      </w:r>
      <w:r w:rsidRPr="00665B5A">
        <w:t>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w:t>
      </w:r>
      <w:bookmarkEnd w:id="5"/>
      <w:r w:rsidRPr="00665B5A">
        <w:t xml:space="preserve"> </w:t>
      </w:r>
      <w:bookmarkStart w:id="6" w:name="References"/>
      <w:r w:rsidRPr="00665B5A">
        <w:t>(2024/2836(RSP))</w:t>
      </w:r>
      <w:bookmarkEnd w:id="6"/>
    </w:p>
    <w:p w14:paraId="751BDC83" w14:textId="77777777" w:rsidR="00A134EB" w:rsidRPr="00665B5A" w:rsidRDefault="00A134EB" w:rsidP="00A134EB"/>
    <w:p w14:paraId="48E7851A" w14:textId="77777777" w:rsidR="00CF192E" w:rsidRPr="00665B5A" w:rsidRDefault="00CF192E" w:rsidP="00E534B7">
      <w:pPr>
        <w:pStyle w:val="EPComma"/>
        <w:widowControl/>
        <w:spacing w:before="120"/>
      </w:pPr>
      <w:bookmarkStart w:id="7" w:name="TextBodyBegin"/>
      <w:bookmarkEnd w:id="7"/>
      <w:r w:rsidRPr="00665B5A">
        <w:rPr>
          <w:i/>
        </w:rPr>
        <w:t>El Parlamento Europeo</w:t>
      </w:r>
      <w:r w:rsidRPr="00665B5A">
        <w:t>,</w:t>
      </w:r>
    </w:p>
    <w:p w14:paraId="74EA057E" w14:textId="77777777" w:rsidR="00CF192E" w:rsidRPr="00665B5A" w:rsidRDefault="00CF192E" w:rsidP="00CF192E">
      <w:pPr>
        <w:pStyle w:val="NormalHanging12a"/>
        <w:widowControl/>
        <w:rPr>
          <w:szCs w:val="24"/>
        </w:rPr>
      </w:pPr>
      <w:r w:rsidRPr="00665B5A">
        <w:t>–</w:t>
      </w:r>
      <w:r w:rsidRPr="00665B5A">
        <w:tab/>
        <w:t xml:space="preserve">Visto </w:t>
      </w:r>
      <w:r w:rsidR="00E534B7" w:rsidRPr="00665B5A">
        <w:t>la</w:t>
      </w:r>
      <w:r w:rsidRPr="00665B5A">
        <w:t xml:space="preserve"> Decisión de Ejecución </w:t>
      </w:r>
      <w:r w:rsidR="00E534B7" w:rsidRPr="00665B5A">
        <w:t xml:space="preserve">(UE) 2024/2628 </w:t>
      </w:r>
      <w:r w:rsidRPr="00665B5A">
        <w:t>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w:t>
      </w:r>
      <w:r w:rsidR="00E534B7" w:rsidRPr="00665B5A">
        <w:rPr>
          <w:rStyle w:val="FootnoteReference"/>
        </w:rPr>
        <w:footnoteReference w:id="1"/>
      </w:r>
      <w:r w:rsidRPr="00665B5A">
        <w:t>,</w:t>
      </w:r>
    </w:p>
    <w:p w14:paraId="50E1A4D0" w14:textId="77777777" w:rsidR="00CF192E" w:rsidRPr="00665B5A" w:rsidRDefault="00CF192E" w:rsidP="00CF192E">
      <w:pPr>
        <w:pStyle w:val="NormalHanging12a"/>
        <w:widowControl/>
        <w:rPr>
          <w:szCs w:val="24"/>
        </w:rPr>
      </w:pPr>
      <w:r w:rsidRPr="00665B5A">
        <w:t>–</w:t>
      </w:r>
      <w:r w:rsidRPr="00665B5A">
        <w:tab/>
        <w:t>Visto el Reglamento (CE) n.º 1829/2003 del Parlamento Europeo y del Consejo, de 22 de septiembre de 2003, sobre alimentos y piensos modificados genéticamente</w:t>
      </w:r>
      <w:r w:rsidRPr="00665B5A">
        <w:rPr>
          <w:rStyle w:val="FootnoteReference"/>
          <w:szCs w:val="24"/>
        </w:rPr>
        <w:footnoteReference w:id="2"/>
      </w:r>
      <w:r w:rsidRPr="00665B5A">
        <w:t>, y en particular su artículo 11, apartado 3, y su artículo 23, apartado 3,</w:t>
      </w:r>
    </w:p>
    <w:p w14:paraId="7B7CAB15" w14:textId="77777777" w:rsidR="00CF192E" w:rsidRPr="00665B5A" w:rsidRDefault="00CF192E" w:rsidP="00CF192E">
      <w:pPr>
        <w:pStyle w:val="NormalHanging12a"/>
        <w:widowControl/>
        <w:rPr>
          <w:szCs w:val="24"/>
        </w:rPr>
      </w:pPr>
      <w:r w:rsidRPr="00665B5A">
        <w:t>–</w:t>
      </w:r>
      <w:r w:rsidRPr="00665B5A">
        <w:tab/>
        <w:t xml:space="preserve">Vistas la </w:t>
      </w:r>
      <w:r w:rsidRPr="00665B5A">
        <w:rPr>
          <w:shd w:val="clear" w:color="auto" w:fill="FFFFFF"/>
        </w:rPr>
        <w:t>votación del 8 de julio de 2024 en el Comité Permanente de Vegetales, Animales, Alimentos y Piensos al que se refiere el artículo 35 del Reglamento (CE) n.º 1829/2003, en la que no se emitió dictamen, y la votación del 3 de septiembre de 2024 en el Comité de Apelación, en la que</w:t>
      </w:r>
      <w:r w:rsidRPr="00665B5A">
        <w:t xml:space="preserve"> tampoco se emitió dictamen,</w:t>
      </w:r>
    </w:p>
    <w:p w14:paraId="78BC3791" w14:textId="77777777" w:rsidR="00CF192E" w:rsidRPr="00665B5A" w:rsidRDefault="00CF192E" w:rsidP="00CF192E">
      <w:pPr>
        <w:pStyle w:val="NormalHanging12a"/>
        <w:widowControl/>
        <w:rPr>
          <w:szCs w:val="24"/>
        </w:rPr>
      </w:pPr>
      <w:r w:rsidRPr="00665B5A">
        <w:t>–</w:t>
      </w:r>
      <w:r w:rsidRPr="00665B5A">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665B5A">
        <w:rPr>
          <w:rStyle w:val="FootnoteReference"/>
          <w:szCs w:val="24"/>
        </w:rPr>
        <w:footnoteReference w:id="3"/>
      </w:r>
      <w:r w:rsidRPr="00665B5A">
        <w:t>,</w:t>
      </w:r>
    </w:p>
    <w:p w14:paraId="67ACA817" w14:textId="77777777" w:rsidR="00CF192E" w:rsidRPr="00665B5A" w:rsidRDefault="00CF192E" w:rsidP="00CF192E">
      <w:pPr>
        <w:pStyle w:val="NormalHanging12a"/>
        <w:widowControl/>
        <w:rPr>
          <w:szCs w:val="24"/>
        </w:rPr>
      </w:pPr>
      <w:r w:rsidRPr="00665B5A">
        <w:lastRenderedPageBreak/>
        <w:t>–</w:t>
      </w:r>
      <w:r w:rsidRPr="00665B5A">
        <w:tab/>
        <w:t>Visto el dictamen adoptado por la Autoridad Europea de Seguridad Alimentaria (EFSA) el 13 de marzo de 2024 y publicado el 29 de abril de 2024</w:t>
      </w:r>
      <w:r w:rsidRPr="00665B5A">
        <w:rPr>
          <w:rStyle w:val="FootnoteReference"/>
          <w:szCs w:val="24"/>
        </w:rPr>
        <w:footnoteReference w:id="4"/>
      </w:r>
      <w:r w:rsidRPr="00665B5A">
        <w:t>,</w:t>
      </w:r>
    </w:p>
    <w:p w14:paraId="65B96247" w14:textId="77777777" w:rsidR="00CF192E" w:rsidRPr="00665B5A" w:rsidRDefault="00CF192E" w:rsidP="00CF192E">
      <w:pPr>
        <w:pStyle w:val="NormalHanging12a"/>
        <w:widowControl/>
        <w:rPr>
          <w:szCs w:val="24"/>
        </w:rPr>
      </w:pPr>
      <w:r w:rsidRPr="00665B5A">
        <w:t>–</w:t>
      </w:r>
      <w:r w:rsidRPr="00665B5A">
        <w:tab/>
      </w:r>
      <w:r w:rsidRPr="00665B5A">
        <w:rPr>
          <w:shd w:val="clear" w:color="auto" w:fill="FFFFFF"/>
        </w:rPr>
        <w:t>Vistas sus anteriores Resoluciones de oposición a la autorización de organismos modificados genéticamente (OMG)</w:t>
      </w:r>
      <w:r w:rsidRPr="00665B5A">
        <w:rPr>
          <w:szCs w:val="24"/>
          <w:shd w:val="clear" w:color="auto" w:fill="FFFFFF"/>
          <w:vertAlign w:val="superscript"/>
        </w:rPr>
        <w:footnoteReference w:id="5"/>
      </w:r>
      <w:r w:rsidRPr="00665B5A">
        <w:rPr>
          <w:shd w:val="clear" w:color="auto" w:fill="FFFFFF"/>
        </w:rPr>
        <w:t>,</w:t>
      </w:r>
    </w:p>
    <w:p w14:paraId="13FC3B87" w14:textId="77777777" w:rsidR="00CF192E" w:rsidRPr="00665B5A" w:rsidRDefault="00CF192E" w:rsidP="00CF192E">
      <w:pPr>
        <w:pStyle w:val="NormalHanging12a"/>
        <w:widowControl/>
        <w:rPr>
          <w:szCs w:val="24"/>
        </w:rPr>
      </w:pPr>
      <w:r w:rsidRPr="00665B5A">
        <w:t>–</w:t>
      </w:r>
      <w:r w:rsidRPr="00665B5A">
        <w:tab/>
        <w:t>Visto el artículo 115, apartados 2 y 3, de su Reglamento interno,</w:t>
      </w:r>
    </w:p>
    <w:p w14:paraId="4E845593" w14:textId="77777777" w:rsidR="00CF192E" w:rsidRPr="00665B5A" w:rsidRDefault="00CF192E" w:rsidP="00CF192E">
      <w:pPr>
        <w:pStyle w:val="NormalHanging12a"/>
        <w:widowControl/>
        <w:rPr>
          <w:szCs w:val="24"/>
        </w:rPr>
      </w:pPr>
      <w:r w:rsidRPr="00665B5A">
        <w:t>–</w:t>
      </w:r>
      <w:r w:rsidRPr="00665B5A">
        <w:tab/>
        <w:t>Vista la propuesta de Resolución de la Comisión de Medio Ambiente, Salud Pública y Seguridad Alimentaria,</w:t>
      </w:r>
    </w:p>
    <w:p w14:paraId="45D3D6B2" w14:textId="77777777" w:rsidR="00CF192E" w:rsidRPr="00665B5A" w:rsidRDefault="00CF192E" w:rsidP="00CF192E">
      <w:pPr>
        <w:pStyle w:val="NormalHanging12a"/>
        <w:widowControl/>
        <w:rPr>
          <w:szCs w:val="24"/>
        </w:rPr>
      </w:pPr>
      <w:r w:rsidRPr="00665B5A">
        <w:t>A.</w:t>
      </w:r>
      <w:r w:rsidRPr="00665B5A">
        <w:tab/>
        <w:t>Considerando que, el 21 de octubre de 2022, Corteva Agriscience Belgium BV, con sede en Bélgica, en nombre de Corteva Agriscience LLC, con sede en los Estados Unidos, y Bayer Agriculture BV, con sede en Bélgica, en nombre de Bayer CropScience LP, con sede en los Estados Unidos, presentaron conjuntamente a la Comisión una solicitud de renovación de la autorización del maíz modificado genéticamente MON 89034 × 1507 × NK603 (en lo sucesivo, «maíz modificado genéticamente»);</w:t>
      </w:r>
    </w:p>
    <w:p w14:paraId="6AE052E3" w14:textId="77777777" w:rsidR="00CF192E" w:rsidRPr="00665B5A" w:rsidRDefault="00CF192E" w:rsidP="00CF192E">
      <w:pPr>
        <w:pStyle w:val="NormalHanging12a"/>
        <w:widowControl/>
        <w:rPr>
          <w:szCs w:val="24"/>
        </w:rPr>
      </w:pPr>
      <w:r w:rsidRPr="00665B5A">
        <w:t>B.</w:t>
      </w:r>
      <w:r w:rsidRPr="00665B5A">
        <w:tab/>
        <w:t>Considerando que, el 13 de marzo de 2024, la EFSA adoptó un dictamen favorable que fue publicado el 26 de abril de 2024;</w:t>
      </w:r>
    </w:p>
    <w:p w14:paraId="3AD8C1B5" w14:textId="77777777" w:rsidR="00CF192E" w:rsidRPr="00665B5A" w:rsidRDefault="00CF192E" w:rsidP="00CF192E">
      <w:pPr>
        <w:pStyle w:val="NormalHanging12a"/>
        <w:widowControl/>
        <w:rPr>
          <w:szCs w:val="24"/>
        </w:rPr>
      </w:pPr>
      <w:r w:rsidRPr="00665B5A">
        <w:t>C.</w:t>
      </w:r>
      <w:r w:rsidRPr="00665B5A">
        <w:tab/>
        <w:t>Considerando que el maíz modificado genéticamente contiene genes que confieren resistencia al glufosinato y produce proteínas insecticidas (en lo sucesivo, «toxinas Bt»);</w:t>
      </w:r>
    </w:p>
    <w:p w14:paraId="288BFE51" w14:textId="77777777" w:rsidR="00CF192E" w:rsidRPr="00665B5A" w:rsidRDefault="00CF192E" w:rsidP="00CF192E">
      <w:pPr>
        <w:pStyle w:val="NormalHanging12a"/>
        <w:widowControl/>
        <w:rPr>
          <w:b/>
          <w:i/>
          <w:szCs w:val="24"/>
        </w:rPr>
      </w:pPr>
      <w:r w:rsidRPr="00665B5A">
        <w:rPr>
          <w:b/>
          <w:i/>
        </w:rPr>
        <w:t>Falta de evaluación del herbicida complementario</w:t>
      </w:r>
    </w:p>
    <w:p w14:paraId="1DA840CB" w14:textId="77777777" w:rsidR="00CF192E" w:rsidRPr="00665B5A" w:rsidRDefault="00CF192E" w:rsidP="00CF192E">
      <w:pPr>
        <w:pStyle w:val="NormalHanging12a"/>
        <w:widowControl/>
        <w:rPr>
          <w:szCs w:val="24"/>
        </w:rPr>
      </w:pPr>
      <w:r w:rsidRPr="00665B5A">
        <w:t>D.</w:t>
      </w:r>
      <w:r w:rsidRPr="00665B5A">
        <w:tab/>
        <w:t>Considerando que el Reglamento de Ejecución (UE) n.º 503/2013 de la Comisión</w:t>
      </w:r>
      <w:r w:rsidRPr="00665B5A">
        <w:rPr>
          <w:rStyle w:val="FootnoteReference"/>
          <w:szCs w:val="24"/>
        </w:rPr>
        <w:footnoteReference w:id="6"/>
      </w:r>
      <w:r w:rsidRPr="00665B5A">
        <w:t xml:space="preserve"> exige evaluar si las prácticas agrícolas previstas influyen en la expresión de los efectos finales estudiados; que, con arreglo a dicho Reglamento de Ejecución, esta evaluación es especialmente pertinente en el caso de plantas resistentes a los herbicidas;</w:t>
      </w:r>
    </w:p>
    <w:p w14:paraId="5ACA7DA4" w14:textId="77777777" w:rsidR="00CF192E" w:rsidRPr="00665B5A" w:rsidRDefault="00CF192E" w:rsidP="00CF192E">
      <w:pPr>
        <w:pStyle w:val="NormalHanging12a"/>
        <w:widowControl/>
        <w:rPr>
          <w:szCs w:val="24"/>
        </w:rPr>
      </w:pPr>
      <w:r w:rsidRPr="00665B5A">
        <w:t>E.</w:t>
      </w:r>
      <w:r w:rsidRPr="00665B5A">
        <w:tab/>
        <w:t xml:space="preserve">Considerando que la gran mayoría de los cultivos modificados genéticamente lo han sido para hacerlos tolerantes a uno o varios herbicidas «complementarios» que pueden utilizarse durante todo el cultivo de la planta modificada genéticamente, sin que esta muera, como sucedería con una planta no tolerante a los herbicidas; que diversos estudios han demostrado que en los cultivos modificados genéticamente resistentes a los </w:t>
      </w:r>
      <w:r w:rsidRPr="00665B5A">
        <w:lastRenderedPageBreak/>
        <w:t>herbicidas se hace un mayor uso de herbicidas complementarios, debido en gran parte a la aparición de malas hierbas resistentes a los herbicidas</w:t>
      </w:r>
      <w:r w:rsidRPr="00665B5A">
        <w:rPr>
          <w:rStyle w:val="FootnoteReference"/>
          <w:szCs w:val="24"/>
        </w:rPr>
        <w:footnoteReference w:id="7"/>
      </w:r>
      <w:r w:rsidRPr="00665B5A">
        <w:t>;</w:t>
      </w:r>
    </w:p>
    <w:p w14:paraId="2542EAE0" w14:textId="77777777" w:rsidR="00CF192E" w:rsidRPr="00665B5A" w:rsidRDefault="00CF192E" w:rsidP="00CF192E">
      <w:pPr>
        <w:pStyle w:val="NormalHanging12a"/>
        <w:widowControl/>
        <w:rPr>
          <w:szCs w:val="24"/>
        </w:rPr>
      </w:pPr>
      <w:r w:rsidRPr="00665B5A">
        <w:t>F.</w:t>
      </w:r>
      <w:r w:rsidRPr="00665B5A">
        <w:tab/>
        <w:t>Considerando que los cultivos modificados genéticamente resistentes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el herbicida complementario; que una mayor dependencia de los herbicidas complementarios en las explotaciones de cultivos modificados genéticamente acelera la aparición y propagación de malas hierbas resistentes a esos herbicidas, lo que genera la necesidad de un uso aún mayor de herbicidas, en lo que se conoce como «círculo vicioso de los herbicidas»;</w:t>
      </w:r>
    </w:p>
    <w:p w14:paraId="1339553D" w14:textId="77777777" w:rsidR="00CF192E" w:rsidRPr="00665B5A" w:rsidRDefault="00CF192E" w:rsidP="00CF192E">
      <w:pPr>
        <w:pStyle w:val="NormalHanging12a"/>
        <w:widowControl/>
        <w:rPr>
          <w:szCs w:val="24"/>
        </w:rPr>
      </w:pPr>
      <w:r w:rsidRPr="00665B5A">
        <w:t>G.</w:t>
      </w:r>
      <w:r w:rsidRPr="00665B5A">
        <w:tab/>
        <w:t>Considerando que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p>
    <w:p w14:paraId="1987D20A" w14:textId="77777777" w:rsidR="00CF192E" w:rsidRPr="00665B5A" w:rsidRDefault="00CF192E" w:rsidP="00CF192E">
      <w:pPr>
        <w:pStyle w:val="NormalHanging12a"/>
        <w:widowControl/>
        <w:rPr>
          <w:szCs w:val="24"/>
        </w:rPr>
      </w:pPr>
      <w:r w:rsidRPr="00665B5A">
        <w:t>H.</w:t>
      </w:r>
      <w:r w:rsidRPr="00665B5A">
        <w:tab/>
        <w:t>Considerando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665B5A">
        <w:rPr>
          <w:rStyle w:val="FootnoteReference"/>
          <w:szCs w:val="24"/>
        </w:rPr>
        <w:footnoteReference w:id="8"/>
      </w:r>
      <w:r w:rsidRPr="00665B5A">
        <w:t>;</w:t>
      </w:r>
    </w:p>
    <w:p w14:paraId="0A918B0C" w14:textId="77777777" w:rsidR="00CF192E" w:rsidRPr="00665B5A" w:rsidRDefault="00CF192E" w:rsidP="00CF192E">
      <w:pPr>
        <w:pStyle w:val="NormalHanging12a"/>
        <w:widowControl/>
        <w:rPr>
          <w:szCs w:val="24"/>
        </w:rPr>
      </w:pPr>
      <w:r w:rsidRPr="00665B5A">
        <w:t>I.</w:t>
      </w:r>
      <w:r w:rsidRPr="00665B5A">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w:t>
      </w:r>
    </w:p>
    <w:p w14:paraId="0C9014CB" w14:textId="77777777" w:rsidR="00CF192E" w:rsidRPr="00665B5A" w:rsidRDefault="00CF192E" w:rsidP="00CF192E">
      <w:pPr>
        <w:pStyle w:val="NormalHanging12a"/>
        <w:widowControl/>
        <w:rPr>
          <w:b/>
          <w:i/>
          <w:szCs w:val="24"/>
        </w:rPr>
      </w:pPr>
      <w:r w:rsidRPr="00665B5A">
        <w:rPr>
          <w:b/>
          <w:i/>
        </w:rPr>
        <w:t>Cuestiones pendientes relativas a las toxinas Bt</w:t>
      </w:r>
    </w:p>
    <w:p w14:paraId="0E7A6386" w14:textId="77777777" w:rsidR="00CF192E" w:rsidRPr="00665B5A" w:rsidRDefault="00CF192E" w:rsidP="00CF192E">
      <w:pPr>
        <w:pStyle w:val="NormalHanging12a"/>
        <w:widowControl/>
        <w:rPr>
          <w:szCs w:val="24"/>
        </w:rPr>
      </w:pPr>
      <w:r w:rsidRPr="00665B5A">
        <w:t>J.</w:t>
      </w:r>
      <w:r w:rsidRPr="00665B5A">
        <w:tab/>
        <w:t>Considerando que hay varios estudios en los que se han observado posibles efectos secundarios en el sistema inmunitario por la exposición a toxinas Bt y que algunas de dichas toxinas pueden tener propiedades adyuvantes</w:t>
      </w:r>
      <w:r w:rsidRPr="00665B5A">
        <w:rPr>
          <w:rStyle w:val="FootnoteReference"/>
          <w:szCs w:val="24"/>
        </w:rPr>
        <w:footnoteReference w:id="9"/>
      </w:r>
      <w:r w:rsidRPr="00665B5A">
        <w:t>, lo que significa que pueden aumentar la capacidad alergénica de otras proteínas con las que entren en contacto;</w:t>
      </w:r>
    </w:p>
    <w:p w14:paraId="0848D2DE" w14:textId="77777777" w:rsidR="00CF192E" w:rsidRPr="00665B5A" w:rsidRDefault="00CF192E" w:rsidP="00CF192E">
      <w:pPr>
        <w:pStyle w:val="NormalHanging12a"/>
        <w:widowControl/>
        <w:rPr>
          <w:szCs w:val="24"/>
        </w:rPr>
      </w:pPr>
      <w:r w:rsidRPr="00665B5A">
        <w:t>K.</w:t>
      </w:r>
      <w:r w:rsidRPr="00665B5A">
        <w:tab/>
        <w:t>Considerando que en un estudio científico se constató que la toxicidad de las toxinas Bt también puede aumentar por la interacción con los residuos de la pulverización con herbicidas y que se necesitan más estudios sobre los efectos combinatorios de los eventos «acumulados» (cultivos modificados genéticamente que han sido modificados para ser tolerantes a herbicidas y producir insecticidas en forma de toxinas Bt)</w:t>
      </w:r>
      <w:r w:rsidRPr="00665B5A">
        <w:rPr>
          <w:rStyle w:val="FootnoteReference"/>
          <w:szCs w:val="24"/>
        </w:rPr>
        <w:footnoteReference w:id="10"/>
      </w:r>
      <w:r w:rsidRPr="00665B5A">
        <w:t>; que, sin embargo, la evaluación de la posible interacción de los residuos de herbicidas y sus metabolitos con las toxinas Bt se considera excluida de las competencias de la Comisión Técnica de Organismos Modificados Genéticamente de la EFSA y, por consiguiente, no forma parte de la evaluación del riesgo;</w:t>
      </w:r>
    </w:p>
    <w:p w14:paraId="6CCE3130" w14:textId="77777777" w:rsidR="00CF192E" w:rsidRPr="00665B5A" w:rsidRDefault="00CF192E" w:rsidP="00CF192E">
      <w:pPr>
        <w:pStyle w:val="NormalHanging12a"/>
        <w:widowControl/>
        <w:rPr>
          <w:b/>
          <w:i/>
          <w:szCs w:val="24"/>
        </w:rPr>
      </w:pPr>
      <w:r w:rsidRPr="00665B5A">
        <w:rPr>
          <w:b/>
          <w:i/>
        </w:rPr>
        <w:t>Cultivos Bt: efectos en organismos no objetivo</w:t>
      </w:r>
    </w:p>
    <w:p w14:paraId="3D41F486" w14:textId="77777777" w:rsidR="00CF192E" w:rsidRPr="00665B5A" w:rsidRDefault="00CF192E" w:rsidP="00CF192E">
      <w:pPr>
        <w:pStyle w:val="NormalHanging12a"/>
        <w:widowControl/>
        <w:rPr>
          <w:szCs w:val="24"/>
        </w:rPr>
      </w:pPr>
      <w:r w:rsidRPr="00665B5A">
        <w:t>L.</w:t>
      </w:r>
      <w:r w:rsidRPr="00665B5A">
        <w:tab/>
        <w:t>Considerando que, a diferencia de lo que ocurre con el uso de insecticidas —donde la exposición se produce en el momento de la fumigación y durante un período posterior limitado—, el uso de cultivos genéticamente modificados Bt da lugar a una exposición continua de los organismos objetivo y no objetivo a las toxinas Bt;</w:t>
      </w:r>
    </w:p>
    <w:p w14:paraId="264E9CB6" w14:textId="77777777" w:rsidR="00CF192E" w:rsidRPr="00665B5A" w:rsidRDefault="00CF192E" w:rsidP="00CF192E">
      <w:pPr>
        <w:pStyle w:val="NormalHanging12a"/>
        <w:widowControl/>
        <w:rPr>
          <w:szCs w:val="24"/>
        </w:rPr>
      </w:pPr>
      <w:r w:rsidRPr="00665B5A">
        <w:t>M.</w:t>
      </w:r>
      <w:r w:rsidRPr="00665B5A">
        <w:tab/>
        <w:t>Considerando que ya no puede considerarse correcta la hipótesis de que las toxinas Bt tengan un único modo de acción específico para los organismos objetivo y que no puede descartarse la existencia de efectos sobre organismos no objetivo; que se ha informado de que un número cada vez mayor de organismos no objetivo se ven afectados de muchas maneras; que en un estudio reciente se mencionan treinta y nueve publicaciones revisadas por pares que informan de importantes efectos adversos de las toxinas Bt en numerosas especies no objetivo</w:t>
      </w:r>
      <w:r w:rsidRPr="00665B5A">
        <w:rPr>
          <w:rStyle w:val="FootnoteReference"/>
          <w:szCs w:val="24"/>
        </w:rPr>
        <w:footnoteReference w:id="11"/>
      </w:r>
      <w:r w:rsidRPr="00665B5A">
        <w:t>;</w:t>
      </w:r>
    </w:p>
    <w:p w14:paraId="30DEB867" w14:textId="77777777" w:rsidR="00CF192E" w:rsidRPr="00665B5A" w:rsidRDefault="00CF192E" w:rsidP="00CF192E">
      <w:pPr>
        <w:pStyle w:val="NormalHanging12a"/>
        <w:widowControl/>
        <w:rPr>
          <w:b/>
          <w:i/>
          <w:szCs w:val="24"/>
        </w:rPr>
      </w:pPr>
      <w:r w:rsidRPr="00665B5A">
        <w:rPr>
          <w:b/>
          <w:i/>
        </w:rPr>
        <w:t>Observaciones de los Estados miembros y de las partes interesadas</w:t>
      </w:r>
    </w:p>
    <w:p w14:paraId="6B55096D" w14:textId="77777777" w:rsidR="00CF192E" w:rsidRPr="00665B5A" w:rsidRDefault="00CF192E" w:rsidP="00CF192E">
      <w:pPr>
        <w:pStyle w:val="NormalHanging12a"/>
        <w:widowControl/>
        <w:rPr>
          <w:szCs w:val="24"/>
        </w:rPr>
      </w:pPr>
      <w:r w:rsidRPr="00665B5A">
        <w:t>N.</w:t>
      </w:r>
      <w:r w:rsidRPr="00665B5A">
        <w:tab/>
        <w:t>Considerando que los Estados miembros presentaron numerosas observaciones críticas a la EFSA durante el período de consulta de tres meses</w:t>
      </w:r>
      <w:r w:rsidRPr="00665B5A">
        <w:rPr>
          <w:rStyle w:val="FootnoteReference"/>
          <w:szCs w:val="24"/>
        </w:rPr>
        <w:footnoteReference w:id="12"/>
      </w:r>
      <w:r w:rsidRPr="00665B5A">
        <w:t xml:space="preserve"> y, en particular, observaron que la lista de estudios pertinentes, identificada en la revisión bibliográfica del solicitante, no incluía estudios sobre el destino de las proteínas Bt en el medio ambiente ni sobre los posibles efectos de los residuos de cultivos Bt en organismos no objetivo, a pesar de que existen tales estudios; </w:t>
      </w:r>
    </w:p>
    <w:p w14:paraId="38579BC6" w14:textId="77777777" w:rsidR="00CF192E" w:rsidRPr="00665B5A" w:rsidRDefault="00CF192E" w:rsidP="00D15D73">
      <w:pPr>
        <w:pStyle w:val="NormalHanging12a"/>
        <w:widowControl/>
        <w:ind w:left="0" w:firstLine="0"/>
        <w:rPr>
          <w:b/>
          <w:i/>
          <w:szCs w:val="24"/>
        </w:rPr>
      </w:pPr>
      <w:r w:rsidRPr="00665B5A">
        <w:rPr>
          <w:b/>
          <w:i/>
        </w:rPr>
        <w:t>Garantía de unas condiciones de competencia equitativas a escala mundial y respeto de las obligaciones internacionales de la Unión</w:t>
      </w:r>
    </w:p>
    <w:p w14:paraId="13FFDA77" w14:textId="77777777" w:rsidR="00CF192E" w:rsidRPr="00665B5A" w:rsidRDefault="00CF192E" w:rsidP="00CF192E">
      <w:pPr>
        <w:pStyle w:val="NormalHanging12a"/>
        <w:widowControl/>
        <w:rPr>
          <w:szCs w:val="24"/>
        </w:rPr>
      </w:pPr>
      <w:r w:rsidRPr="00665B5A">
        <w:t>O.</w:t>
      </w:r>
      <w:r w:rsidRPr="00665B5A">
        <w:tab/>
        <w:t>Considerando que en las conclusiones del diálogo estratégico sobre el futuro de la agricultura en la UE</w:t>
      </w:r>
      <w:r w:rsidRPr="00665B5A">
        <w:rPr>
          <w:rStyle w:val="FootnoteReference"/>
          <w:szCs w:val="24"/>
        </w:rPr>
        <w:footnoteReference w:id="13"/>
      </w:r>
      <w:r w:rsidRPr="00665B5A">
        <w:t xml:space="preserve"> se pide a la Comisión que reevalúe su enfoque sobre el acceso al mercado para las importaciones y exportaciones agroalimentarias, habida cuenta del reto que plantean las normas divergentes de la Unión y sus socios comerciales; que unas relaciones comerciales más justas a escala mundial, coherentes con los objetivos de un medio ambiente saludable, fueron una de las principales demandas de los agricultores durante las manifestaciones de 2023 y 2024;</w:t>
      </w:r>
    </w:p>
    <w:p w14:paraId="596CD169" w14:textId="77777777" w:rsidR="00CF192E" w:rsidRPr="00665B5A" w:rsidRDefault="00CF192E" w:rsidP="00CF192E">
      <w:pPr>
        <w:pStyle w:val="NormalHanging12a"/>
        <w:widowControl/>
        <w:rPr>
          <w:szCs w:val="24"/>
        </w:rPr>
      </w:pPr>
      <w:r w:rsidRPr="00665B5A">
        <w:t>P.</w:t>
      </w:r>
      <w:r w:rsidRPr="00665B5A">
        <w:tab/>
        <w:t>Considerando que en un informe de 2017 de la relatora especial de las Naciones Unidas sobre el derecho a la alimentación se afirmaba que los plaguicidas peligrosos tienen consecuencias catastróficas para la salud, en particular en los países en desarrollo</w:t>
      </w:r>
      <w:r w:rsidRPr="00665B5A">
        <w:rPr>
          <w:rStyle w:val="FootnoteReference"/>
          <w:szCs w:val="24"/>
        </w:rPr>
        <w:footnoteReference w:id="14"/>
      </w:r>
      <w:r w:rsidRPr="00665B5A">
        <w:t>; que la meta 3.9 de los Objetivos de Desarrollo Sostenible (ODS) de las Naciones Unidas aspira a reducir considerablemente, para 2030, el número de muertes y enfermedades causadas por productos químicos peligrosos y por la polución y contaminación del aire, el agua y el suelo;</w:t>
      </w:r>
    </w:p>
    <w:p w14:paraId="3EAA7C3E" w14:textId="77777777" w:rsidR="00CF192E" w:rsidRPr="00665B5A" w:rsidRDefault="00CF192E" w:rsidP="00CF192E">
      <w:pPr>
        <w:pStyle w:val="NormalHanging12a"/>
        <w:widowControl/>
        <w:rPr>
          <w:szCs w:val="24"/>
        </w:rPr>
      </w:pPr>
      <w:r w:rsidRPr="00665B5A">
        <w:t>Q.</w:t>
      </w:r>
      <w:r w:rsidRPr="00665B5A">
        <w:tab/>
        <w:t>Considerando que el Marco Mundial Kunming-Montreal para la Diversidad Biológica (en lo sucesivo, «Marco Kunming-Montreal»), acordado en la 15.ª Conferencia de las Partes del Convenio de las Naciones Unidas sobre la Diversidad Biológica (en lo sucesivo, «Convenio sobre la Diversidad Biológica») en diciembre de 2022, incluye un objetivo mundial de reducir el riesgo de plaguicidas en al menos un 50 % de aquí a 2030</w:t>
      </w:r>
      <w:r w:rsidRPr="00665B5A">
        <w:rPr>
          <w:rStyle w:val="FootnoteReference"/>
          <w:szCs w:val="24"/>
        </w:rPr>
        <w:footnoteReference w:id="15"/>
      </w:r>
      <w:r w:rsidRPr="00665B5A">
        <w:t>;</w:t>
      </w:r>
    </w:p>
    <w:p w14:paraId="2D6D1ADC" w14:textId="77777777" w:rsidR="00CF192E" w:rsidRPr="00665B5A" w:rsidRDefault="00CF192E" w:rsidP="00CF192E">
      <w:pPr>
        <w:pStyle w:val="NormalHanging12a"/>
        <w:widowControl/>
        <w:rPr>
          <w:szCs w:val="24"/>
        </w:rPr>
      </w:pPr>
      <w:r w:rsidRPr="00665B5A">
        <w:t>R.</w:t>
      </w:r>
      <w:r w:rsidRPr="00665B5A">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ODS de las Naciones Unidas y del Convenio sobre la Diversidad Biológica;</w:t>
      </w:r>
    </w:p>
    <w:p w14:paraId="4DAC3693" w14:textId="77777777" w:rsidR="00CF192E" w:rsidRPr="00665B5A" w:rsidRDefault="00CF192E" w:rsidP="00CF192E">
      <w:pPr>
        <w:pStyle w:val="NormalHanging12a"/>
        <w:widowControl/>
        <w:rPr>
          <w:b/>
          <w:i/>
          <w:szCs w:val="24"/>
        </w:rPr>
      </w:pPr>
      <w:r w:rsidRPr="00665B5A">
        <w:rPr>
          <w:b/>
          <w:i/>
        </w:rPr>
        <w:t>Reducción de la dependencia de los piensos importados</w:t>
      </w:r>
    </w:p>
    <w:p w14:paraId="62B67845" w14:textId="77777777" w:rsidR="00CF192E" w:rsidRPr="00665B5A" w:rsidRDefault="00CF192E" w:rsidP="00CF192E">
      <w:pPr>
        <w:pStyle w:val="NormalHanging12a"/>
        <w:widowControl/>
        <w:rPr>
          <w:b/>
          <w:i/>
          <w:szCs w:val="24"/>
        </w:rPr>
      </w:pPr>
      <w:r w:rsidRPr="00665B5A">
        <w:t>S.</w:t>
      </w:r>
      <w:r w:rsidRPr="00665B5A">
        <w:tab/>
        <w:t>Considerando que una de las lecciones extraídas de la crisis de la COVID-19 y de la guerra que aún está en curso en Ucrania es la necesidad de que la Unión ponga fin a las dependencias en relación con algunas materias primas fundamentales; que, en la carta de mandato dirigida al comisario propuesto Christophe Hansen, la presidenta de la Comisión, Ursula von der Leyen, le pide que estudie formas de reducir las importaciones de productos básicos críticos</w:t>
      </w:r>
      <w:r w:rsidRPr="00665B5A">
        <w:rPr>
          <w:rStyle w:val="FootnoteReference"/>
          <w:szCs w:val="24"/>
        </w:rPr>
        <w:footnoteReference w:id="16"/>
      </w:r>
      <w:r w:rsidRPr="00665B5A">
        <w:t>;</w:t>
      </w:r>
    </w:p>
    <w:p w14:paraId="0D30EB3A" w14:textId="77777777" w:rsidR="00CF192E" w:rsidRPr="00665B5A" w:rsidRDefault="00CF192E" w:rsidP="00CF192E">
      <w:pPr>
        <w:pStyle w:val="NormalHanging12a"/>
        <w:widowControl/>
        <w:rPr>
          <w:b/>
          <w:i/>
          <w:szCs w:val="24"/>
        </w:rPr>
      </w:pPr>
      <w:r w:rsidRPr="00665B5A">
        <w:rPr>
          <w:b/>
          <w:i/>
        </w:rPr>
        <w:t>Proceso decisorio no democrático</w:t>
      </w:r>
    </w:p>
    <w:p w14:paraId="28BCC2B9" w14:textId="77777777" w:rsidR="00CF192E" w:rsidRPr="00665B5A" w:rsidRDefault="00CF192E" w:rsidP="00CF192E">
      <w:pPr>
        <w:pStyle w:val="NormalHanging12a"/>
        <w:widowControl/>
        <w:rPr>
          <w:szCs w:val="24"/>
        </w:rPr>
      </w:pPr>
      <w:r w:rsidRPr="00665B5A">
        <w:t>T.</w:t>
      </w:r>
      <w:r w:rsidRPr="00665B5A">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Europeo se opuso en treinta y ocho ocasiones a la comercialización de organismos modificados genéticamente;</w:t>
      </w:r>
    </w:p>
    <w:p w14:paraId="6C8704F4" w14:textId="77777777" w:rsidR="00CF192E" w:rsidRPr="00665B5A" w:rsidRDefault="00CF192E" w:rsidP="00CF192E">
      <w:pPr>
        <w:pStyle w:val="NormalHanging12a"/>
        <w:widowControl/>
        <w:rPr>
          <w:szCs w:val="24"/>
        </w:rPr>
      </w:pPr>
      <w:r w:rsidRPr="00665B5A">
        <w:t>U.</w:t>
      </w:r>
      <w:r w:rsidRPr="00665B5A">
        <w:tab/>
        <w:t>Considerando que, pese a reconocer las deficiencias democráticas, la falta de apoyo de los Estados miembros y la oposición del Parlamento, la Comisión sigue autorizando organismos modificados genéticamente;</w:t>
      </w:r>
    </w:p>
    <w:p w14:paraId="12D5E500" w14:textId="77777777" w:rsidR="00CF192E" w:rsidRPr="00665B5A" w:rsidRDefault="00CF192E" w:rsidP="00CF192E">
      <w:pPr>
        <w:pStyle w:val="NormalHanging12a"/>
        <w:widowControl/>
        <w:rPr>
          <w:szCs w:val="24"/>
        </w:rPr>
      </w:pPr>
      <w:r w:rsidRPr="00665B5A">
        <w:t>V.</w:t>
      </w:r>
      <w:r w:rsidRPr="00665B5A">
        <w:tab/>
        <w:t>Considerando que no es necesaria ninguna modificación legislativa para que la Comisión pueda no autorizar un organismo modificado genéticamente cuando no haya una mayoría cualificada de Estados miembros a favor en el Comité de Apelación</w:t>
      </w:r>
      <w:r w:rsidRPr="00665B5A">
        <w:rPr>
          <w:rStyle w:val="FootnoteReference"/>
          <w:szCs w:val="24"/>
        </w:rPr>
        <w:footnoteReference w:id="17"/>
      </w:r>
      <w:r w:rsidRPr="00665B5A">
        <w:t>;</w:t>
      </w:r>
    </w:p>
    <w:p w14:paraId="32BEFB41" w14:textId="77777777" w:rsidR="00CF192E" w:rsidRPr="00665B5A" w:rsidRDefault="00CF192E" w:rsidP="00CF192E">
      <w:pPr>
        <w:widowControl/>
        <w:spacing w:after="240"/>
        <w:ind w:left="567" w:hanging="567"/>
        <w:rPr>
          <w:szCs w:val="24"/>
          <w:shd w:val="clear" w:color="auto" w:fill="FFFFFF"/>
        </w:rPr>
      </w:pPr>
      <w:r w:rsidRPr="00665B5A">
        <w:t>W.</w:t>
      </w:r>
      <w:r w:rsidRPr="00665B5A">
        <w:tab/>
      </w:r>
      <w:r w:rsidRPr="00665B5A">
        <w:rPr>
          <w:shd w:val="clear" w:color="auto" w:fill="FFFFFF"/>
        </w:rPr>
        <w:t>Considerando que en la votación del 8 de julio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3 de septiembre de 2024 en el Comité de Apelación tampoco se emitió dictamen;</w:t>
      </w:r>
    </w:p>
    <w:p w14:paraId="63B9C6AD" w14:textId="77777777" w:rsidR="00CF192E" w:rsidRPr="00665B5A" w:rsidRDefault="00CF192E" w:rsidP="00CF192E">
      <w:pPr>
        <w:pStyle w:val="NormalHanging12a"/>
        <w:widowControl/>
        <w:rPr>
          <w:szCs w:val="24"/>
        </w:rPr>
      </w:pPr>
      <w:r w:rsidRPr="00665B5A">
        <w:t>1.</w:t>
      </w:r>
      <w:r w:rsidRPr="00665B5A">
        <w:tab/>
      </w:r>
      <w:r w:rsidR="009E4970" w:rsidRPr="00665B5A">
        <w:t>Considera</w:t>
      </w:r>
      <w:r w:rsidRPr="00665B5A">
        <w:t xml:space="preserve"> que </w:t>
      </w:r>
      <w:r w:rsidR="009E4970" w:rsidRPr="00665B5A">
        <w:t>l</w:t>
      </w:r>
      <w:r w:rsidR="00E534B7" w:rsidRPr="00665B5A">
        <w:t>a</w:t>
      </w:r>
      <w:r w:rsidRPr="00665B5A">
        <w:t xml:space="preserve"> Decisión de Ejecución </w:t>
      </w:r>
      <w:r w:rsidR="00E534B7" w:rsidRPr="00665B5A">
        <w:t xml:space="preserve">(UE) 2024/2628 </w:t>
      </w:r>
      <w:r w:rsidRPr="00665B5A">
        <w:t>de la Comisión excede de las competencias de ejecución establecidas en el Reglamento (CE) n.º 1829/2003;</w:t>
      </w:r>
    </w:p>
    <w:p w14:paraId="6907C16C" w14:textId="77777777" w:rsidR="00CF192E" w:rsidRPr="00665B5A" w:rsidRDefault="00CF192E" w:rsidP="00CF192E">
      <w:pPr>
        <w:pStyle w:val="NormalHanging12a"/>
        <w:widowControl/>
      </w:pPr>
      <w:r w:rsidRPr="00665B5A">
        <w:t>2.</w:t>
      </w:r>
      <w:r w:rsidRPr="00665B5A">
        <w:tab/>
        <w:t xml:space="preserve">Considera que </w:t>
      </w:r>
      <w:r w:rsidR="00E534B7" w:rsidRPr="00665B5A">
        <w:t>la</w:t>
      </w:r>
      <w:r w:rsidRPr="00665B5A">
        <w:t xml:space="preserve"> Decisión de Ejecución</w:t>
      </w:r>
      <w:r w:rsidR="00E534B7" w:rsidRPr="00665B5A">
        <w:t xml:space="preserve"> (UE) 2024/2628</w:t>
      </w:r>
      <w:r w:rsidRPr="00665B5A">
        <w:t xml:space="preserve"> de la Comisión no es conforme con el Derecho de la Unión al ser incompatible con el objetivo del Reglamento (CE) n.º 1829/2003, que es, con arreglo a los principios generales establecidos en el Reglamento (CE) n.º 178/2002 del Parlamento Europeo y del Consejo</w:t>
      </w:r>
      <w:r w:rsidRPr="00665B5A">
        <w:rPr>
          <w:rStyle w:val="FootnoteReference"/>
          <w:szCs w:val="24"/>
        </w:rPr>
        <w:footnoteReference w:id="18"/>
      </w:r>
      <w:r w:rsidRPr="00665B5A">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14:paraId="69943F9F" w14:textId="09894DC0" w:rsidR="00F556EF" w:rsidRPr="00665B5A" w:rsidRDefault="006E7F5E" w:rsidP="00CF192E">
      <w:pPr>
        <w:pStyle w:val="NormalHanging12a"/>
        <w:widowControl/>
        <w:rPr>
          <w:szCs w:val="24"/>
        </w:rPr>
      </w:pPr>
      <w:r w:rsidRPr="00665B5A">
        <w:t>3</w:t>
      </w:r>
      <w:r w:rsidR="00F556EF" w:rsidRPr="00665B5A">
        <w:t>.</w:t>
      </w:r>
      <w:r w:rsidR="00F556EF" w:rsidRPr="00665B5A">
        <w:tab/>
        <w:t>Pide a la Comisión que garantice la convergencia de normas entre la Unión y sus socios en las negociaciones de acuerdo</w:t>
      </w:r>
      <w:r w:rsidR="00C4272C" w:rsidRPr="00665B5A">
        <w:t>s</w:t>
      </w:r>
      <w:r w:rsidR="00F556EF" w:rsidRPr="00665B5A">
        <w:t xml:space="preserve"> de libre comercio, a fin de cumplir las normas de seguridad de la Unión;</w:t>
      </w:r>
    </w:p>
    <w:p w14:paraId="7759AC79" w14:textId="73786CFA" w:rsidR="00CF192E" w:rsidRPr="00665B5A" w:rsidRDefault="006E7F5E" w:rsidP="00CF192E">
      <w:pPr>
        <w:pStyle w:val="NormalHanging12a"/>
        <w:widowControl/>
        <w:rPr>
          <w:szCs w:val="24"/>
        </w:rPr>
      </w:pPr>
      <w:r w:rsidRPr="00665B5A">
        <w:t>4</w:t>
      </w:r>
      <w:r w:rsidR="00CF192E" w:rsidRPr="00665B5A">
        <w:t>.</w:t>
      </w:r>
      <w:r w:rsidR="00CF192E" w:rsidRPr="00665B5A">
        <w:tab/>
        <w:t xml:space="preserve">Pide a la Comisión que </w:t>
      </w:r>
      <w:r w:rsidR="00E534B7" w:rsidRPr="00665B5A">
        <w:t>derogue</w:t>
      </w:r>
      <w:r w:rsidR="00CF192E" w:rsidRPr="00665B5A">
        <w:t xml:space="preserve"> </w:t>
      </w:r>
      <w:r w:rsidR="009E4970" w:rsidRPr="00665B5A">
        <w:t>su</w:t>
      </w:r>
      <w:r w:rsidR="00CF192E" w:rsidRPr="00665B5A">
        <w:t xml:space="preserve"> Decisión de Ejecución</w:t>
      </w:r>
      <w:r w:rsidR="00E534B7" w:rsidRPr="00665B5A">
        <w:t xml:space="preserve"> (UE) 2024/2628</w:t>
      </w:r>
      <w:r w:rsidR="00CF192E" w:rsidRPr="00665B5A">
        <w:t xml:space="preserve"> y presente un nuevo proyecto al Comité;</w:t>
      </w:r>
    </w:p>
    <w:p w14:paraId="463A8582" w14:textId="6DF9B5CB" w:rsidR="00CF192E" w:rsidRPr="00665B5A" w:rsidRDefault="006E7F5E" w:rsidP="00CF192E">
      <w:pPr>
        <w:pStyle w:val="NormalHanging12a"/>
        <w:widowControl/>
        <w:rPr>
          <w:szCs w:val="24"/>
        </w:rPr>
      </w:pPr>
      <w:r w:rsidRPr="00665B5A">
        <w:t>5</w:t>
      </w:r>
      <w:r w:rsidR="00CF192E" w:rsidRPr="00665B5A">
        <w:t>.</w:t>
      </w:r>
      <w:r w:rsidR="00CF192E" w:rsidRPr="00665B5A">
        <w:tab/>
        <w:t>Pide a la Comisión que, en consonancia con el enfoque de «Una sola salud», no autorice cultivos modificados genéticamente resistentes a los herbicidas, debido al consiguiente aumento del uso de herbicidas complementarios y, por ende, al aumento de los riesgos para la biodiversidad, la seguridad alimentaria y la salud de los trabajadores;</w:t>
      </w:r>
    </w:p>
    <w:p w14:paraId="4E20A744" w14:textId="1FC01A12" w:rsidR="00CF192E" w:rsidRPr="00665B5A" w:rsidRDefault="006E7F5E" w:rsidP="00CF192E">
      <w:pPr>
        <w:pStyle w:val="NormalHanging12a"/>
        <w:widowControl/>
        <w:rPr>
          <w:szCs w:val="24"/>
        </w:rPr>
      </w:pPr>
      <w:r w:rsidRPr="00665B5A">
        <w:t>6</w:t>
      </w:r>
      <w:r w:rsidR="00CF192E" w:rsidRPr="00665B5A">
        <w:t>.</w:t>
      </w:r>
      <w:r w:rsidR="00CF192E" w:rsidRPr="00665B5A">
        <w:tab/>
        <w:t>Destaca, a este respecto, que autorizar la importación para su uso en alimentos o piensos de cualquier planta modificada genéticamente que se haya hecho tolerante a los herbicidas es incoherente con los compromisos internacionales de la Unión en virtud, entre otros, de los ODS de las Naciones Unidas y el Convenio sobre la Diversidad Biológica, incluido el Marco de Kunming-Montreal recientemente adoptado</w:t>
      </w:r>
      <w:r w:rsidR="00CF192E" w:rsidRPr="00665B5A">
        <w:rPr>
          <w:rStyle w:val="FootnoteReference"/>
          <w:szCs w:val="24"/>
        </w:rPr>
        <w:footnoteReference w:id="19"/>
      </w:r>
      <w:r w:rsidR="00CF192E" w:rsidRPr="00665B5A">
        <w:t>;</w:t>
      </w:r>
    </w:p>
    <w:p w14:paraId="55BDA9C7" w14:textId="27B4D89E" w:rsidR="00CF192E" w:rsidRPr="00665B5A" w:rsidRDefault="006E7F5E" w:rsidP="00CF192E">
      <w:pPr>
        <w:pStyle w:val="NormalHanging12a"/>
        <w:widowControl/>
        <w:rPr>
          <w:szCs w:val="24"/>
        </w:rPr>
      </w:pPr>
      <w:r w:rsidRPr="00665B5A">
        <w:t>7</w:t>
      </w:r>
      <w:r w:rsidR="00CF192E" w:rsidRPr="00665B5A">
        <w:t>.</w:t>
      </w:r>
      <w:r w:rsidR="00CF192E" w:rsidRPr="00665B5A">
        <w:tab/>
        <w:t>Celebra que la Comisión reconociera finalmente, en una carta a los diputados de 11 de septiembre de 2020, la necesidad de tener en cuenta la sostenibilidad en las decisiones de autorización relativas a OMG</w:t>
      </w:r>
      <w:r w:rsidR="00CF192E" w:rsidRPr="00665B5A">
        <w:rPr>
          <w:rStyle w:val="FootnoteReference"/>
          <w:szCs w:val="24"/>
        </w:rPr>
        <w:footnoteReference w:id="20"/>
      </w:r>
      <w:r w:rsidR="00CF192E" w:rsidRPr="00665B5A">
        <w:t>; expresa, no obstante, su gran decepción ante el hecho de que desde entonces la Comisión haya seguido autorizando organismos modificados genéticamente para su importación a la Unión, pese a la continua oposición del Parlamento Europeo y el voto en contra de una mayoría de Estados miembros;</w:t>
      </w:r>
    </w:p>
    <w:p w14:paraId="68271B78" w14:textId="5FE6E217" w:rsidR="00CF192E" w:rsidRPr="00665B5A" w:rsidRDefault="006E7F5E" w:rsidP="00CF192E">
      <w:pPr>
        <w:pStyle w:val="NormalHanging12a"/>
        <w:widowControl/>
        <w:rPr>
          <w:szCs w:val="24"/>
        </w:rPr>
      </w:pPr>
      <w:r w:rsidRPr="00665B5A">
        <w:t>8</w:t>
      </w:r>
      <w:r w:rsidR="00CF192E" w:rsidRPr="00665B5A">
        <w:t>.</w:t>
      </w:r>
      <w:r w:rsidR="00CF192E" w:rsidRPr="00665B5A">
        <w:tab/>
        <w:t>Insta a la Comisión, una vez más, a que tenga presentes las obligaciones que incumben a la Unión en virtud de los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00CF192E" w:rsidRPr="00665B5A">
        <w:rPr>
          <w:rStyle w:val="FootnoteReference"/>
          <w:szCs w:val="24"/>
        </w:rPr>
        <w:footnoteReference w:id="21"/>
      </w:r>
      <w:r w:rsidR="00CF192E" w:rsidRPr="00665B5A">
        <w:t>;</w:t>
      </w:r>
    </w:p>
    <w:p w14:paraId="3F55C52D" w14:textId="377C6B24" w:rsidR="001235F0" w:rsidRPr="00665B5A" w:rsidRDefault="006E7F5E" w:rsidP="001235F0">
      <w:pPr>
        <w:pStyle w:val="NormalHanging12a"/>
        <w:widowControl/>
      </w:pPr>
      <w:r w:rsidRPr="00665B5A">
        <w:t>9</w:t>
      </w:r>
      <w:r w:rsidR="00CF192E" w:rsidRPr="00665B5A">
        <w:t>.</w:t>
      </w:r>
      <w:r w:rsidR="00CF192E" w:rsidRPr="00665B5A">
        <w:tab/>
        <w:t>Encarga a su presidenta que transmita la presente Resolución al Consejo y a la Comisión, así como a los Gobiernos y Parlamentos de los Estados miembros.</w:t>
      </w:r>
    </w:p>
    <w:p w14:paraId="587A2F7B" w14:textId="77777777" w:rsidR="00E365E1" w:rsidRPr="00665B5A" w:rsidRDefault="00E365E1" w:rsidP="00A134EB"/>
    <w:sectPr w:rsidR="00E365E1" w:rsidRPr="00665B5A" w:rsidSect="001235F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EF2B8" w14:textId="77777777" w:rsidR="00A134EB" w:rsidRPr="001235F0" w:rsidRDefault="00A134EB">
      <w:r w:rsidRPr="001235F0">
        <w:separator/>
      </w:r>
    </w:p>
  </w:endnote>
  <w:endnote w:type="continuationSeparator" w:id="0">
    <w:p w14:paraId="0BD12910" w14:textId="77777777" w:rsidR="00A134EB" w:rsidRPr="001235F0" w:rsidRDefault="00A134EB">
      <w:r w:rsidRPr="00123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3979A" w14:textId="77777777" w:rsidR="00A134EB" w:rsidRPr="001235F0" w:rsidRDefault="00A134EB">
      <w:r w:rsidRPr="001235F0">
        <w:separator/>
      </w:r>
    </w:p>
  </w:footnote>
  <w:footnote w:type="continuationSeparator" w:id="0">
    <w:p w14:paraId="02F75547" w14:textId="77777777" w:rsidR="00A134EB" w:rsidRPr="001235F0" w:rsidRDefault="00A134EB">
      <w:r w:rsidRPr="001235F0">
        <w:continuationSeparator/>
      </w:r>
    </w:p>
  </w:footnote>
  <w:footnote w:id="1">
    <w:p w14:paraId="5BC7538F" w14:textId="77777777" w:rsidR="00E534B7" w:rsidRPr="00F556EF" w:rsidRDefault="00E534B7" w:rsidP="00F556EF">
      <w:pPr>
        <w:pStyle w:val="FootnoteText"/>
        <w:ind w:left="567" w:hanging="567"/>
        <w:rPr>
          <w:sz w:val="24"/>
          <w:szCs w:val="24"/>
          <w:lang w:val="pt-PT"/>
        </w:rPr>
      </w:pPr>
      <w:r w:rsidRPr="00F556EF">
        <w:rPr>
          <w:rStyle w:val="FootnoteReference"/>
          <w:sz w:val="24"/>
          <w:szCs w:val="24"/>
        </w:rPr>
        <w:footnoteRef/>
      </w:r>
      <w:r w:rsidRPr="00F556EF">
        <w:rPr>
          <w:sz w:val="24"/>
          <w:szCs w:val="24"/>
          <w:lang w:val="pt-PT"/>
        </w:rPr>
        <w:t xml:space="preserve"> </w:t>
      </w:r>
      <w:r w:rsidRPr="00F556EF">
        <w:rPr>
          <w:sz w:val="24"/>
          <w:szCs w:val="24"/>
          <w:lang w:val="pt-PT"/>
        </w:rPr>
        <w:tab/>
        <w:t xml:space="preserve">DO L, 2024/2628, 10.10.2024, ELI: </w:t>
      </w:r>
      <w:hyperlink r:id="rId1" w:history="1">
        <w:r w:rsidRPr="00F556EF">
          <w:rPr>
            <w:rStyle w:val="Hyperlink"/>
            <w:sz w:val="24"/>
            <w:szCs w:val="24"/>
            <w:lang w:val="pt-PT"/>
          </w:rPr>
          <w:t>http://data.europa.eu/eli/dec_impl/2024/2628/oj</w:t>
        </w:r>
      </w:hyperlink>
      <w:r w:rsidRPr="00F556EF">
        <w:rPr>
          <w:sz w:val="24"/>
          <w:szCs w:val="24"/>
          <w:lang w:val="pt-PT"/>
        </w:rPr>
        <w:t>.</w:t>
      </w:r>
    </w:p>
  </w:footnote>
  <w:footnote w:id="2">
    <w:p w14:paraId="08DD8485" w14:textId="77777777" w:rsidR="00CF192E" w:rsidRPr="00F556EF" w:rsidRDefault="00CF192E" w:rsidP="001235F0">
      <w:pPr>
        <w:pStyle w:val="FootnoteText"/>
        <w:ind w:left="567" w:hanging="567"/>
        <w:rPr>
          <w:sz w:val="24"/>
          <w:szCs w:val="24"/>
          <w:lang w:val="pt-PT"/>
        </w:rPr>
      </w:pPr>
      <w:r w:rsidRPr="00E534B7">
        <w:rPr>
          <w:rStyle w:val="FootnoteReference"/>
          <w:sz w:val="24"/>
          <w:szCs w:val="24"/>
          <w:lang w:val="es-ES_tradnl"/>
        </w:rPr>
        <w:footnoteRef/>
      </w:r>
      <w:r w:rsidR="001235F0" w:rsidRPr="00F556EF">
        <w:rPr>
          <w:sz w:val="24"/>
          <w:szCs w:val="24"/>
          <w:lang w:val="pt-PT"/>
        </w:rPr>
        <w:t xml:space="preserve"> </w:t>
      </w:r>
      <w:r w:rsidR="001235F0" w:rsidRPr="00F556EF">
        <w:rPr>
          <w:sz w:val="24"/>
          <w:szCs w:val="24"/>
          <w:lang w:val="pt-PT"/>
        </w:rPr>
        <w:tab/>
      </w:r>
      <w:r w:rsidRPr="00F556EF">
        <w:rPr>
          <w:sz w:val="24"/>
          <w:szCs w:val="24"/>
          <w:lang w:val="pt-PT"/>
        </w:rPr>
        <w:t>DO L 268 de 18.10.2003, p. 1, ELI: </w:t>
      </w:r>
      <w:hyperlink r:id="rId2" w:tooltip="Da acceso a este documento a través de su URI ELI." w:history="1">
        <w:r w:rsidRPr="00F556EF">
          <w:rPr>
            <w:rStyle w:val="Hyperlink"/>
            <w:sz w:val="24"/>
            <w:szCs w:val="24"/>
            <w:lang w:val="pt-PT"/>
          </w:rPr>
          <w:t>http://data.europa.eu/eli/reg/2003/1829/oj</w:t>
        </w:r>
      </w:hyperlink>
      <w:r w:rsidRPr="00F556EF">
        <w:rPr>
          <w:sz w:val="24"/>
          <w:szCs w:val="24"/>
          <w:lang w:val="pt-PT"/>
        </w:rPr>
        <w:t>.</w:t>
      </w:r>
    </w:p>
  </w:footnote>
  <w:footnote w:id="3">
    <w:p w14:paraId="3531A78D" w14:textId="77777777" w:rsidR="00CF192E" w:rsidRPr="00F556EF" w:rsidRDefault="00CF192E" w:rsidP="001235F0">
      <w:pPr>
        <w:pStyle w:val="FootnoteText"/>
        <w:ind w:left="567" w:hanging="567"/>
        <w:rPr>
          <w:sz w:val="24"/>
          <w:szCs w:val="24"/>
          <w:lang w:val="pt-PT"/>
        </w:rPr>
      </w:pPr>
      <w:r w:rsidRPr="00E534B7">
        <w:rPr>
          <w:rStyle w:val="FootnoteReference"/>
          <w:sz w:val="24"/>
          <w:szCs w:val="24"/>
          <w:lang w:val="es-ES_tradnl"/>
        </w:rPr>
        <w:footnoteRef/>
      </w:r>
      <w:r w:rsidR="001235F0" w:rsidRPr="00F556EF">
        <w:rPr>
          <w:sz w:val="24"/>
          <w:szCs w:val="24"/>
          <w:lang w:val="pt-PT"/>
        </w:rPr>
        <w:t xml:space="preserve"> </w:t>
      </w:r>
      <w:r w:rsidR="001235F0" w:rsidRPr="00F556EF">
        <w:rPr>
          <w:sz w:val="24"/>
          <w:szCs w:val="24"/>
          <w:lang w:val="pt-PT"/>
        </w:rPr>
        <w:tab/>
      </w:r>
      <w:r w:rsidRPr="00F556EF">
        <w:rPr>
          <w:sz w:val="24"/>
          <w:szCs w:val="24"/>
          <w:lang w:val="pt-PT"/>
        </w:rPr>
        <w:t>DO L 55 de 28.2.2011, p. 13, ELI: </w:t>
      </w:r>
      <w:hyperlink r:id="rId3" w:tooltip="Da acceso a este documento a través de su URI ELI." w:history="1">
        <w:r w:rsidRPr="00F556EF">
          <w:rPr>
            <w:rStyle w:val="Hyperlink"/>
            <w:sz w:val="24"/>
            <w:szCs w:val="24"/>
            <w:lang w:val="pt-PT"/>
          </w:rPr>
          <w:t>http://data.europa.eu/eli/reg/2011/182/oj</w:t>
        </w:r>
      </w:hyperlink>
      <w:r w:rsidRPr="00F556EF">
        <w:rPr>
          <w:sz w:val="24"/>
          <w:szCs w:val="24"/>
          <w:lang w:val="pt-PT"/>
        </w:rPr>
        <w:t>.</w:t>
      </w:r>
    </w:p>
  </w:footnote>
  <w:footnote w:id="4">
    <w:p w14:paraId="4CF59FC4" w14:textId="77777777" w:rsidR="00CF192E" w:rsidRPr="00F556EF" w:rsidRDefault="00CF192E" w:rsidP="001235F0">
      <w:pPr>
        <w:pStyle w:val="FootnoteText"/>
        <w:ind w:left="567" w:hanging="567"/>
        <w:rPr>
          <w:sz w:val="24"/>
          <w:szCs w:val="24"/>
          <w:lang w:val="pt-PT"/>
        </w:rPr>
      </w:pPr>
      <w:r w:rsidRPr="00E534B7">
        <w:rPr>
          <w:rStyle w:val="FootnoteReference"/>
          <w:sz w:val="24"/>
          <w:szCs w:val="24"/>
          <w:lang w:val="es-ES_tradnl"/>
        </w:rPr>
        <w:footnoteRef/>
      </w:r>
      <w:r w:rsidR="001235F0" w:rsidRPr="00F556EF">
        <w:rPr>
          <w:sz w:val="24"/>
          <w:szCs w:val="24"/>
          <w:lang w:val="pt-PT"/>
        </w:rPr>
        <w:t xml:space="preserve"> </w:t>
      </w:r>
      <w:r w:rsidR="001235F0" w:rsidRPr="00F556EF">
        <w:rPr>
          <w:sz w:val="24"/>
          <w:szCs w:val="24"/>
          <w:lang w:val="pt-PT"/>
        </w:rPr>
        <w:tab/>
      </w:r>
      <w:r w:rsidRPr="00F556EF">
        <w:rPr>
          <w:sz w:val="24"/>
          <w:szCs w:val="24"/>
          <w:lang w:val="pt-PT"/>
        </w:rPr>
        <w:t xml:space="preserve">Dictamen científico de la Comisión Técnica de Organismos Modificados Genéticamente de la EFSA «Assessment of genetically modified maize MON 89034 × 1507 × NK603 for renewal authorisation under Regulation (EC) No 1829/2003 (application GMFF-2022-3670)», EFSA Journal, 2024; 22(4): 8716, </w:t>
      </w:r>
      <w:hyperlink r:id="rId4" w:history="1">
        <w:r w:rsidRPr="00F556EF">
          <w:rPr>
            <w:rStyle w:val="Hyperlink"/>
            <w:sz w:val="24"/>
            <w:szCs w:val="24"/>
            <w:lang w:val="pt-PT"/>
          </w:rPr>
          <w:t>https://doi.org/10.2903/j.efsa.2024.8716</w:t>
        </w:r>
      </w:hyperlink>
      <w:r w:rsidRPr="00F556EF">
        <w:rPr>
          <w:sz w:val="24"/>
          <w:szCs w:val="24"/>
          <w:lang w:val="pt-PT"/>
        </w:rPr>
        <w:t>.</w:t>
      </w:r>
    </w:p>
  </w:footnote>
  <w:footnote w:id="5">
    <w:p w14:paraId="05FF105A" w14:textId="77777777" w:rsidR="00CF192E" w:rsidRPr="009E4970"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En su octava y novena legislaturas, el Parlamento aprobó respectivamente treinta y seis y treinta y ocho Resoluciones de oposición a la autorización de OMG.</w:t>
      </w:r>
    </w:p>
  </w:footnote>
  <w:footnote w:id="6">
    <w:p w14:paraId="2523009F"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w:t>
      </w:r>
      <w:r w:rsidRPr="009E4970">
        <w:rPr>
          <w:sz w:val="24"/>
          <w:szCs w:val="24"/>
          <w:lang w:val="es-ES_tradnl"/>
        </w:rPr>
        <w:t xml:space="preserve">13, p. 1, ELI: </w:t>
      </w:r>
      <w:hyperlink r:id="rId5" w:tooltip="Da acceso a este documento a través de su URI ELI." w:history="1">
        <w:r w:rsidRPr="00E534B7">
          <w:rPr>
            <w:rStyle w:val="Hyperlink"/>
            <w:sz w:val="24"/>
            <w:szCs w:val="24"/>
            <w:lang w:val="es-ES_tradnl"/>
          </w:rPr>
          <w:t>http://data.europa.eu/eli/reg_impl/2013/503/oj</w:t>
        </w:r>
      </w:hyperlink>
      <w:r w:rsidRPr="00E534B7">
        <w:rPr>
          <w:sz w:val="24"/>
          <w:szCs w:val="24"/>
          <w:lang w:val="es-ES_tradnl"/>
        </w:rPr>
        <w:t>).</w:t>
      </w:r>
    </w:p>
  </w:footnote>
  <w:footnote w:id="7">
    <w:p w14:paraId="4ADBA8E1"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Véanse, por ejemplo: Schulz, R., Bub, S., Petschick, L. L., Stehle, S.</w:t>
      </w:r>
      <w:r w:rsidRPr="009E4970">
        <w:rPr>
          <w:sz w:val="24"/>
          <w:szCs w:val="24"/>
          <w:lang w:val="es-ES_tradnl"/>
        </w:rPr>
        <w:t xml:space="preserve">, Wolfram, J. (2021), «Applied pesticide toxicity changes toward to plants and invertebrates, even in GM crops», Science 372 (6537), pp. 81-84, </w:t>
      </w:r>
      <w:hyperlink r:id="rId6" w:history="1">
        <w:r w:rsidRPr="00E534B7">
          <w:rPr>
            <w:rStyle w:val="Hyperlink"/>
            <w:sz w:val="24"/>
            <w:szCs w:val="24"/>
            <w:lang w:val="es-ES_tradnl"/>
          </w:rPr>
          <w:t>https://doi.org/10.1126/science.abe1148</w:t>
        </w:r>
      </w:hyperlink>
      <w:r w:rsidRPr="00E534B7">
        <w:rPr>
          <w:sz w:val="24"/>
          <w:szCs w:val="24"/>
          <w:lang w:val="es-ES_tradnl"/>
        </w:rPr>
        <w:t xml:space="preserve">; Bonny, S., «Genetically Modified Herbicide-Tolerant Crops, Weeds, and Herbicides: Overview and Impact», Environmental Management, enero de 2016; 57 (1), pp. 31-48, </w:t>
      </w:r>
      <w:hyperlink r:id="rId7" w:history="1">
        <w:r w:rsidRPr="00E534B7">
          <w:rPr>
            <w:rStyle w:val="Hyperlink"/>
            <w:sz w:val="24"/>
            <w:szCs w:val="24"/>
            <w:lang w:val="es-ES_tradnl"/>
          </w:rPr>
          <w:t>https://www.ncbi.nlm.nih.gov/pubmed/26296738</w:t>
        </w:r>
      </w:hyperlink>
      <w:r w:rsidRPr="00E534B7">
        <w:rPr>
          <w:sz w:val="24"/>
          <w:szCs w:val="24"/>
          <w:lang w:val="es-ES_tradnl"/>
        </w:rPr>
        <w:t xml:space="preserve">; y Benbrook C. M., «Impacts of genetically engineered crops on pesticide use in the U.S. – the first sixteen years», Environmental Sciences Europe, 28 de septiembre de 2012, vol. 24(1), </w:t>
      </w:r>
      <w:hyperlink r:id="rId8" w:history="1">
        <w:r w:rsidRPr="00E534B7">
          <w:rPr>
            <w:rStyle w:val="Hyperlink"/>
            <w:sz w:val="24"/>
            <w:szCs w:val="24"/>
            <w:lang w:val="es-ES_tradnl"/>
          </w:rPr>
          <w:t>https://enveurope.springeropen.com/articles/10.1186/2190-4715-24-24</w:t>
        </w:r>
      </w:hyperlink>
      <w:r w:rsidRPr="00E534B7">
        <w:rPr>
          <w:sz w:val="24"/>
          <w:szCs w:val="24"/>
          <w:lang w:val="es-ES_tradnl"/>
        </w:rPr>
        <w:t>.</w:t>
      </w:r>
    </w:p>
  </w:footnote>
  <w:footnote w:id="8">
    <w:p w14:paraId="67EAA6C3"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 xml:space="preserve">Véanse, por ejemplo, </w:t>
      </w:r>
      <w:hyperlink r:id="rId9" w:history="1">
        <w:r w:rsidRPr="00E534B7">
          <w:rPr>
            <w:rStyle w:val="Hyperlink"/>
            <w:sz w:val="24"/>
            <w:szCs w:val="24"/>
            <w:lang w:val="es-ES_tradnl"/>
          </w:rPr>
          <w:t>https://www.sciencedirect.com/science/article/pii/S138357421830088</w:t>
        </w:r>
        <w:r w:rsidRPr="009E4970">
          <w:rPr>
            <w:rStyle w:val="Hyperlink"/>
            <w:sz w:val="24"/>
            <w:szCs w:val="24"/>
            <w:lang w:val="es-ES_tradnl"/>
          </w:rPr>
          <w:t>7</w:t>
        </w:r>
      </w:hyperlink>
      <w:r w:rsidRPr="00E534B7">
        <w:rPr>
          <w:sz w:val="24"/>
          <w:szCs w:val="24"/>
          <w:lang w:val="es-ES_tradnl"/>
        </w:rPr>
        <w:t xml:space="preserve">, </w:t>
      </w:r>
      <w:hyperlink r:id="rId10" w:history="1">
        <w:r w:rsidRPr="00E534B7">
          <w:rPr>
            <w:rStyle w:val="Hyperlink"/>
            <w:sz w:val="24"/>
            <w:szCs w:val="24"/>
            <w:lang w:val="es-ES_tradnl"/>
          </w:rPr>
          <w:t>https://academic.oup.com/ije/advance-article/doi/10.1093/ije/dyz017/5382278</w:t>
        </w:r>
      </w:hyperlink>
      <w:r w:rsidRPr="00E534B7">
        <w:rPr>
          <w:sz w:val="24"/>
          <w:szCs w:val="24"/>
          <w:lang w:val="es-ES_tradnl"/>
        </w:rPr>
        <w:t xml:space="preserve">, </w:t>
      </w:r>
      <w:hyperlink r:id="rId11" w:history="1">
        <w:r w:rsidRPr="00E534B7">
          <w:rPr>
            <w:rStyle w:val="Hyperlink"/>
            <w:sz w:val="24"/>
            <w:szCs w:val="24"/>
            <w:lang w:val="es-ES_tradnl"/>
          </w:rPr>
          <w:t>https://journals.plos.org/plosone/article?id=10.1371/journal.pone.0219610</w:t>
        </w:r>
      </w:hyperlink>
      <w:r w:rsidRPr="00E534B7">
        <w:rPr>
          <w:sz w:val="24"/>
          <w:szCs w:val="24"/>
          <w:lang w:val="es-ES_tradnl"/>
        </w:rPr>
        <w:t xml:space="preserve"> y </w:t>
      </w:r>
      <w:hyperlink r:id="rId12" w:history="1">
        <w:r w:rsidRPr="00E534B7">
          <w:rPr>
            <w:rStyle w:val="Hyperlink"/>
            <w:sz w:val="24"/>
            <w:szCs w:val="24"/>
            <w:lang w:val="es-ES_tradnl"/>
          </w:rPr>
          <w:t>https://www.ncbi.nlm.nih.gov/pmc/articles/PMC6612199/</w:t>
        </w:r>
      </w:hyperlink>
      <w:r w:rsidRPr="00E534B7">
        <w:rPr>
          <w:sz w:val="24"/>
          <w:szCs w:val="24"/>
          <w:lang w:val="es-ES_tradnl"/>
        </w:rPr>
        <w:t>.</w:t>
      </w:r>
    </w:p>
  </w:footnote>
  <w:footnote w:id="9">
    <w:p w14:paraId="300C7DAD"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 xml:space="preserve">Puede consultarse una revisión al respecto en </w:t>
      </w:r>
      <w:r w:rsidRPr="009E4970">
        <w:rPr>
          <w:sz w:val="24"/>
          <w:szCs w:val="24"/>
          <w:lang w:val="es-ES_tradnl"/>
        </w:rPr>
        <w:t xml:space="preserve">Rubio-Infante, N. y Moreno-Fierros, L., «An overview of the safety and biological effects of </w:t>
      </w:r>
      <w:r w:rsidRPr="009E4970">
        <w:rPr>
          <w:i/>
          <w:sz w:val="24"/>
          <w:szCs w:val="24"/>
          <w:lang w:val="es-ES_tradnl"/>
        </w:rPr>
        <w:t>Bacillus thuringiensis</w:t>
      </w:r>
      <w:r w:rsidRPr="00F556EF">
        <w:rPr>
          <w:sz w:val="24"/>
          <w:szCs w:val="24"/>
          <w:lang w:val="es-ES_tradnl"/>
        </w:rPr>
        <w:t xml:space="preserve"> Cry toxins in mammals», Journal of Applied Toxicology, mayo de 2016, 36(5), pp. 630-648, </w:t>
      </w:r>
      <w:hyperlink r:id="rId13" w:history="1">
        <w:r w:rsidRPr="00E534B7">
          <w:rPr>
            <w:rStyle w:val="Hyperlink"/>
            <w:sz w:val="24"/>
            <w:szCs w:val="24"/>
            <w:lang w:val="es-ES_tradnl"/>
          </w:rPr>
          <w:t>https://onlinelibrary.wiley.com/doi/full/10.1002/jat.3252</w:t>
        </w:r>
      </w:hyperlink>
      <w:r w:rsidRPr="00E534B7">
        <w:rPr>
          <w:sz w:val="24"/>
          <w:szCs w:val="24"/>
          <w:lang w:val="es-ES_tradnl"/>
        </w:rPr>
        <w:t>.</w:t>
      </w:r>
    </w:p>
  </w:footnote>
  <w:footnote w:id="10">
    <w:p w14:paraId="6A3E32D5"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hyperlink r:id="rId14" w:history="1">
        <w:r w:rsidRPr="00E534B7">
          <w:rPr>
            <w:rStyle w:val="Hyperlink"/>
            <w:sz w:val="24"/>
            <w:szCs w:val="24"/>
            <w:lang w:val="es-ES_tradnl"/>
          </w:rPr>
          <w:t>https://www.sciencedirect.com/science/article/pii/S0278691516300722?via%3Dihub</w:t>
        </w:r>
      </w:hyperlink>
      <w:r w:rsidRPr="00E534B7">
        <w:rPr>
          <w:sz w:val="24"/>
          <w:szCs w:val="24"/>
          <w:lang w:val="es-ES_tradnl"/>
        </w:rPr>
        <w:t>.</w:t>
      </w:r>
    </w:p>
  </w:footnote>
  <w:footnote w:id="11">
    <w:p w14:paraId="6F30FF2D" w14:textId="77777777" w:rsidR="00CF192E" w:rsidRPr="00F556EF" w:rsidRDefault="00CF192E" w:rsidP="001235F0">
      <w:pPr>
        <w:pStyle w:val="FootnoteText"/>
        <w:ind w:left="567" w:hanging="567"/>
        <w:rPr>
          <w:sz w:val="24"/>
          <w:szCs w:val="24"/>
          <w:lang w:val="en-GB"/>
        </w:rPr>
      </w:pPr>
      <w:r w:rsidRPr="00E534B7">
        <w:rPr>
          <w:rStyle w:val="FootnoteReference"/>
          <w:sz w:val="24"/>
          <w:szCs w:val="24"/>
          <w:lang w:val="es-ES_tradnl"/>
        </w:rPr>
        <w:footnoteRef/>
      </w:r>
      <w:r w:rsidR="001235F0" w:rsidRPr="00F556EF">
        <w:rPr>
          <w:sz w:val="24"/>
          <w:szCs w:val="24"/>
          <w:lang w:val="en-GB"/>
        </w:rPr>
        <w:t xml:space="preserve"> </w:t>
      </w:r>
      <w:r w:rsidR="001235F0" w:rsidRPr="00F556EF">
        <w:rPr>
          <w:sz w:val="24"/>
          <w:szCs w:val="24"/>
          <w:lang w:val="en-GB"/>
        </w:rPr>
        <w:tab/>
      </w:r>
      <w:r w:rsidRPr="00F556EF">
        <w:rPr>
          <w:sz w:val="24"/>
          <w:szCs w:val="24"/>
          <w:lang w:val="en-GB"/>
        </w:rPr>
        <w:t>Véase, por ejemplo, Hilbeck, A., Otto, M., «Specificity and combinatorial effects of </w:t>
      </w:r>
      <w:r w:rsidRPr="00F556EF">
        <w:rPr>
          <w:i/>
          <w:sz w:val="24"/>
          <w:szCs w:val="24"/>
          <w:lang w:val="en-GB"/>
        </w:rPr>
        <w:t>Bacillus thuringiensis</w:t>
      </w:r>
      <w:r w:rsidRPr="00F556EF">
        <w:rPr>
          <w:sz w:val="24"/>
          <w:szCs w:val="24"/>
          <w:lang w:val="en-GB"/>
        </w:rPr>
        <w:t xml:space="preserve"> Cry toxins in the context of GMO environmental risk assessment», Frontiers in Environmental Science 2015, 3:71, </w:t>
      </w:r>
      <w:hyperlink r:id="rId15" w:history="1">
        <w:r w:rsidRPr="00F556EF">
          <w:rPr>
            <w:rStyle w:val="Hyperlink"/>
            <w:sz w:val="24"/>
            <w:szCs w:val="24"/>
            <w:lang w:val="en-GB"/>
          </w:rPr>
          <w:t>https://doi.org/10.3389/fenvs.2015.00071</w:t>
        </w:r>
      </w:hyperlink>
      <w:r w:rsidRPr="00F556EF">
        <w:rPr>
          <w:sz w:val="24"/>
          <w:szCs w:val="24"/>
          <w:lang w:val="en-GB"/>
        </w:rPr>
        <w:t>.</w:t>
      </w:r>
    </w:p>
  </w:footnote>
  <w:footnote w:id="12">
    <w:p w14:paraId="45BA4D78" w14:textId="77777777" w:rsidR="00CF192E" w:rsidRPr="00F556EF" w:rsidRDefault="00CF192E" w:rsidP="001235F0">
      <w:pPr>
        <w:pStyle w:val="FootnoteText"/>
        <w:ind w:left="567" w:hanging="567"/>
        <w:rPr>
          <w:sz w:val="24"/>
          <w:szCs w:val="24"/>
          <w:lang w:val="en-GB"/>
        </w:rPr>
      </w:pPr>
      <w:r w:rsidRPr="00E534B7">
        <w:rPr>
          <w:rStyle w:val="FootnoteReference"/>
          <w:sz w:val="24"/>
          <w:szCs w:val="24"/>
          <w:lang w:val="es-ES_tradnl"/>
        </w:rPr>
        <w:footnoteRef/>
      </w:r>
      <w:r w:rsidR="001235F0" w:rsidRPr="00F556EF">
        <w:rPr>
          <w:sz w:val="24"/>
          <w:szCs w:val="24"/>
          <w:lang w:val="en-GB"/>
        </w:rPr>
        <w:t xml:space="preserve"> </w:t>
      </w:r>
      <w:r w:rsidR="001235F0" w:rsidRPr="00F556EF">
        <w:rPr>
          <w:sz w:val="24"/>
          <w:szCs w:val="24"/>
          <w:lang w:val="en-GB"/>
        </w:rPr>
        <w:tab/>
      </w:r>
      <w:hyperlink r:id="rId16" w:history="1">
        <w:r w:rsidRPr="00F556EF">
          <w:rPr>
            <w:rStyle w:val="Hyperlink"/>
            <w:sz w:val="24"/>
            <w:szCs w:val="24"/>
            <w:lang w:val="en-GB"/>
          </w:rPr>
          <w:t>https://efsa.onlinelibrary.wiley.com/action/downloadSupplement?doi=10.2903%2Fj.‌efsa.2024.8716&amp;file=efs28716-sup-0012-Annex8.pdf</w:t>
        </w:r>
      </w:hyperlink>
      <w:r w:rsidRPr="00F556EF">
        <w:rPr>
          <w:sz w:val="24"/>
          <w:szCs w:val="24"/>
          <w:lang w:val="en-GB"/>
        </w:rPr>
        <w:t>.</w:t>
      </w:r>
    </w:p>
  </w:footnote>
  <w:footnote w:id="13">
    <w:p w14:paraId="173AD2A2"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«Strategic Dialogue on the Future of EU Agriculture — A shared perspective for farming and food in Europe» (Diálogo estratégico sobre el futuro de la agricultura en l</w:t>
      </w:r>
      <w:r w:rsidRPr="009E4970">
        <w:rPr>
          <w:sz w:val="24"/>
          <w:szCs w:val="24"/>
          <w:lang w:val="es-ES_tradnl"/>
        </w:rPr>
        <w:t xml:space="preserve">a UE: una perspectiva compartida para la agricultura y la alimentación en Europa), septiembre de 2024, </w:t>
      </w:r>
      <w:hyperlink r:id="rId17" w:history="1">
        <w:r w:rsidRPr="00E534B7">
          <w:rPr>
            <w:rStyle w:val="Hyperlink"/>
            <w:sz w:val="24"/>
            <w:szCs w:val="24"/>
            <w:lang w:val="es-ES_tradnl"/>
          </w:rPr>
          <w:t>https://agriculture.ec.europa.eu/document/download/171329ff-0f50-4fa5-946f-aea11032172e_en?filename=strategic-dialogue-report-2024_en.pdf</w:t>
        </w:r>
      </w:hyperlink>
      <w:r w:rsidRPr="00E534B7">
        <w:rPr>
          <w:sz w:val="24"/>
          <w:szCs w:val="24"/>
          <w:lang w:val="es-ES_tradnl"/>
        </w:rPr>
        <w:t>.</w:t>
      </w:r>
    </w:p>
  </w:footnote>
  <w:footnote w:id="14">
    <w:p w14:paraId="46AF42C1"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hyperlink r:id="rId18" w:history="1">
        <w:r w:rsidRPr="00E534B7">
          <w:rPr>
            <w:rStyle w:val="Hyperlink"/>
            <w:sz w:val="24"/>
            <w:szCs w:val="24"/>
            <w:lang w:val="es-ES_tradnl"/>
          </w:rPr>
          <w:t>https://documents.un.org/doc/u</w:t>
        </w:r>
        <w:r w:rsidRPr="009E4970">
          <w:rPr>
            <w:rStyle w:val="Hyperlink"/>
            <w:sz w:val="24"/>
            <w:szCs w:val="24"/>
            <w:lang w:val="es-ES_tradnl"/>
          </w:rPr>
          <w:t>ndoc/gen/g17/017/90/pdf/g1701790.pdf</w:t>
        </w:r>
      </w:hyperlink>
      <w:r w:rsidRPr="00E534B7">
        <w:rPr>
          <w:sz w:val="24"/>
          <w:szCs w:val="24"/>
          <w:lang w:val="es-ES_tradnl"/>
        </w:rPr>
        <w:t>.</w:t>
      </w:r>
    </w:p>
  </w:footnote>
  <w:footnote w:id="15">
    <w:p w14:paraId="4CA0BEE7" w14:textId="77777777" w:rsidR="00CF192E" w:rsidRPr="009E4970"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rStyle w:val="Hyperlink"/>
          <w:sz w:val="24"/>
          <w:szCs w:val="24"/>
          <w:lang w:val="es-ES_tradnl"/>
        </w:rPr>
        <w:t xml:space="preserve"> </w:t>
      </w:r>
      <w:r w:rsidR="001235F0" w:rsidRPr="00E534B7">
        <w:rPr>
          <w:rStyle w:val="Hyperlink"/>
          <w:sz w:val="24"/>
          <w:szCs w:val="24"/>
          <w:lang w:val="es-ES_tradnl"/>
        </w:rPr>
        <w:tab/>
      </w:r>
      <w:r w:rsidRPr="00E534B7">
        <w:rPr>
          <w:rStyle w:val="Hyperlink"/>
          <w:sz w:val="24"/>
          <w:szCs w:val="24"/>
          <w:lang w:val="es-ES_tradnl"/>
        </w:rPr>
        <w:t>https://indicators.report/targets/3-9/</w:t>
      </w:r>
    </w:p>
  </w:footnote>
  <w:footnote w:id="16">
    <w:p w14:paraId="4DC8871F"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hyperlink r:id="rId19" w:history="1">
        <w:r w:rsidRPr="00E534B7">
          <w:rPr>
            <w:rStyle w:val="Hyperlink"/>
            <w:sz w:val="24"/>
            <w:szCs w:val="24"/>
            <w:lang w:val="es-ES_tradnl"/>
          </w:rPr>
          <w:t>https://commission.europa.eu/document/2c64e540-c07a-4376-a1da-368d289f4afe_en</w:t>
        </w:r>
      </w:hyperlink>
      <w:r w:rsidRPr="00E534B7">
        <w:rPr>
          <w:sz w:val="24"/>
          <w:szCs w:val="24"/>
          <w:lang w:val="es-ES_tradnl"/>
        </w:rPr>
        <w:t>.</w:t>
      </w:r>
    </w:p>
  </w:footnote>
  <w:footnote w:id="17">
    <w:p w14:paraId="20F49CFC"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De conformidad con artículo 6, apartado 3, del Reglamento (UE) n.º 182/2011, la Comisión no «adoptará», sino que «podrá adoptar» una autorización si no existe una mayoría cualificada de Estados miembros a favor en el Comité de Apelación.</w:t>
      </w:r>
    </w:p>
  </w:footnote>
  <w:footnote w:id="18">
    <w:p w14:paraId="63373886"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20" w:tooltip="Da acceso a este documento a través de su URI ELI." w:history="1">
        <w:r w:rsidRPr="00E534B7">
          <w:rPr>
            <w:rStyle w:val="Hyperlink"/>
            <w:sz w:val="24"/>
            <w:szCs w:val="24"/>
            <w:lang w:val="es-ES_tradnl"/>
          </w:rPr>
          <w:t>http://data.europa.eu/eli/reg/2002/178/oj</w:t>
        </w:r>
      </w:hyperlink>
      <w:r w:rsidRPr="00E534B7">
        <w:rPr>
          <w:sz w:val="24"/>
          <w:szCs w:val="24"/>
          <w:lang w:val="es-ES_tradnl"/>
        </w:rPr>
        <w:t>).</w:t>
      </w:r>
    </w:p>
  </w:footnote>
  <w:footnote w:id="19">
    <w:p w14:paraId="588069BC"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 xml:space="preserve">En diciembre de 2022 se acordó un marco mundial sobre biodiversidad en la 15.ª Conferencia de las Partes del Convenio de las Naciones Unidas sobre la Diversidad Biológica, que incluye un objetivo mundial de reducción del riesgo de plaguicidas en al menos un 50 % de aquí a 2030 (véase </w:t>
      </w:r>
      <w:hyperlink r:id="rId21" w:history="1">
        <w:r w:rsidRPr="00E534B7">
          <w:rPr>
            <w:rStyle w:val="Hyperlink"/>
            <w:sz w:val="24"/>
            <w:szCs w:val="24"/>
            <w:lang w:val="es-ES_tradnl"/>
          </w:rPr>
          <w:t>https://ec.europa.eu/commission/presscorner/detail/es/ip_22_7834</w:t>
        </w:r>
      </w:hyperlink>
      <w:r w:rsidRPr="00E534B7">
        <w:rPr>
          <w:sz w:val="24"/>
          <w:szCs w:val="24"/>
          <w:lang w:val="es-ES_tradnl"/>
        </w:rPr>
        <w:t>).</w:t>
      </w:r>
    </w:p>
  </w:footnote>
  <w:footnote w:id="20">
    <w:p w14:paraId="51653134"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hyperlink r:id="rId22" w:history="1">
        <w:r w:rsidRPr="00E534B7">
          <w:rPr>
            <w:rStyle w:val="Hyperlink"/>
            <w:sz w:val="24"/>
            <w:szCs w:val="24"/>
            <w:lang w:val="es-ES_tradnl"/>
          </w:rPr>
          <w:t>https://tillymetz.lu/wp-content/uploads/2020/09/Co-signed-letter-MEP-Metz.pdf</w:t>
        </w:r>
      </w:hyperlink>
      <w:r w:rsidRPr="00E534B7">
        <w:rPr>
          <w:sz w:val="24"/>
          <w:szCs w:val="24"/>
          <w:lang w:val="es-ES_tradnl"/>
        </w:rPr>
        <w:t>.</w:t>
      </w:r>
    </w:p>
  </w:footnote>
  <w:footnote w:id="21">
    <w:p w14:paraId="321D84EA" w14:textId="77777777" w:rsidR="00CF192E" w:rsidRPr="00E534B7" w:rsidRDefault="00CF192E" w:rsidP="001235F0">
      <w:pPr>
        <w:pStyle w:val="FootnoteText"/>
        <w:ind w:left="567" w:hanging="567"/>
        <w:rPr>
          <w:sz w:val="24"/>
          <w:szCs w:val="24"/>
          <w:lang w:val="es-ES_tradnl"/>
        </w:rPr>
      </w:pPr>
      <w:r w:rsidRPr="00E534B7">
        <w:rPr>
          <w:rStyle w:val="FootnoteReference"/>
          <w:sz w:val="24"/>
          <w:szCs w:val="24"/>
          <w:lang w:val="es-ES_tradnl"/>
        </w:rPr>
        <w:footnoteRef/>
      </w:r>
      <w:r w:rsidR="001235F0" w:rsidRPr="00E534B7">
        <w:rPr>
          <w:sz w:val="24"/>
          <w:szCs w:val="24"/>
          <w:lang w:val="es-ES_tradnl"/>
        </w:rPr>
        <w:t xml:space="preserve"> </w:t>
      </w:r>
      <w:r w:rsidR="001235F0" w:rsidRPr="00E534B7">
        <w:rPr>
          <w:sz w:val="24"/>
          <w:szCs w:val="24"/>
          <w:lang w:val="es-ES_tradnl"/>
        </w:rPr>
        <w:tab/>
      </w:r>
      <w:r w:rsidRPr="00E534B7">
        <w:rPr>
          <w:sz w:val="24"/>
          <w:szCs w:val="24"/>
          <w:lang w:val="es-ES_tradnl"/>
        </w:rPr>
        <w:t>Resolución del Parlamento Europeo, de 15 de enero de 2020, sobre el Pacto Verde Europeo (DO C 270 de 7.7.2021, p. 2), apartado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ES"/>
    <w:docVar w:name="dvnumam" w:val="0"/>
    <w:docVar w:name="dvpe" w:val="763.279"/>
    <w:docVar w:name="dvtitre" w:val="Resolución del Parlamento Europeo, de 26 de noviembre de 2024, sobre el proyecto de Decisión de Ejecución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D098497/04 – 2024/2836(RSP))"/>
  </w:docVars>
  <w:rsids>
    <w:rsidRoot w:val="00A134EB"/>
    <w:rsid w:val="00002272"/>
    <w:rsid w:val="00064002"/>
    <w:rsid w:val="000677B9"/>
    <w:rsid w:val="000831BA"/>
    <w:rsid w:val="000A42CC"/>
    <w:rsid w:val="000E7DD9"/>
    <w:rsid w:val="0010095E"/>
    <w:rsid w:val="001235F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B5A"/>
    <w:rsid w:val="00680577"/>
    <w:rsid w:val="006E7F5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970"/>
    <w:rsid w:val="00A134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2C"/>
    <w:rsid w:val="00C61C0C"/>
    <w:rsid w:val="00C941CB"/>
    <w:rsid w:val="00CC2357"/>
    <w:rsid w:val="00CF071A"/>
    <w:rsid w:val="00CF192E"/>
    <w:rsid w:val="00D058B8"/>
    <w:rsid w:val="00D15D73"/>
    <w:rsid w:val="00D56C11"/>
    <w:rsid w:val="00D834A0"/>
    <w:rsid w:val="00D872DF"/>
    <w:rsid w:val="00D91E21"/>
    <w:rsid w:val="00DA7FCD"/>
    <w:rsid w:val="00E365E1"/>
    <w:rsid w:val="00E534B7"/>
    <w:rsid w:val="00E820A4"/>
    <w:rsid w:val="00EB006A"/>
    <w:rsid w:val="00EB4772"/>
    <w:rsid w:val="00ED169E"/>
    <w:rsid w:val="00ED4235"/>
    <w:rsid w:val="00F04346"/>
    <w:rsid w:val="00F075DC"/>
    <w:rsid w:val="00F149E9"/>
    <w:rsid w:val="00F5134D"/>
    <w:rsid w:val="00F556E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87CB0"/>
  <w15:chartTrackingRefBased/>
  <w15:docId w15:val="{74E42756-D167-44BB-9C4D-C3C23D23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192E"/>
    <w:pPr>
      <w:spacing w:before="480" w:after="240"/>
    </w:pPr>
  </w:style>
  <w:style w:type="paragraph" w:customStyle="1" w:styleId="NormalHanging12a">
    <w:name w:val="NormalHanging12a"/>
    <w:basedOn w:val="Normal"/>
    <w:rsid w:val="00CF192E"/>
    <w:pPr>
      <w:spacing w:after="240"/>
      <w:ind w:left="567" w:hanging="567"/>
    </w:pPr>
  </w:style>
  <w:style w:type="character" w:styleId="Hyperlink">
    <w:name w:val="Hyperlink"/>
    <w:basedOn w:val="DefaultParagraphFont"/>
    <w:uiPriority w:val="99"/>
    <w:rsid w:val="00CF192E"/>
    <w:rPr>
      <w:color w:val="0563C1" w:themeColor="hyperlink"/>
      <w:u w:val="single"/>
    </w:rPr>
  </w:style>
  <w:style w:type="paragraph" w:styleId="BalloonText">
    <w:name w:val="Balloon Text"/>
    <w:basedOn w:val="Normal"/>
    <w:link w:val="BalloonTextChar"/>
    <w:rsid w:val="00E534B7"/>
    <w:rPr>
      <w:rFonts w:ascii="Segoe UI" w:hAnsi="Segoe UI" w:cs="Segoe UI"/>
      <w:sz w:val="18"/>
      <w:szCs w:val="18"/>
    </w:rPr>
  </w:style>
  <w:style w:type="character" w:customStyle="1" w:styleId="BalloonTextChar">
    <w:name w:val="Balloon Text Char"/>
    <w:basedOn w:val="DefaultParagraphFont"/>
    <w:link w:val="BalloonText"/>
    <w:rsid w:val="00E534B7"/>
    <w:rPr>
      <w:rFonts w:ascii="Segoe UI" w:hAnsi="Segoe UI" w:cs="Segoe UI"/>
      <w:sz w:val="18"/>
      <w:szCs w:val="18"/>
      <w:lang w:val="es-ES_tradnl"/>
    </w:rPr>
  </w:style>
  <w:style w:type="character" w:styleId="CommentReference">
    <w:name w:val="annotation reference"/>
    <w:basedOn w:val="DefaultParagraphFont"/>
    <w:rsid w:val="00F556EF"/>
    <w:rPr>
      <w:sz w:val="16"/>
      <w:szCs w:val="16"/>
    </w:rPr>
  </w:style>
  <w:style w:type="paragraph" w:styleId="CommentText">
    <w:name w:val="annotation text"/>
    <w:basedOn w:val="Normal"/>
    <w:link w:val="CommentTextChar"/>
    <w:rsid w:val="00F556EF"/>
    <w:rPr>
      <w:sz w:val="20"/>
    </w:rPr>
  </w:style>
  <w:style w:type="character" w:customStyle="1" w:styleId="CommentTextChar">
    <w:name w:val="Comment Text Char"/>
    <w:basedOn w:val="DefaultParagraphFont"/>
    <w:link w:val="CommentText"/>
    <w:rsid w:val="00F556EF"/>
    <w:rPr>
      <w:lang w:val="es-ES_tradnl"/>
    </w:rPr>
  </w:style>
  <w:style w:type="paragraph" w:styleId="CommentSubject">
    <w:name w:val="annotation subject"/>
    <w:basedOn w:val="CommentText"/>
    <w:next w:val="CommentText"/>
    <w:link w:val="CommentSubjectChar"/>
    <w:rsid w:val="00F556EF"/>
    <w:rPr>
      <w:b/>
      <w:bCs/>
    </w:rPr>
  </w:style>
  <w:style w:type="character" w:customStyle="1" w:styleId="CommentSubjectChar">
    <w:name w:val="Comment Subject Char"/>
    <w:basedOn w:val="CommentTextChar"/>
    <w:link w:val="CommentSubject"/>
    <w:rsid w:val="00F556E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documents.un.org/doc/undoc/gen/g17/017/90/pdf/g1701790.pdf"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es/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AC5C9-065D-4218-B55D-6351D0807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2514</Words>
  <Characters>13291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2024-11-26T14:31:00Z</dcterms:created>
  <dcterms:modified xsi:type="dcterms:W3CDTF">2024-11-26T14:31:00Z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B10-0148/2024</vt:lpwstr>
  </property>
  <property fmtid="{D5CDD505-2E9C-101B-9397-08002B2CF9AE}" pid="4" name="&lt;Type&gt;">
    <vt:lpwstr>RR</vt:lpwstr>
  </property>
</Properties>
</file>