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2A47" w:rsidTr="0010095E">
        <w:trPr>
          <w:trHeight w:hRule="exact" w:val="1418"/>
        </w:trPr>
        <w:tc>
          <w:tcPr>
            <w:tcW w:w="6804" w:type="dxa"/>
            <w:shd w:val="clear" w:color="auto" w:fill="auto"/>
            <w:vAlign w:val="center"/>
          </w:tcPr>
          <w:p w:rsidR="00751A4A" w:rsidRPr="00012A47" w:rsidRDefault="00530187" w:rsidP="0010095E">
            <w:pPr>
              <w:pStyle w:val="EPName"/>
            </w:pPr>
            <w:bookmarkStart w:id="0" w:name="_GoBack"/>
            <w:bookmarkEnd w:id="0"/>
            <w:r w:rsidRPr="00012A47">
              <w:t>Europos Parlamentas</w:t>
            </w:r>
          </w:p>
          <w:p w:rsidR="00751A4A" w:rsidRPr="00012A47" w:rsidRDefault="005F1B17" w:rsidP="005F1B17">
            <w:pPr>
              <w:pStyle w:val="EPTerm"/>
              <w:rPr>
                <w:rStyle w:val="HideTWBExt"/>
                <w:noProof w:val="0"/>
                <w:vanish w:val="0"/>
                <w:color w:val="auto"/>
              </w:rPr>
            </w:pPr>
            <w:r w:rsidRPr="00012A47">
              <w:t>2024</w:t>
            </w:r>
            <w:r w:rsidR="00817416" w:rsidRPr="00012A47">
              <w:t>-202</w:t>
            </w:r>
            <w:r w:rsidRPr="00012A47">
              <w:t>9</w:t>
            </w:r>
          </w:p>
        </w:tc>
        <w:tc>
          <w:tcPr>
            <w:tcW w:w="2268" w:type="dxa"/>
            <w:shd w:val="clear" w:color="auto" w:fill="auto"/>
          </w:tcPr>
          <w:p w:rsidR="00751A4A" w:rsidRPr="00012A47" w:rsidRDefault="00187494" w:rsidP="0010095E">
            <w:pPr>
              <w:pStyle w:val="EPLogo"/>
            </w:pPr>
            <w:r w:rsidRPr="00012A47">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12A47" w:rsidRDefault="00D058B8" w:rsidP="004C5D52">
      <w:pPr>
        <w:pStyle w:val="LineTop"/>
      </w:pPr>
    </w:p>
    <w:p w:rsidR="00680577" w:rsidRPr="00012A47" w:rsidRDefault="00530187" w:rsidP="00680577">
      <w:pPr>
        <w:pStyle w:val="EPBodyTA1"/>
      </w:pPr>
      <w:r w:rsidRPr="00012A47">
        <w:t>PRIIMTI TEKSTAI</w:t>
      </w:r>
    </w:p>
    <w:p w:rsidR="00D058B8" w:rsidRPr="00012A47" w:rsidRDefault="00D058B8" w:rsidP="00D058B8">
      <w:pPr>
        <w:pStyle w:val="LineBottom"/>
      </w:pPr>
    </w:p>
    <w:p w:rsidR="00530187" w:rsidRPr="00012A47" w:rsidRDefault="00530187" w:rsidP="00530187">
      <w:pPr>
        <w:pStyle w:val="ATHeading1"/>
      </w:pPr>
      <w:bookmarkStart w:id="1" w:name="TANumber"/>
      <w:r w:rsidRPr="00012A47">
        <w:t>P10_TA(2024)00</w:t>
      </w:r>
      <w:r w:rsidR="00AB066E">
        <w:t>38</w:t>
      </w:r>
      <w:bookmarkEnd w:id="1"/>
    </w:p>
    <w:p w:rsidR="00530187" w:rsidRPr="00012A47" w:rsidRDefault="004F6675" w:rsidP="00530187">
      <w:pPr>
        <w:pStyle w:val="ATHeading2"/>
      </w:pPr>
      <w:bookmarkStart w:id="2" w:name="title"/>
      <w:r>
        <w:t>G</w:t>
      </w:r>
      <w:r w:rsidR="00530187" w:rsidRPr="00012A47">
        <w:t>enetiškai modifikuoti kukurūzai MON 89034 × 1507 × NK603</w:t>
      </w:r>
      <w:bookmarkEnd w:id="2"/>
    </w:p>
    <w:p w:rsidR="00530187" w:rsidRPr="00012A47" w:rsidRDefault="00530187" w:rsidP="00530187">
      <w:pPr>
        <w:rPr>
          <w:i/>
          <w:vanish/>
        </w:rPr>
      </w:pPr>
      <w:r w:rsidRPr="00012A47">
        <w:rPr>
          <w:i/>
        </w:rPr>
        <w:fldChar w:fldCharType="begin"/>
      </w:r>
      <w:r w:rsidRPr="00012A47">
        <w:rPr>
          <w:i/>
        </w:rPr>
        <w:instrText xml:space="preserve"> TC"(</w:instrText>
      </w:r>
      <w:bookmarkStart w:id="3" w:name="DocNumber"/>
      <w:r w:rsidRPr="00012A47">
        <w:rPr>
          <w:i/>
        </w:rPr>
        <w:instrText>B10-0148/2024</w:instrText>
      </w:r>
      <w:bookmarkEnd w:id="3"/>
      <w:r w:rsidRPr="00012A47">
        <w:rPr>
          <w:i/>
        </w:rPr>
        <w:instrText xml:space="preserve">)"\l3 \n&gt; \* MERGEFORMAT </w:instrText>
      </w:r>
      <w:r w:rsidRPr="00012A47">
        <w:rPr>
          <w:i/>
        </w:rPr>
        <w:fldChar w:fldCharType="end"/>
      </w:r>
    </w:p>
    <w:p w:rsidR="00530187" w:rsidRPr="00012A47" w:rsidRDefault="00530187" w:rsidP="00530187">
      <w:pPr>
        <w:rPr>
          <w:vanish/>
        </w:rPr>
      </w:pPr>
      <w:bookmarkStart w:id="4" w:name="Commission"/>
      <w:r w:rsidRPr="00012A47">
        <w:rPr>
          <w:vanish/>
        </w:rPr>
        <w:t>Aplinkos, visuomenės sveikatos ir maisto saugos komitetas</w:t>
      </w:r>
      <w:bookmarkEnd w:id="4"/>
    </w:p>
    <w:p w:rsidR="00530187" w:rsidRPr="00012A47" w:rsidRDefault="00530187" w:rsidP="00530187">
      <w:pPr>
        <w:rPr>
          <w:vanish/>
        </w:rPr>
      </w:pPr>
      <w:bookmarkStart w:id="5" w:name="PE"/>
      <w:r w:rsidRPr="00012A47">
        <w:rPr>
          <w:vanish/>
        </w:rPr>
        <w:t>PE763.279</w:t>
      </w:r>
      <w:bookmarkEnd w:id="5"/>
    </w:p>
    <w:p w:rsidR="00530187" w:rsidRPr="00012A47" w:rsidRDefault="004F6675" w:rsidP="00632A94">
      <w:pPr>
        <w:pStyle w:val="ATHeading3"/>
      </w:pPr>
      <w:bookmarkStart w:id="6" w:name="Sujet"/>
      <w:r>
        <w:t xml:space="preserve">2024 m. lapkričio 26 d. </w:t>
      </w:r>
      <w:r w:rsidR="00530187" w:rsidRPr="00012A47">
        <w:t>Europos Parlamento rezoliucija dėl Komisijos įgyvendinimo sprendimo</w:t>
      </w:r>
      <w:r>
        <w:t xml:space="preserve"> (ES) 2024/2628</w:t>
      </w:r>
      <w:r w:rsidR="00530187" w:rsidRPr="00012A47">
        <w:t>, kuriuo pagal Europos Parlamento ir Tarybos reglamentą (EB) Nr. 1829/2003 atnaujinamas leidimas pateikti rinkai produktus, kurių sudėtyje yra genetiškai modifikuotų kukurūzų MON 89034 × 1507 × NK603, kurie iš jų sudaryti arba kurie iš jų pagaminti, projekto</w:t>
      </w:r>
      <w:bookmarkEnd w:id="6"/>
      <w:r w:rsidR="00530187" w:rsidRPr="00012A47">
        <w:t xml:space="preserve"> </w:t>
      </w:r>
      <w:bookmarkStart w:id="7" w:name="References"/>
      <w:r w:rsidR="00530187" w:rsidRPr="00012A47">
        <w:t>(D098497/04 – 2024/2836(RSP))</w:t>
      </w:r>
      <w:bookmarkEnd w:id="7"/>
    </w:p>
    <w:p w:rsidR="0010674C" w:rsidRPr="00012A47" w:rsidRDefault="0010674C" w:rsidP="0010674C">
      <w:pPr>
        <w:pStyle w:val="EPComma"/>
      </w:pPr>
      <w:bookmarkStart w:id="8" w:name="TextBodyBegin"/>
      <w:bookmarkEnd w:id="8"/>
      <w:r w:rsidRPr="00012A47">
        <w:rPr>
          <w:i/>
          <w:iCs/>
        </w:rPr>
        <w:t>Europos Parlamentas</w:t>
      </w:r>
      <w:r w:rsidRPr="00012A47">
        <w:t>,</w:t>
      </w:r>
    </w:p>
    <w:p w:rsidR="0010674C" w:rsidRPr="00012A47" w:rsidRDefault="0010674C" w:rsidP="0010674C">
      <w:pPr>
        <w:pStyle w:val="NormalHanging12a"/>
        <w:rPr>
          <w:szCs w:val="24"/>
        </w:rPr>
      </w:pPr>
      <w:r w:rsidRPr="00012A47">
        <w:t>–</w:t>
      </w:r>
      <w:r w:rsidRPr="00012A47">
        <w:tab/>
        <w:t>atsižvelgdamas į Komisijos įgyvendinimo sprendimo</w:t>
      </w:r>
      <w:r w:rsidR="004F6675">
        <w:t xml:space="preserve"> (ES) 2024/2628</w:t>
      </w:r>
      <w:r w:rsidRPr="00012A47">
        <w:t>, kuriuo pagal Europos Parlamento ir Tarybos reglamentą (EB) Nr. 1829/2003 atnaujinamas leidimas pateikti rinkai produktus, kurių sudėtyje yra genetiškai modifikuotų kukurūzų MON 89034 × 1507 × NK603, kurie iš jų sudaryti arba kurie iš jų pagaminti</w:t>
      </w:r>
      <w:r w:rsidR="004F6675">
        <w:rPr>
          <w:rStyle w:val="FootnoteReference"/>
        </w:rPr>
        <w:footnoteReference w:id="1"/>
      </w:r>
      <w:r w:rsidRPr="00012A47">
        <w:t>, projektą (D098497/04),</w:t>
      </w:r>
    </w:p>
    <w:p w:rsidR="0010674C" w:rsidRPr="00012A47" w:rsidRDefault="0010674C" w:rsidP="0010674C">
      <w:pPr>
        <w:pStyle w:val="NormalHanging12a"/>
        <w:rPr>
          <w:szCs w:val="24"/>
        </w:rPr>
      </w:pPr>
      <w:r w:rsidRPr="00012A47">
        <w:t>–</w:t>
      </w:r>
      <w:r w:rsidRPr="00012A47">
        <w:tab/>
        <w:t>atsižvelgdamas į 2003 m. rugsėjo 22 d. Europos Parlamento ir Tarybos reglamentą (EB) Nr. 1829/2003 dėl genetiškai modifikuoto maisto ir pašarų</w:t>
      </w:r>
      <w:r w:rsidRPr="00012A47">
        <w:rPr>
          <w:rStyle w:val="FootnoteReference"/>
          <w:szCs w:val="24"/>
        </w:rPr>
        <w:footnoteReference w:id="2"/>
      </w:r>
      <w:r w:rsidRPr="00012A47">
        <w:t>, ypač į jo 11 straipsnio 3 dalį ir 23 straipsnio 3 dalį,</w:t>
      </w:r>
    </w:p>
    <w:p w:rsidR="0010674C" w:rsidRPr="00012A47" w:rsidRDefault="0010674C" w:rsidP="0010674C">
      <w:pPr>
        <w:pStyle w:val="NormalHanging12a"/>
        <w:rPr>
          <w:szCs w:val="24"/>
        </w:rPr>
      </w:pPr>
      <w:r w:rsidRPr="00012A47">
        <w:t>–</w:t>
      </w:r>
      <w:r w:rsidRPr="00012A47">
        <w:tab/>
        <w:t>atsižvelgdamas į t</w:t>
      </w:r>
      <w:r w:rsidRPr="00012A47">
        <w:rPr>
          <w:shd w:val="clear" w:color="auto" w:fill="FFFFFF"/>
        </w:rPr>
        <w:t>ai, kad Reglamento (EB) Nr. 1829/2003 35 straipsnyje nurodytas Augalų, gyvūnų, maisto ir pašarų nuolatinis komitetas per 2024 m. liepos 8 d. vykusį balsavimą nusprendė nuomonės neteikti, ir į tai, kad apeliacinis komitetas 2024 m. rugsėjo 3 d. balsavimu taip pat nusprendė nuomonės</w:t>
      </w:r>
      <w:r w:rsidRPr="00012A47">
        <w:t xml:space="preserve"> neteikti,</w:t>
      </w:r>
    </w:p>
    <w:p w:rsidR="0010674C" w:rsidRPr="00012A47" w:rsidRDefault="0010674C" w:rsidP="0010674C">
      <w:pPr>
        <w:pStyle w:val="NormalHanging12a"/>
        <w:rPr>
          <w:szCs w:val="24"/>
        </w:rPr>
      </w:pPr>
      <w:r w:rsidRPr="00012A47">
        <w:t>–</w:t>
      </w:r>
      <w:r w:rsidRPr="00012A47">
        <w:tab/>
        <w:t>atsižvelgdamas į 2011 m. vasario 16 d. Europos Parlamento ir Tarybos reglamento (ES) Nr. 182/2011, kuriuo nustatomos valstybių narių vykdomos Komisijos naudojimosi įgyvendinimo įgaliojimais kontrolės mechanizmų taisyklės ir bendrieji principai 11 straipsnį</w:t>
      </w:r>
      <w:r w:rsidRPr="00012A47">
        <w:rPr>
          <w:rStyle w:val="FootnoteReference"/>
          <w:szCs w:val="24"/>
        </w:rPr>
        <w:footnoteReference w:id="3"/>
      </w:r>
      <w:r w:rsidRPr="00012A47">
        <w:t>,</w:t>
      </w:r>
    </w:p>
    <w:p w:rsidR="0010674C" w:rsidRPr="00012A47" w:rsidRDefault="0010674C" w:rsidP="0010674C">
      <w:pPr>
        <w:pStyle w:val="NormalHanging12a"/>
        <w:rPr>
          <w:szCs w:val="24"/>
        </w:rPr>
      </w:pPr>
      <w:r w:rsidRPr="00012A47">
        <w:t>–</w:t>
      </w:r>
      <w:r w:rsidRPr="00012A47">
        <w:tab/>
        <w:t xml:space="preserve">atsižvelgdamas į Europos maisto saugos tarnybos (EFSA) 2024 m. kovo 13 d. priimtą ir </w:t>
      </w:r>
      <w:r w:rsidRPr="00012A47">
        <w:lastRenderedPageBreak/>
        <w:t>2024 m. balandžio 29 d. paskelbtą nuomonę</w:t>
      </w:r>
      <w:r w:rsidRPr="00012A47">
        <w:rPr>
          <w:rStyle w:val="FootnoteReference"/>
          <w:szCs w:val="24"/>
        </w:rPr>
        <w:footnoteReference w:id="4"/>
      </w:r>
      <w:r w:rsidRPr="00012A47">
        <w:t>,</w:t>
      </w:r>
    </w:p>
    <w:p w:rsidR="0010674C" w:rsidRPr="00012A47" w:rsidRDefault="0010674C" w:rsidP="0010674C">
      <w:pPr>
        <w:pStyle w:val="NormalHanging12a"/>
        <w:rPr>
          <w:szCs w:val="24"/>
        </w:rPr>
      </w:pPr>
      <w:r w:rsidRPr="00012A47">
        <w:t>–</w:t>
      </w:r>
      <w:r w:rsidRPr="00012A47">
        <w:tab/>
      </w:r>
      <w:r w:rsidRPr="00012A47">
        <w:rPr>
          <w:shd w:val="clear" w:color="auto" w:fill="FFFFFF"/>
        </w:rPr>
        <w:t>atsižvelgdamas į ankstesnes savo rezoliucijas, kuriomis prieštaraujama leidimui naudoti genetiškai modifikuotus organizmus (GMO)</w:t>
      </w:r>
      <w:r w:rsidRPr="00012A47">
        <w:rPr>
          <w:szCs w:val="24"/>
          <w:shd w:val="clear" w:color="auto" w:fill="FFFFFF"/>
          <w:vertAlign w:val="superscript"/>
        </w:rPr>
        <w:footnoteReference w:id="5"/>
      </w:r>
      <w:r w:rsidRPr="00012A47">
        <w:rPr>
          <w:shd w:val="clear" w:color="auto" w:fill="FFFFFF"/>
        </w:rPr>
        <w:t>,</w:t>
      </w:r>
    </w:p>
    <w:p w:rsidR="0010674C" w:rsidRPr="00012A47" w:rsidRDefault="0010674C" w:rsidP="0010674C">
      <w:pPr>
        <w:pStyle w:val="NormalHanging12a"/>
        <w:rPr>
          <w:szCs w:val="24"/>
        </w:rPr>
      </w:pPr>
      <w:r w:rsidRPr="00012A47">
        <w:t>–</w:t>
      </w:r>
      <w:r w:rsidRPr="00012A47">
        <w:tab/>
        <w:t>atsižvelgdamas į Darbo tvarkos taisyklių 115 straipsnio 2 ir 3 dalis,</w:t>
      </w:r>
    </w:p>
    <w:p w:rsidR="0010674C" w:rsidRPr="00012A47" w:rsidRDefault="0010674C" w:rsidP="0010674C">
      <w:pPr>
        <w:pStyle w:val="NormalHanging12a"/>
        <w:rPr>
          <w:szCs w:val="24"/>
        </w:rPr>
      </w:pPr>
      <w:r w:rsidRPr="00012A47">
        <w:t>–</w:t>
      </w:r>
      <w:r w:rsidRPr="00012A47">
        <w:tab/>
        <w:t>atsižvelgdamas į Aplinkos, visuomenės sveikatos ir maisto saugos komiteto pasiūlymą dėl rezoliucijos,</w:t>
      </w:r>
    </w:p>
    <w:p w:rsidR="0010674C" w:rsidRPr="00012A47" w:rsidRDefault="0010674C" w:rsidP="0010674C">
      <w:pPr>
        <w:pStyle w:val="NormalHanging12a"/>
        <w:rPr>
          <w:szCs w:val="24"/>
        </w:rPr>
      </w:pPr>
      <w:r w:rsidRPr="00012A47">
        <w:t>A.</w:t>
      </w:r>
      <w:r w:rsidRPr="00012A47">
        <w:tab/>
        <w:t>kadangi 2022 m. spalio 21 d. Belgijoje įsisteigusi bendrovė „</w:t>
      </w:r>
      <w:proofErr w:type="spellStart"/>
      <w:r w:rsidRPr="00012A47">
        <w:t>Corteva</w:t>
      </w:r>
      <w:proofErr w:type="spellEnd"/>
      <w:r w:rsidRPr="00012A47">
        <w:t xml:space="preserve"> </w:t>
      </w:r>
      <w:proofErr w:type="spellStart"/>
      <w:r w:rsidRPr="00012A47">
        <w:t>Agriscience</w:t>
      </w:r>
      <w:proofErr w:type="spellEnd"/>
      <w:r w:rsidRPr="00012A47">
        <w:t xml:space="preserve"> </w:t>
      </w:r>
      <w:proofErr w:type="spellStart"/>
      <w:r w:rsidRPr="00012A47">
        <w:t>Belgium</w:t>
      </w:r>
      <w:proofErr w:type="spellEnd"/>
      <w:r w:rsidRPr="00012A47">
        <w:t xml:space="preserve"> BV“ JAV </w:t>
      </w:r>
      <w:proofErr w:type="spellStart"/>
      <w:r w:rsidRPr="00012A47">
        <w:t>įsisteigosios</w:t>
      </w:r>
      <w:proofErr w:type="spellEnd"/>
      <w:r w:rsidRPr="00012A47">
        <w:t xml:space="preserve"> bendrovės „</w:t>
      </w:r>
      <w:proofErr w:type="spellStart"/>
      <w:r w:rsidRPr="00012A47">
        <w:t>Corteva</w:t>
      </w:r>
      <w:proofErr w:type="spellEnd"/>
      <w:r w:rsidRPr="00012A47">
        <w:t xml:space="preserve"> </w:t>
      </w:r>
      <w:proofErr w:type="spellStart"/>
      <w:r w:rsidRPr="00012A47">
        <w:t>Agriscience</w:t>
      </w:r>
      <w:proofErr w:type="spellEnd"/>
      <w:r w:rsidRPr="00012A47">
        <w:t xml:space="preserve"> LLC“ vardu ir Belgijoje įsisteigusi bendrovė „Bayer </w:t>
      </w:r>
      <w:proofErr w:type="spellStart"/>
      <w:r w:rsidRPr="00012A47">
        <w:t>Agriculture</w:t>
      </w:r>
      <w:proofErr w:type="spellEnd"/>
      <w:r w:rsidRPr="00012A47">
        <w:t xml:space="preserve"> BV“ JAV įsisteigusios bendrovės „Bayer </w:t>
      </w:r>
      <w:proofErr w:type="spellStart"/>
      <w:r w:rsidRPr="00012A47">
        <w:t>CropScience</w:t>
      </w:r>
      <w:proofErr w:type="spellEnd"/>
      <w:r w:rsidRPr="00012A47">
        <w:t xml:space="preserve"> LP“ vardu kartu pateikė Komisijai prašymą atnaujinti leidimą naudoti genetiškai modifikuotus kukurūzus MON 89034 × 1507 × NK603;</w:t>
      </w:r>
    </w:p>
    <w:p w:rsidR="0010674C" w:rsidRPr="00012A47" w:rsidRDefault="0010674C" w:rsidP="0010674C">
      <w:pPr>
        <w:pStyle w:val="NormalHanging12a"/>
        <w:rPr>
          <w:szCs w:val="24"/>
        </w:rPr>
      </w:pPr>
      <w:r w:rsidRPr="00012A47">
        <w:t>B.</w:t>
      </w:r>
      <w:r w:rsidRPr="00012A47">
        <w:tab/>
        <w:t>kadangi 2024 m. kovo 13 d. EFSA priėmė palankią nuomonę, kuri paskelbta 2024 m. balandžio 26 d.;</w:t>
      </w:r>
    </w:p>
    <w:p w:rsidR="0010674C" w:rsidRPr="00012A47" w:rsidRDefault="0010674C" w:rsidP="0010674C">
      <w:pPr>
        <w:pStyle w:val="NormalHanging12a"/>
        <w:rPr>
          <w:szCs w:val="24"/>
        </w:rPr>
      </w:pPr>
      <w:r w:rsidRPr="00012A47">
        <w:t>C.</w:t>
      </w:r>
      <w:r w:rsidRPr="00012A47">
        <w:tab/>
        <w:t xml:space="preserve">kadangi genetiškai modifikuoti kukurūzai sudėtyje turi genų, kurie suteikia atsparumą </w:t>
      </w:r>
      <w:proofErr w:type="spellStart"/>
      <w:r w:rsidRPr="00012A47">
        <w:t>glifosatui</w:t>
      </w:r>
      <w:proofErr w:type="spellEnd"/>
      <w:r w:rsidRPr="00012A47">
        <w:t xml:space="preserve"> ir gamina insekticidinius baltymus („</w:t>
      </w:r>
      <w:proofErr w:type="spellStart"/>
      <w:r w:rsidRPr="00012A47">
        <w:t>Bt</w:t>
      </w:r>
      <w:proofErr w:type="spellEnd"/>
      <w:r w:rsidRPr="00012A47">
        <w:t xml:space="preserve"> toksinus“);</w:t>
      </w:r>
    </w:p>
    <w:p w:rsidR="0010674C" w:rsidRPr="00012A47" w:rsidRDefault="0010674C" w:rsidP="0010674C">
      <w:pPr>
        <w:pStyle w:val="NormalHanging12a"/>
        <w:rPr>
          <w:b/>
          <w:i/>
          <w:szCs w:val="24"/>
        </w:rPr>
      </w:pPr>
      <w:r w:rsidRPr="00012A47">
        <w:rPr>
          <w:b/>
          <w:i/>
        </w:rPr>
        <w:t>Nepakankamas papildomų herbicidų vertinimas</w:t>
      </w:r>
    </w:p>
    <w:p w:rsidR="0010674C" w:rsidRPr="00012A47" w:rsidRDefault="0010674C" w:rsidP="0010674C">
      <w:pPr>
        <w:pStyle w:val="NormalHanging12a"/>
        <w:rPr>
          <w:szCs w:val="24"/>
        </w:rPr>
      </w:pPr>
      <w:r w:rsidRPr="00012A47">
        <w:t>D.</w:t>
      </w:r>
      <w:r w:rsidRPr="00012A47">
        <w:tab/>
        <w:t>kadangi Komisijos įgyvendinimo reglamente (ES) Nr. 503/2013</w:t>
      </w:r>
      <w:r w:rsidRPr="00012A47">
        <w:rPr>
          <w:rStyle w:val="FootnoteReference"/>
          <w:szCs w:val="24"/>
        </w:rPr>
        <w:footnoteReference w:id="6"/>
      </w:r>
      <w:r w:rsidRPr="00012A47">
        <w:t xml:space="preserve"> reikalaujama įvertinti, ar numatoma žemės ūkio praktika daro įtaką tiriamų taškų rezultatams; kadangi, kaip nurodyta tame įgyvendinimo reglamente, tai ypač svarbu herbicidams atspariems augalams;</w:t>
      </w:r>
    </w:p>
    <w:p w:rsidR="0010674C" w:rsidRPr="00012A47" w:rsidRDefault="0010674C" w:rsidP="0010674C">
      <w:pPr>
        <w:pStyle w:val="NormalHanging12a"/>
        <w:rPr>
          <w:szCs w:val="24"/>
        </w:rPr>
      </w:pPr>
      <w:r w:rsidRPr="00012A47">
        <w:t>E.</w:t>
      </w:r>
      <w:r w:rsidRPr="00012A47">
        <w:tab/>
        <w:t xml:space="preserve">kadangi didžioji dauguma genetiškai modifikuotų kultūrų buvo genetiškai modifikuotos taip, kad būtų atsparios vienam ar keliems „papildomiems“ herbicidams, kuriuos galima naudoti auginant genetiškai modifikuotas kultūras, jų nesunaikinant, kaip būtų herbicidams neatsparių pasėlių atveju; kadangi ne vienu tyrimu įrodyta, kad auginant herbicidams atsparias genetiškai modifikuotas kultūras dažniau naudojami papildomi </w:t>
      </w:r>
      <w:r w:rsidRPr="00012A47">
        <w:lastRenderedPageBreak/>
        <w:t>herbicidai, labiausiai dėl to, kad atsirado herbicidams atsparių piktžolių</w:t>
      </w:r>
      <w:r w:rsidRPr="00012A47">
        <w:rPr>
          <w:rStyle w:val="FootnoteReference"/>
          <w:szCs w:val="24"/>
        </w:rPr>
        <w:footnoteReference w:id="7"/>
      </w:r>
      <w:r w:rsidRPr="00012A47">
        <w:t>;</w:t>
      </w:r>
    </w:p>
    <w:p w:rsidR="0010674C" w:rsidRPr="00012A47" w:rsidRDefault="0010674C" w:rsidP="0010674C">
      <w:pPr>
        <w:pStyle w:val="NormalHanging12a"/>
        <w:rPr>
          <w:szCs w:val="24"/>
        </w:rPr>
      </w:pPr>
      <w:r w:rsidRPr="00012A47">
        <w:t>F.</w:t>
      </w:r>
      <w:r w:rsidRPr="00012A47">
        <w:tab/>
        <w:t>kadangi herbicidams atsparias genetiškai modifikuotas kultūras auginantys ūkininkai įtraukiami į piktžolių valdymo sistemą, kuri labai arba visiškai priklauso nuo herbicidų, ir tai daroma taikant priemoką už genetiškai modifikuotas sėklas, kuri gali būti pateisinama tik tuo atveju, jei tokias sėklas perkantys ūkininkai purškia ir papildomą herbicidą; kadangi dėl padidėjusios priklausomybės nuo papildomų herbicidų ūkiuose, kuriuose sėjamos genetiškai modifikuotos kultūros, paspartės tiems herbicidams atsparių piktžolių atsiradimas ir plitimas, todėl reikės naudoti dar daugiau herbicidų ir taip susidarys užburtas ratas, žinomas anglišku pavadinimu „</w:t>
      </w:r>
      <w:proofErr w:type="spellStart"/>
      <w:r w:rsidRPr="00012A47">
        <w:t>the</w:t>
      </w:r>
      <w:proofErr w:type="spellEnd"/>
      <w:r w:rsidRPr="00012A47">
        <w:t xml:space="preserve"> herbicide </w:t>
      </w:r>
      <w:proofErr w:type="spellStart"/>
      <w:r w:rsidRPr="00012A47">
        <w:t>treadmill</w:t>
      </w:r>
      <w:proofErr w:type="spellEnd"/>
      <w:r w:rsidRPr="00012A47">
        <w:t>“;</w:t>
      </w:r>
    </w:p>
    <w:p w:rsidR="0010674C" w:rsidRPr="00012A47" w:rsidRDefault="0010674C" w:rsidP="0010674C">
      <w:pPr>
        <w:pStyle w:val="NormalHanging12a"/>
        <w:rPr>
          <w:szCs w:val="24"/>
        </w:rPr>
      </w:pPr>
      <w:r w:rsidRPr="00012A47">
        <w:t>G.</w:t>
      </w:r>
      <w:r w:rsidRPr="00012A47">
        <w:tab/>
        <w:t>kadangi neigiamas poveikis, kurį lemia pernelyg didelė priklausomybė nuo herbicidų, pablogins dirvožemio būklę, vandens kokybę ir virš žemės bei po žeme esančią biologinę įvairovę, taip pat turės įtakos žmonėms ir gyvūnams, be kita ko, dėl didesnių herbicidų liekanų maiste ir pašaruose;</w:t>
      </w:r>
    </w:p>
    <w:p w:rsidR="0010674C" w:rsidRPr="00012A47" w:rsidRDefault="0010674C" w:rsidP="0010674C">
      <w:pPr>
        <w:pStyle w:val="NormalHanging12a"/>
        <w:rPr>
          <w:szCs w:val="24"/>
        </w:rPr>
      </w:pPr>
      <w:r w:rsidRPr="00012A47">
        <w:t>H.</w:t>
      </w:r>
      <w:r w:rsidRPr="00012A47">
        <w:tab/>
        <w:t xml:space="preserve">kadangi 2015 m. lapkričio mėn. EFSA pateikė išvadą, kad </w:t>
      </w:r>
      <w:proofErr w:type="spellStart"/>
      <w:r w:rsidRPr="00012A47">
        <w:t>glifosatas</w:t>
      </w:r>
      <w:proofErr w:type="spellEnd"/>
      <w:r w:rsidRPr="00012A47">
        <w:t xml:space="preserve"> tikriausiai nėra </w:t>
      </w:r>
      <w:proofErr w:type="spellStart"/>
      <w:r w:rsidRPr="00012A47">
        <w:t>kancerogeniškas</w:t>
      </w:r>
      <w:proofErr w:type="spellEnd"/>
      <w:r w:rsidRPr="00012A47">
        <w:t xml:space="preserve">, o Europos cheminių medžiagų agentūra 2017 m. kovo mėn. pateikė išvadą, kad nėra pagrindo jo priskirti prie jokios pavojingų medžiagų kategorijos; kadangi 2015 m. Tarptautinė vėžio mokslinių tyrimų agentūra – specializuota Pasaulio sveikatos organizacijos vėžio agentūra – priešingai, </w:t>
      </w:r>
      <w:proofErr w:type="spellStart"/>
      <w:r w:rsidRPr="00012A47">
        <w:t>glifosatą</w:t>
      </w:r>
      <w:proofErr w:type="spellEnd"/>
      <w:r w:rsidRPr="00012A47">
        <w:t xml:space="preserve"> priskyrė prie galbūt kancerogeninį poveikį žmonėms turinčių medžiagų; kadangi keletas naujausių recenzuotų mokslinių tyrimų patvirtina </w:t>
      </w:r>
      <w:proofErr w:type="spellStart"/>
      <w:r w:rsidRPr="00012A47">
        <w:t>glifosato</w:t>
      </w:r>
      <w:proofErr w:type="spellEnd"/>
      <w:r w:rsidRPr="00012A47">
        <w:t xml:space="preserve"> kancerogeninį potencialą</w:t>
      </w:r>
      <w:r w:rsidRPr="00012A47">
        <w:rPr>
          <w:rStyle w:val="FootnoteReference"/>
          <w:szCs w:val="24"/>
        </w:rPr>
        <w:footnoteReference w:id="8"/>
      </w:r>
      <w:r w:rsidRPr="00012A47">
        <w:t>;</w:t>
      </w:r>
    </w:p>
    <w:p w:rsidR="0010674C" w:rsidRPr="00012A47" w:rsidRDefault="0010674C" w:rsidP="0010674C">
      <w:pPr>
        <w:pStyle w:val="NormalHanging12a"/>
        <w:rPr>
          <w:szCs w:val="24"/>
        </w:rPr>
      </w:pPr>
      <w:r w:rsidRPr="00012A47">
        <w:t>I.</w:t>
      </w:r>
      <w:r w:rsidRPr="00012A47">
        <w:tab/>
        <w:t>kadangi laikoma, jog herbicidų liekanų ir metabolitų, randamų genetiškai modifikuotuose augaluose, vertinimas nėra EFSA genetiškai modifikuotų organizmų specialistų grupės kompetencijos sritis, todėl jis nėra atliekamas vykdant GMO autorizacijos procedūrą;</w:t>
      </w:r>
    </w:p>
    <w:p w:rsidR="0010674C" w:rsidRPr="00012A47" w:rsidRDefault="0010674C" w:rsidP="0010674C">
      <w:pPr>
        <w:pStyle w:val="NormalHanging12a"/>
        <w:rPr>
          <w:b/>
          <w:i/>
          <w:szCs w:val="24"/>
        </w:rPr>
      </w:pPr>
      <w:r w:rsidRPr="00012A47">
        <w:rPr>
          <w:b/>
          <w:i/>
        </w:rPr>
        <w:t xml:space="preserve">Neišspręsti klausimai, susiję su </w:t>
      </w:r>
      <w:proofErr w:type="spellStart"/>
      <w:r w:rsidRPr="00012A47">
        <w:rPr>
          <w:b/>
          <w:i/>
        </w:rPr>
        <w:t>Bt</w:t>
      </w:r>
      <w:proofErr w:type="spellEnd"/>
      <w:r w:rsidRPr="00012A47">
        <w:rPr>
          <w:b/>
          <w:i/>
        </w:rPr>
        <w:t xml:space="preserve"> toksinais</w:t>
      </w:r>
    </w:p>
    <w:p w:rsidR="0010674C" w:rsidRPr="00012A47" w:rsidRDefault="0010674C" w:rsidP="0010674C">
      <w:pPr>
        <w:pStyle w:val="NormalHanging12a"/>
        <w:rPr>
          <w:szCs w:val="24"/>
        </w:rPr>
      </w:pPr>
      <w:r w:rsidRPr="00012A47">
        <w:t>J.</w:t>
      </w:r>
      <w:r w:rsidRPr="00012A47">
        <w:tab/>
        <w:t xml:space="preserve">kadangi iš įvairių tyrimų matyti, kad buvo nustatytas šalutinis poveikis imuninei sistemai, galintis pasireikšti patyrus </w:t>
      </w:r>
      <w:proofErr w:type="spellStart"/>
      <w:r w:rsidRPr="00012A47">
        <w:t>Bt</w:t>
      </w:r>
      <w:proofErr w:type="spellEnd"/>
      <w:r w:rsidRPr="00012A47">
        <w:t xml:space="preserve"> toksinų poveikį, ir kad kai kurie </w:t>
      </w:r>
      <w:proofErr w:type="spellStart"/>
      <w:r w:rsidRPr="00012A47">
        <w:t>Bt</w:t>
      </w:r>
      <w:proofErr w:type="spellEnd"/>
      <w:r w:rsidRPr="00012A47">
        <w:t xml:space="preserve"> toksinai gali turėti </w:t>
      </w:r>
      <w:proofErr w:type="spellStart"/>
      <w:r w:rsidRPr="00012A47">
        <w:t>adjuvantinių</w:t>
      </w:r>
      <w:proofErr w:type="spellEnd"/>
      <w:r w:rsidRPr="00012A47">
        <w:t xml:space="preserve"> savybių</w:t>
      </w:r>
      <w:r w:rsidRPr="00012A47">
        <w:rPr>
          <w:rStyle w:val="FootnoteReference"/>
          <w:szCs w:val="24"/>
        </w:rPr>
        <w:footnoteReference w:id="9"/>
      </w:r>
      <w:r w:rsidRPr="00012A47">
        <w:t xml:space="preserve">, t. y. dėl jų gali padidėti kitų baltymų, su kuriais šie </w:t>
      </w:r>
      <w:r w:rsidRPr="00012A47">
        <w:lastRenderedPageBreak/>
        <w:t xml:space="preserve">baltymai sąveikauja, </w:t>
      </w:r>
      <w:proofErr w:type="spellStart"/>
      <w:r w:rsidRPr="00012A47">
        <w:t>alergeniškumas</w:t>
      </w:r>
      <w:proofErr w:type="spellEnd"/>
      <w:r w:rsidRPr="00012A47">
        <w:t>;</w:t>
      </w:r>
    </w:p>
    <w:p w:rsidR="0010674C" w:rsidRPr="00012A47" w:rsidRDefault="0010674C" w:rsidP="0010674C">
      <w:pPr>
        <w:pStyle w:val="NormalHanging12a"/>
        <w:rPr>
          <w:szCs w:val="24"/>
        </w:rPr>
      </w:pPr>
      <w:r w:rsidRPr="00012A47">
        <w:t>K.</w:t>
      </w:r>
      <w:r w:rsidRPr="00012A47">
        <w:tab/>
        <w:t xml:space="preserve">kadangi atliekant mokslinį tyrimą nustatyta, kad </w:t>
      </w:r>
      <w:proofErr w:type="spellStart"/>
      <w:r w:rsidRPr="00012A47">
        <w:t>Bt</w:t>
      </w:r>
      <w:proofErr w:type="spellEnd"/>
      <w:r w:rsidRPr="00012A47">
        <w:t xml:space="preserve"> toksinų </w:t>
      </w:r>
      <w:proofErr w:type="spellStart"/>
      <w:r w:rsidRPr="00012A47">
        <w:t>toksiškumas</w:t>
      </w:r>
      <w:proofErr w:type="spellEnd"/>
      <w:r w:rsidRPr="00012A47">
        <w:t xml:space="preserve"> taip pat gali sustiprėti sąveikaujant su liekanomis, liekančiomis po purškimo herbicidais, ir kadangi reikia atlikti daugiau tyrimų dėl sukauptų įvykių </w:t>
      </w:r>
      <w:proofErr w:type="spellStart"/>
      <w:r w:rsidRPr="00012A47">
        <w:t>kombinatorinio</w:t>
      </w:r>
      <w:proofErr w:type="spellEnd"/>
      <w:r w:rsidRPr="00012A47">
        <w:t xml:space="preserve"> poveikio (genetiškai modifikuotos kultūros, kurios buvo modifikuotos, kad būtų atsparios herbicidams ir gamintų insekticidus </w:t>
      </w:r>
      <w:proofErr w:type="spellStart"/>
      <w:r w:rsidRPr="00012A47">
        <w:t>Bt</w:t>
      </w:r>
      <w:proofErr w:type="spellEnd"/>
      <w:r w:rsidRPr="00012A47">
        <w:t xml:space="preserve"> toksinų pavidalu)</w:t>
      </w:r>
      <w:r w:rsidRPr="00012A47">
        <w:rPr>
          <w:rStyle w:val="FootnoteReference"/>
          <w:szCs w:val="24"/>
        </w:rPr>
        <w:footnoteReference w:id="10"/>
      </w:r>
      <w:r w:rsidRPr="00012A47">
        <w:t xml:space="preserve">; kadangi vis dėlto laikoma, kad galimos herbicidų liekanų ir jų metabolitų sąveikos su </w:t>
      </w:r>
      <w:proofErr w:type="spellStart"/>
      <w:r w:rsidRPr="00012A47">
        <w:t>Bt</w:t>
      </w:r>
      <w:proofErr w:type="spellEnd"/>
      <w:r w:rsidRPr="00012A47">
        <w:t xml:space="preserve"> toksinais vertinimas nepatenka į EFSA GMO specialistų grupės kompetencijos sritį ir todėl nevykdomas atliekant rizikos vertinimą;</w:t>
      </w:r>
    </w:p>
    <w:p w:rsidR="0010674C" w:rsidRPr="00012A47" w:rsidRDefault="0010674C" w:rsidP="0010674C">
      <w:pPr>
        <w:pStyle w:val="NormalHanging12a"/>
        <w:rPr>
          <w:b/>
          <w:i/>
          <w:szCs w:val="24"/>
        </w:rPr>
      </w:pPr>
      <w:proofErr w:type="spellStart"/>
      <w:r w:rsidRPr="00012A47">
        <w:rPr>
          <w:b/>
          <w:i/>
        </w:rPr>
        <w:t>Bt</w:t>
      </w:r>
      <w:proofErr w:type="spellEnd"/>
      <w:r w:rsidRPr="00012A47">
        <w:rPr>
          <w:b/>
          <w:i/>
        </w:rPr>
        <w:t xml:space="preserve"> kultūros. Poveikis nekontroliuojamiems organizmams</w:t>
      </w:r>
    </w:p>
    <w:p w:rsidR="0010674C" w:rsidRPr="00012A47" w:rsidRDefault="0010674C" w:rsidP="0010674C">
      <w:pPr>
        <w:pStyle w:val="NormalHanging12a"/>
        <w:rPr>
          <w:szCs w:val="24"/>
        </w:rPr>
      </w:pPr>
      <w:r w:rsidRPr="00012A47">
        <w:t>L.</w:t>
      </w:r>
      <w:r w:rsidRPr="00012A47">
        <w:tab/>
        <w:t xml:space="preserve">kadangi, priešingai nei naudojant insekticidus, kai poveikis daromas purškimo metu ir ribotą laiką po jo, naudojant genetiškai modifikuotas </w:t>
      </w:r>
      <w:proofErr w:type="spellStart"/>
      <w:r w:rsidRPr="00012A47">
        <w:t>Bt</w:t>
      </w:r>
      <w:proofErr w:type="spellEnd"/>
      <w:r w:rsidRPr="00012A47">
        <w:t xml:space="preserve"> kultūras, kontroliuojamus ir nekontroliuojamus organizmus </w:t>
      </w:r>
      <w:proofErr w:type="spellStart"/>
      <w:r w:rsidRPr="00012A47">
        <w:t>Bt</w:t>
      </w:r>
      <w:proofErr w:type="spellEnd"/>
      <w:r w:rsidRPr="00012A47">
        <w:t xml:space="preserve"> toksinai veikia nuolatos;</w:t>
      </w:r>
    </w:p>
    <w:p w:rsidR="0010674C" w:rsidRPr="00012A47" w:rsidRDefault="0010674C" w:rsidP="0010674C">
      <w:pPr>
        <w:pStyle w:val="NormalHanging12a"/>
        <w:rPr>
          <w:szCs w:val="24"/>
        </w:rPr>
      </w:pPr>
      <w:r w:rsidRPr="00012A47">
        <w:t>M.</w:t>
      </w:r>
      <w:r w:rsidRPr="00012A47">
        <w:tab/>
        <w:t xml:space="preserve">kadangi prielaida, kad </w:t>
      </w:r>
      <w:proofErr w:type="spellStart"/>
      <w:r w:rsidRPr="00012A47">
        <w:t>Bt</w:t>
      </w:r>
      <w:proofErr w:type="spellEnd"/>
      <w:r w:rsidRPr="00012A47">
        <w:t xml:space="preserve"> toksinai veikia vienu konkrečiu tiksliniu veikimo būdu, nebegali būti laikoma teisinga, ir negalima atmesti, kad daromas poveikis netiksliniams organizmams; kadangi pranešama, kad įvairiais būdais paveikiamų nekontroliuojamų organizmų skaičius didėja; kadangi naujausioje peržiūroje minimos 39 tarpusavyje įvertintos publikacijos, kuriose pranešama apie neigiamą </w:t>
      </w:r>
      <w:proofErr w:type="spellStart"/>
      <w:r w:rsidRPr="00012A47">
        <w:t>Bt</w:t>
      </w:r>
      <w:proofErr w:type="spellEnd"/>
      <w:r w:rsidRPr="00012A47">
        <w:t xml:space="preserve"> toksinų poveikį daugeliui rūšių, esančių už jų natūralaus paplitimo arealo ribų</w:t>
      </w:r>
      <w:r w:rsidRPr="00012A47">
        <w:rPr>
          <w:rStyle w:val="FootnoteReference"/>
          <w:szCs w:val="24"/>
        </w:rPr>
        <w:footnoteReference w:id="11"/>
      </w:r>
      <w:r w:rsidRPr="00012A47">
        <w:t>;</w:t>
      </w:r>
    </w:p>
    <w:p w:rsidR="0010674C" w:rsidRPr="00012A47" w:rsidRDefault="0010674C" w:rsidP="0010674C">
      <w:pPr>
        <w:pStyle w:val="NormalHanging12a"/>
        <w:rPr>
          <w:b/>
          <w:i/>
          <w:szCs w:val="24"/>
        </w:rPr>
      </w:pPr>
      <w:r w:rsidRPr="00012A47">
        <w:rPr>
          <w:b/>
          <w:i/>
        </w:rPr>
        <w:t>Valstybių narių ir suinteresuotųjų subjektų pastabos</w:t>
      </w:r>
    </w:p>
    <w:p w:rsidR="0010674C" w:rsidRPr="00012A47" w:rsidRDefault="0010674C" w:rsidP="0010674C">
      <w:pPr>
        <w:pStyle w:val="NormalHanging12a"/>
        <w:rPr>
          <w:szCs w:val="24"/>
        </w:rPr>
      </w:pPr>
      <w:r w:rsidRPr="00012A47">
        <w:t>N.</w:t>
      </w:r>
      <w:r w:rsidRPr="00012A47">
        <w:tab/>
        <w:t>kadangi valstybės narės per trijų mėnesių konsultacijų laikotarpį EFSA pateikė daug kritinių pastabų</w:t>
      </w:r>
      <w:r w:rsidRPr="00012A47">
        <w:rPr>
          <w:rStyle w:val="FootnoteReference"/>
          <w:szCs w:val="24"/>
        </w:rPr>
        <w:footnoteReference w:id="12"/>
      </w:r>
      <w:r w:rsidRPr="00012A47">
        <w:t xml:space="preserve">, įskaitant tai, kad į atitinkamų tyrimų sąrašą, nustatytą pareiškėjo literatūros apžvalgoje, nebuvo įtraukti to, kas atsitinka su </w:t>
      </w:r>
      <w:proofErr w:type="spellStart"/>
      <w:r w:rsidRPr="00012A47">
        <w:t>Bt</w:t>
      </w:r>
      <w:proofErr w:type="spellEnd"/>
      <w:r w:rsidRPr="00012A47">
        <w:t xml:space="preserve"> baltymais aplinkoje, ar galimo </w:t>
      </w:r>
      <w:proofErr w:type="spellStart"/>
      <w:r w:rsidRPr="00012A47">
        <w:t>Bt</w:t>
      </w:r>
      <w:proofErr w:type="spellEnd"/>
      <w:r w:rsidRPr="00012A47">
        <w:t xml:space="preserve"> kultūrų liekanų poveikio </w:t>
      </w:r>
      <w:proofErr w:type="spellStart"/>
      <w:r w:rsidRPr="00012A47">
        <w:t>nekontroliuojamiemms</w:t>
      </w:r>
      <w:proofErr w:type="spellEnd"/>
      <w:r w:rsidRPr="00012A47">
        <w:t xml:space="preserve"> organizmams tyrimai, nors tokių tyrimų esama; </w:t>
      </w:r>
    </w:p>
    <w:p w:rsidR="0010674C" w:rsidRPr="00012A47" w:rsidRDefault="0010674C" w:rsidP="00632A94">
      <w:pPr>
        <w:pStyle w:val="NormalHanging12a"/>
        <w:ind w:left="0" w:firstLine="0"/>
        <w:rPr>
          <w:b/>
          <w:i/>
          <w:szCs w:val="24"/>
        </w:rPr>
      </w:pPr>
      <w:r w:rsidRPr="00012A47">
        <w:rPr>
          <w:b/>
          <w:i/>
        </w:rPr>
        <w:t>Vienodų sąlygų pasauliniu mastu užtikrinimas ir Sąjungos tarptautinių įsipareigojimų laikymasis</w:t>
      </w:r>
    </w:p>
    <w:p w:rsidR="0010674C" w:rsidRPr="00012A47" w:rsidRDefault="0010674C" w:rsidP="0010674C">
      <w:pPr>
        <w:pStyle w:val="NormalHanging12a"/>
        <w:rPr>
          <w:szCs w:val="24"/>
        </w:rPr>
      </w:pPr>
      <w:r w:rsidRPr="00012A47">
        <w:t>O.</w:t>
      </w:r>
      <w:r w:rsidRPr="00012A47">
        <w:tab/>
        <w:t>kadangi strateginio dialogo dėl žemės ūkio ateities ES išvadose</w:t>
      </w:r>
      <w:r w:rsidRPr="00012A47">
        <w:rPr>
          <w:rStyle w:val="FootnoteReference"/>
          <w:szCs w:val="24"/>
        </w:rPr>
        <w:footnoteReference w:id="13"/>
      </w:r>
      <w:r w:rsidRPr="00012A47">
        <w:t xml:space="preserve"> Komisija raginama iš naujo įvertinti savo požiūrį dėl žemės ūkio maisto produktų patekimo į importo ir eksporto rinką, atsižvelgiant į iššūkius, susijusius su skirtingais Sąjungos ir jos prekybos partnerių standartais; kadangi sąžiningesni prekybos santykiai pasauliniu lygmeniu, derantys su sveikos aplinkos tikslais, buvo vienas iš pagrindinių ūkininkų reikalavimų </w:t>
      </w:r>
      <w:r w:rsidRPr="00012A47">
        <w:lastRenderedPageBreak/>
        <w:t>per 2023 ir 2024 m. demonstracijas;</w:t>
      </w:r>
    </w:p>
    <w:p w:rsidR="0010674C" w:rsidRPr="00012A47" w:rsidRDefault="0010674C" w:rsidP="0010674C">
      <w:pPr>
        <w:pStyle w:val="NormalHanging12a"/>
        <w:rPr>
          <w:szCs w:val="24"/>
        </w:rPr>
      </w:pPr>
      <w:r w:rsidRPr="00012A47">
        <w:t>P.</w:t>
      </w:r>
      <w:r w:rsidRPr="00012A47">
        <w:tab/>
        <w:t>kadangi Jungtinių Tautų specialiojo pranešėjo teisės į maistą klausimais 2017 metų ataskaitoje nustatyta, kad pavojingi pesticidai katastrofiškai veikia visų pirma besivystančių šalių gyventojų sveikatą</w:t>
      </w:r>
      <w:r w:rsidRPr="00012A47">
        <w:rPr>
          <w:rStyle w:val="FootnoteReference"/>
          <w:szCs w:val="24"/>
        </w:rPr>
        <w:footnoteReference w:id="14"/>
      </w:r>
      <w:r w:rsidRPr="00012A47">
        <w:t>; kadangi Jungtinių Tautų darnaus vystymosi tikslas (JT DVT) Nr. 3.9 – iki 2030 m. iš esmės sumažinti mirčių ir ligų, kurias sukelia pavojingos cheminės medžiagos, oro, vandens ir dirvožemio tarša bei užterštumas, skaičių;</w:t>
      </w:r>
    </w:p>
    <w:p w:rsidR="0010674C" w:rsidRPr="00012A47" w:rsidRDefault="0010674C" w:rsidP="0010674C">
      <w:pPr>
        <w:pStyle w:val="NormalHanging12a"/>
        <w:rPr>
          <w:szCs w:val="24"/>
        </w:rPr>
      </w:pPr>
      <w:r w:rsidRPr="00012A47">
        <w:t>Q.</w:t>
      </w:r>
      <w:r w:rsidRPr="00012A47">
        <w:tab/>
        <w:t xml:space="preserve">kadangi </w:t>
      </w:r>
      <w:proofErr w:type="spellStart"/>
      <w:r w:rsidRPr="00012A47">
        <w:t>Kunmingo</w:t>
      </w:r>
      <w:proofErr w:type="spellEnd"/>
      <w:r w:rsidRPr="00012A47">
        <w:t xml:space="preserve"> ir Monrealio pasaulio biologinės įvairovės strategijoje (toliau – </w:t>
      </w:r>
      <w:proofErr w:type="spellStart"/>
      <w:r w:rsidRPr="00012A47">
        <w:t>Kunmingo</w:t>
      </w:r>
      <w:proofErr w:type="spellEnd"/>
      <w:r w:rsidRPr="00012A47">
        <w:t xml:space="preserve"> ir Monrealio strategija), dėl kurios susitarta 2022 m. gruodžio mėn. JT biologinės įvairovės konvencijos (JT BĮK) šalių konferencijoje (COP 15), įtrauktas pasaulinis tikslas iki 2030 m. bent 50 proc. sumažinti pesticidų keliamą riziką</w:t>
      </w:r>
      <w:r w:rsidRPr="00012A47">
        <w:rPr>
          <w:rStyle w:val="FootnoteReference"/>
          <w:szCs w:val="24"/>
        </w:rPr>
        <w:footnoteReference w:id="15"/>
      </w:r>
      <w:r w:rsidRPr="00012A47">
        <w:t>;</w:t>
      </w:r>
    </w:p>
    <w:p w:rsidR="0010674C" w:rsidRPr="00012A47" w:rsidRDefault="0010674C" w:rsidP="0010674C">
      <w:pPr>
        <w:pStyle w:val="NormalHanging12a"/>
        <w:rPr>
          <w:szCs w:val="24"/>
        </w:rPr>
      </w:pPr>
      <w:r w:rsidRPr="00012A47">
        <w:t>R.</w:t>
      </w:r>
      <w:r w:rsidRPr="00012A47">
        <w:tab/>
        <w:t>kadangi Reglamente (EB) Nr. 1829/2003 nustatyta, kad genetiškai modifikuotas maistas ir pašarai negali turėti neigiamo poveikio žmonių ir gyvūnų sveikatai arba aplinkai, ir reikalaujama, kad Komisija, rengdama sprendimą, atsižvelgtų į visas atitinkamas Sąjungos teisės nuostatas ir kitus su svarstomu klausimu pagrįstai siejamus veiksnius; kadangi tokie teisėti veiksniai turėtų apimti Sąjungos įsipareigojimus pagal JT DVT ir JT BĮK;</w:t>
      </w:r>
    </w:p>
    <w:p w:rsidR="0010674C" w:rsidRPr="00012A47" w:rsidRDefault="0010674C" w:rsidP="0010674C">
      <w:pPr>
        <w:pStyle w:val="NormalHanging12a"/>
        <w:rPr>
          <w:b/>
          <w:i/>
          <w:szCs w:val="24"/>
        </w:rPr>
      </w:pPr>
      <w:r w:rsidRPr="00012A47">
        <w:rPr>
          <w:b/>
          <w:i/>
        </w:rPr>
        <w:t>Priklausomybės nuo importuojamų pašarų mažinimas</w:t>
      </w:r>
    </w:p>
    <w:p w:rsidR="0010674C" w:rsidRPr="00012A47" w:rsidRDefault="0010674C" w:rsidP="0010674C">
      <w:pPr>
        <w:pStyle w:val="NormalHanging12a"/>
        <w:rPr>
          <w:b/>
          <w:i/>
          <w:szCs w:val="24"/>
        </w:rPr>
      </w:pPr>
      <w:r w:rsidRPr="00012A47">
        <w:t>S.</w:t>
      </w:r>
      <w:r w:rsidRPr="00012A47">
        <w:tab/>
        <w:t xml:space="preserve">kadangi viena iš COVID-19 krizės ir tebesitęsiančio karo Ukrainoje pamokų yra tai, kad Sąjunga turi tapti nepriklausoma nuo tam tikrų ypatingos svarbos medžiagų; kadangi paskirtajam Komisijos nariui </w:t>
      </w:r>
      <w:proofErr w:type="spellStart"/>
      <w:r w:rsidRPr="00012A47">
        <w:t>Christophe</w:t>
      </w:r>
      <w:proofErr w:type="spellEnd"/>
      <w:r w:rsidRPr="00012A47">
        <w:t xml:space="preserve"> Hansenui skirtame įgaliojamajame rašte Komisijos pirmininkė </w:t>
      </w:r>
      <w:proofErr w:type="spellStart"/>
      <w:r w:rsidRPr="00012A47">
        <w:t>Ursula</w:t>
      </w:r>
      <w:proofErr w:type="spellEnd"/>
      <w:r w:rsidRPr="00012A47">
        <w:t xml:space="preserve"> </w:t>
      </w:r>
      <w:proofErr w:type="spellStart"/>
      <w:r w:rsidRPr="00012A47">
        <w:t>von</w:t>
      </w:r>
      <w:proofErr w:type="spellEnd"/>
      <w:r w:rsidRPr="00012A47">
        <w:t> </w:t>
      </w:r>
      <w:proofErr w:type="spellStart"/>
      <w:r w:rsidRPr="00012A47">
        <w:t>der</w:t>
      </w:r>
      <w:proofErr w:type="spellEnd"/>
      <w:r w:rsidRPr="00012A47">
        <w:t> </w:t>
      </w:r>
      <w:proofErr w:type="spellStart"/>
      <w:r w:rsidRPr="00012A47">
        <w:t>Leyen</w:t>
      </w:r>
      <w:proofErr w:type="spellEnd"/>
      <w:r w:rsidRPr="00012A47">
        <w:t xml:space="preserve"> prašo jo ieškoti būdų, kaip sumažinti ypatingos svarbos prekių importą</w:t>
      </w:r>
      <w:r w:rsidRPr="00012A47">
        <w:rPr>
          <w:rStyle w:val="FootnoteReference"/>
          <w:szCs w:val="24"/>
        </w:rPr>
        <w:footnoteReference w:id="16"/>
      </w:r>
      <w:r w:rsidRPr="00012A47">
        <w:t xml:space="preserve">; </w:t>
      </w:r>
    </w:p>
    <w:p w:rsidR="0010674C" w:rsidRPr="00012A47" w:rsidRDefault="0010674C" w:rsidP="0010674C">
      <w:pPr>
        <w:pStyle w:val="NormalHanging12a"/>
        <w:rPr>
          <w:b/>
          <w:i/>
          <w:szCs w:val="24"/>
        </w:rPr>
      </w:pPr>
      <w:r w:rsidRPr="00012A47">
        <w:rPr>
          <w:b/>
          <w:i/>
        </w:rPr>
        <w:t>Nedemokratiškas sprendimų priėmimas</w:t>
      </w:r>
    </w:p>
    <w:p w:rsidR="0010674C" w:rsidRPr="00012A47" w:rsidRDefault="0010674C" w:rsidP="0010674C">
      <w:pPr>
        <w:pStyle w:val="NormalHanging12a"/>
        <w:rPr>
          <w:szCs w:val="24"/>
        </w:rPr>
      </w:pPr>
      <w:r w:rsidRPr="00012A47">
        <w:t>T.</w:t>
      </w:r>
      <w:r w:rsidRPr="00012A47">
        <w:tab/>
        <w:t xml:space="preserve">kadangi per savo aštuntąją kadenciją Parlamentas priėmė iš viso 36 rezoliucijas, kuriomis nepritarė tam, kad rinkai būtų teikiamas genetiškai modifikuotas maistas ir pašarai (33 rezoliucijos) ir kad Sąjungoje būtų leidžiama auginti GMO (trys rezoliucijos); kadangi per devintąją kadenciją Parlamentas jau patvirtino 38 </w:t>
      </w:r>
      <w:proofErr w:type="spellStart"/>
      <w:r w:rsidRPr="00012A47">
        <w:t>prieštaravimus</w:t>
      </w:r>
      <w:proofErr w:type="spellEnd"/>
      <w:r w:rsidRPr="00012A47">
        <w:t xml:space="preserve"> dėl GMO pateikimo rinkai;</w:t>
      </w:r>
    </w:p>
    <w:p w:rsidR="0010674C" w:rsidRPr="00012A47" w:rsidRDefault="0010674C" w:rsidP="0010674C">
      <w:pPr>
        <w:pStyle w:val="NormalHanging12a"/>
        <w:rPr>
          <w:szCs w:val="24"/>
        </w:rPr>
      </w:pPr>
      <w:r w:rsidRPr="00012A47">
        <w:t>U.</w:t>
      </w:r>
      <w:r w:rsidRPr="00012A47">
        <w:tab/>
        <w:t>kadangi, nepaisydama pačios pripažintų demokratijos trūkumų, to, kad valstybės narės jos nepalaiko, ir Parlamento prieštaravimų, Komisija ir toliau suteikia leidimus GMO;</w:t>
      </w:r>
    </w:p>
    <w:p w:rsidR="0010674C" w:rsidRPr="00012A47" w:rsidRDefault="0010674C" w:rsidP="0010674C">
      <w:pPr>
        <w:pStyle w:val="NormalHanging12a"/>
        <w:rPr>
          <w:szCs w:val="24"/>
        </w:rPr>
      </w:pPr>
      <w:r w:rsidRPr="00012A47">
        <w:t>V.</w:t>
      </w:r>
      <w:r w:rsidRPr="00012A47">
        <w:tab/>
        <w:t>kadangi nereikia teisės aktų pakeitimų, kad Komisija galėtų nesuteikti leidimų GMO, kai apeliaciniame komitete nesama patvirtinimo kvalifikuota valstybių narių balsų dauguma</w:t>
      </w:r>
      <w:r w:rsidRPr="00012A47">
        <w:rPr>
          <w:rStyle w:val="FootnoteReference"/>
          <w:szCs w:val="24"/>
        </w:rPr>
        <w:footnoteReference w:id="17"/>
      </w:r>
      <w:r w:rsidRPr="00012A47">
        <w:t>;</w:t>
      </w:r>
    </w:p>
    <w:p w:rsidR="0010674C" w:rsidRPr="00012A47" w:rsidRDefault="0010674C" w:rsidP="0010674C">
      <w:pPr>
        <w:spacing w:after="240"/>
        <w:ind w:left="567" w:hanging="567"/>
        <w:rPr>
          <w:szCs w:val="24"/>
          <w:shd w:val="clear" w:color="auto" w:fill="FFFFFF"/>
        </w:rPr>
      </w:pPr>
      <w:r w:rsidRPr="00012A47">
        <w:lastRenderedPageBreak/>
        <w:t>W.</w:t>
      </w:r>
      <w:r w:rsidRPr="00012A47">
        <w:tab/>
      </w:r>
      <w:r w:rsidRPr="00012A47">
        <w:rPr>
          <w:shd w:val="clear" w:color="auto" w:fill="FFFFFF"/>
        </w:rPr>
        <w:t>kadangi Reglamento (EB) Nr. 1829/2003 35 straipsnyje nurodytas Augalų, gyvūnų, maisto ir pašarų nuolatinis komitetas per 2024 m. liepos 8 d. vykusį balsavimą nepateikė nuomonės, o tai reiškia, kad leidimas nebuvo patvirtintas kvalifikuota valstybių narių balsų dauguma; kadangi apeliacinis komitetas balsuodamas 2024 m. rugsėjo 3 d. taip pat nusprendė nuomonės neteikti;</w:t>
      </w:r>
    </w:p>
    <w:p w:rsidR="0010674C" w:rsidRPr="00012A47" w:rsidRDefault="0010674C" w:rsidP="0010674C">
      <w:pPr>
        <w:pStyle w:val="NormalHanging12a"/>
        <w:rPr>
          <w:szCs w:val="24"/>
        </w:rPr>
      </w:pPr>
      <w:r w:rsidRPr="00012A47">
        <w:t>1.</w:t>
      </w:r>
      <w:r w:rsidRPr="00012A47">
        <w:tab/>
        <w:t xml:space="preserve">mano, kad </w:t>
      </w:r>
      <w:r w:rsidR="007C67D8">
        <w:t>Į</w:t>
      </w:r>
      <w:r w:rsidRPr="00012A47">
        <w:t>gyvendinimo sprendim</w:t>
      </w:r>
      <w:r w:rsidR="007C67D8">
        <w:t>as (ES) 2024/2628</w:t>
      </w:r>
      <w:r w:rsidRPr="00012A47">
        <w:t xml:space="preserve"> viršija Reglamente (EB) Nr. 1829/2003 numatytus įgyvendinimo įgaliojimus;</w:t>
      </w:r>
    </w:p>
    <w:p w:rsidR="0010674C" w:rsidRDefault="0010674C" w:rsidP="0010674C">
      <w:pPr>
        <w:pStyle w:val="NormalHanging12a"/>
      </w:pPr>
      <w:r w:rsidRPr="00012A47">
        <w:t>2.</w:t>
      </w:r>
      <w:r w:rsidRPr="00012A47">
        <w:tab/>
        <w:t xml:space="preserve">mano, kad </w:t>
      </w:r>
      <w:r w:rsidR="007C67D8">
        <w:t>Į</w:t>
      </w:r>
      <w:r w:rsidRPr="00012A47">
        <w:t>gyvendinimo sprendim</w:t>
      </w:r>
      <w:r w:rsidR="007C67D8">
        <w:t>as</w:t>
      </w:r>
      <w:r w:rsidRPr="00012A47">
        <w:t xml:space="preserve"> </w:t>
      </w:r>
      <w:r w:rsidR="007C67D8">
        <w:t xml:space="preserve">(ES) 2024/2628 </w:t>
      </w:r>
      <w:r w:rsidRPr="00012A47">
        <w:t>neatitinka Sąjungos teisės, nes jis nesuderinamas su Reglamento (EB) Nr. 1829/2003 tikslu, pagal kurį, remiantis Europos Parlamento ir Tarybos reglamente (EB) Nr. 178/2002 nustatytais bendraisiais principais</w:t>
      </w:r>
      <w:r w:rsidRPr="00012A47">
        <w:rPr>
          <w:rStyle w:val="FootnoteReference"/>
          <w:szCs w:val="24"/>
        </w:rPr>
        <w:footnoteReference w:id="18"/>
      </w:r>
      <w:r w:rsidRPr="00012A47">
        <w:t>, siekiama nustatyti pagrindą, leidžiantį užtikrinti aukštą žmonių gyvybės ir sveikatos, gyvūnų sveikatos ir gerovės, taip pat aplinkos ir vartotojų interesų apsaugos lygį, kalbant apie genetiškai modifikuotą maistą ir pašarus, kartu užtikrinant veiksmingą vidaus rinkos veikimą;</w:t>
      </w:r>
    </w:p>
    <w:p w:rsidR="00AB066E" w:rsidRPr="00AB066E" w:rsidRDefault="00AB066E" w:rsidP="0010674C">
      <w:pPr>
        <w:pStyle w:val="NormalHanging12a"/>
        <w:rPr>
          <w:szCs w:val="24"/>
        </w:rPr>
      </w:pPr>
      <w:r>
        <w:t>3</w:t>
      </w:r>
      <w:r w:rsidRPr="00324FA2">
        <w:t>.</w:t>
      </w:r>
      <w:r w:rsidRPr="00324FA2">
        <w:tab/>
        <w:t>ragina Komisiją derybose dėl laisvosios prekybos susitarimų užtikrinti Sąjungos ir jos partnerių standartų konvergenciją, kad būtų laikomasi Sąjungos saugos standartų;</w:t>
      </w:r>
    </w:p>
    <w:p w:rsidR="0010674C" w:rsidRPr="00012A47" w:rsidRDefault="00AB066E" w:rsidP="0010674C">
      <w:pPr>
        <w:pStyle w:val="NormalHanging12a"/>
        <w:rPr>
          <w:szCs w:val="24"/>
        </w:rPr>
      </w:pPr>
      <w:r>
        <w:t>4</w:t>
      </w:r>
      <w:r w:rsidR="0010674C" w:rsidRPr="00012A47">
        <w:t>.</w:t>
      </w:r>
      <w:r w:rsidR="0010674C" w:rsidRPr="00012A47">
        <w:tab/>
        <w:t xml:space="preserve">prašo Komisijos </w:t>
      </w:r>
      <w:r w:rsidR="007C67D8">
        <w:t>panaikinti</w:t>
      </w:r>
      <w:r w:rsidR="007C67D8" w:rsidRPr="00012A47">
        <w:t xml:space="preserve"> </w:t>
      </w:r>
      <w:r w:rsidR="007C67D8">
        <w:t>Į</w:t>
      </w:r>
      <w:r w:rsidR="0010674C" w:rsidRPr="00012A47">
        <w:t>gyvendinimo sprendim</w:t>
      </w:r>
      <w:r w:rsidR="007C67D8">
        <w:t>ą (ES) 2024/2628</w:t>
      </w:r>
      <w:r w:rsidR="0010674C" w:rsidRPr="00012A47">
        <w:t xml:space="preserve"> ir pateikti komitetui naują projektą;</w:t>
      </w:r>
    </w:p>
    <w:p w:rsidR="0010674C" w:rsidRPr="00012A47" w:rsidRDefault="00AB066E" w:rsidP="0010674C">
      <w:pPr>
        <w:pStyle w:val="NormalHanging12a"/>
        <w:rPr>
          <w:szCs w:val="24"/>
        </w:rPr>
      </w:pPr>
      <w:r>
        <w:t>5</w:t>
      </w:r>
      <w:r w:rsidR="0010674C" w:rsidRPr="00012A47">
        <w:t>.</w:t>
      </w:r>
      <w:r w:rsidR="0010674C" w:rsidRPr="00012A47">
        <w:tab/>
        <w:t>ragina Komisiją, vadovaujantis bendros sveikatos koncepcija, neleisti tiekti rinkai herbicidams atsparių genetiškai modifikuotų kultūrinių augalų, nes dėl to didėja papildomų herbicidų naudojimas, taigi didėja ir grėsmė biologinei įvairovei, maisto saugai ir darbuotojų sveikatai;</w:t>
      </w:r>
    </w:p>
    <w:p w:rsidR="0010674C" w:rsidRPr="00012A47" w:rsidRDefault="00AB066E" w:rsidP="0010674C">
      <w:pPr>
        <w:pStyle w:val="NormalHanging12a"/>
        <w:rPr>
          <w:szCs w:val="24"/>
        </w:rPr>
      </w:pPr>
      <w:r>
        <w:t>6</w:t>
      </w:r>
      <w:r w:rsidR="0010674C" w:rsidRPr="00012A47">
        <w:t>.</w:t>
      </w:r>
      <w:r w:rsidR="0010674C" w:rsidRPr="00012A47">
        <w:tab/>
        <w:t xml:space="preserve">šiuo atžvilgiu pabrėžia, kad leidimas maistui ar pašarams importuoti bet kokius genetiškai modifikuotus augalus, kurie buvo modifikuoti taip, kad taptų atsparūs Sąjungoje uždraustiems herbicidams, neatitinka Sąjungos tarptautinių įsipareigojimų pagal, be kita ko, JT DVT ir JT BĮK, įskaitant neseniai priimtą </w:t>
      </w:r>
      <w:proofErr w:type="spellStart"/>
      <w:r w:rsidR="0010674C" w:rsidRPr="00012A47">
        <w:t>Kunmingo</w:t>
      </w:r>
      <w:proofErr w:type="spellEnd"/>
      <w:r w:rsidR="0010674C" w:rsidRPr="00012A47">
        <w:t xml:space="preserve"> ir Monrealio strategiją</w:t>
      </w:r>
      <w:r w:rsidR="0010674C" w:rsidRPr="00012A47">
        <w:rPr>
          <w:rStyle w:val="FootnoteReference"/>
          <w:szCs w:val="24"/>
        </w:rPr>
        <w:footnoteReference w:id="19"/>
      </w:r>
      <w:r w:rsidR="0010674C" w:rsidRPr="00012A47">
        <w:t>;</w:t>
      </w:r>
    </w:p>
    <w:p w:rsidR="0010674C" w:rsidRPr="00012A47" w:rsidRDefault="00AB066E" w:rsidP="0010674C">
      <w:pPr>
        <w:pStyle w:val="NormalHanging12a"/>
        <w:rPr>
          <w:szCs w:val="24"/>
        </w:rPr>
      </w:pPr>
      <w:r>
        <w:t>7</w:t>
      </w:r>
      <w:r w:rsidR="0010674C" w:rsidRPr="00012A47">
        <w:t>.</w:t>
      </w:r>
      <w:r w:rsidR="0010674C" w:rsidRPr="00012A47">
        <w:tab/>
        <w:t>palankiai vertina tai, kad Komisija 2020 m. rugsėjo 11 d. laiške Parlamento nariams pagaliau pripažino, kad priimant sprendimus dėl GMO leidimų reikia atsižvelgti į tvarumą</w:t>
      </w:r>
      <w:r w:rsidR="0010674C" w:rsidRPr="00012A47">
        <w:rPr>
          <w:rStyle w:val="FootnoteReference"/>
          <w:szCs w:val="24"/>
        </w:rPr>
        <w:footnoteReference w:id="20"/>
      </w:r>
      <w:r w:rsidR="0010674C" w:rsidRPr="00012A47">
        <w:t>; vis dėlto reiškia didelį nusivylimą, kad nuo to laiko Komisija ir toliau suteikia leidimus į Sąjungą importuoti GMO, nepaisydama nuolatinių Parlamento ir daugumos valstybių narių, balsavusių prieš, prieštaravimų;</w:t>
      </w:r>
    </w:p>
    <w:p w:rsidR="0010674C" w:rsidRPr="00012A47" w:rsidRDefault="00AB066E" w:rsidP="0010674C">
      <w:pPr>
        <w:pStyle w:val="NormalHanging12a"/>
        <w:rPr>
          <w:szCs w:val="24"/>
        </w:rPr>
      </w:pPr>
      <w:r>
        <w:t>8</w:t>
      </w:r>
      <w:r w:rsidR="0010674C" w:rsidRPr="00012A47">
        <w:t>.</w:t>
      </w:r>
      <w:r w:rsidR="0010674C" w:rsidRPr="00012A47">
        <w:tab/>
        <w:t xml:space="preserve">dar kartą ragina Komisiją atsižvelgti į Sąjungos įsipareigojimus pagal tarptautinius susitarimus, kaip antai Paryžiaus klimato susitarimą ir JT BĮK bei Jungtinių Tautų </w:t>
      </w:r>
      <w:r w:rsidR="0010674C" w:rsidRPr="00012A47">
        <w:lastRenderedPageBreak/>
        <w:t>DVT; pakartoja savo raginimą prie įgyvendinimo aktų projektų pridėti aiškinamąjį memorandumą, kuriame būtų paaiškinta, kaip tuose aktuose laikomasi žalos nedarymo principo</w:t>
      </w:r>
      <w:r w:rsidR="0010674C" w:rsidRPr="00012A47">
        <w:rPr>
          <w:rStyle w:val="FootnoteReference"/>
          <w:szCs w:val="24"/>
        </w:rPr>
        <w:footnoteReference w:id="21"/>
      </w:r>
      <w:r w:rsidR="0010674C" w:rsidRPr="00012A47">
        <w:t xml:space="preserve">; </w:t>
      </w:r>
    </w:p>
    <w:p w:rsidR="00E365E1" w:rsidRPr="00012A47" w:rsidRDefault="00AB066E" w:rsidP="00632A94">
      <w:pPr>
        <w:pStyle w:val="NormalHanging12a"/>
      </w:pPr>
      <w:r>
        <w:t>9</w:t>
      </w:r>
      <w:r w:rsidR="0010674C" w:rsidRPr="00012A47">
        <w:t>.</w:t>
      </w:r>
      <w:r w:rsidR="0010674C" w:rsidRPr="00012A47">
        <w:tab/>
        <w:t>paveda Pirmininkei perduoti šią rezoliuciją Tarybai ir Komisijai bei valstybių narių vyriausybėms ir parlamentams.</w:t>
      </w:r>
    </w:p>
    <w:sectPr w:rsidR="00E365E1" w:rsidRPr="00012A47" w:rsidSect="00012A4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187" w:rsidRPr="00012A47" w:rsidRDefault="00530187">
      <w:r w:rsidRPr="00012A47">
        <w:separator/>
      </w:r>
    </w:p>
  </w:endnote>
  <w:endnote w:type="continuationSeparator" w:id="0">
    <w:p w:rsidR="00530187" w:rsidRPr="00012A47" w:rsidRDefault="00530187">
      <w:r w:rsidRPr="00012A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2A4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2A4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2A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187" w:rsidRPr="00012A47" w:rsidRDefault="00530187">
      <w:r w:rsidRPr="00012A47">
        <w:separator/>
      </w:r>
    </w:p>
  </w:footnote>
  <w:footnote w:type="continuationSeparator" w:id="0">
    <w:p w:rsidR="00530187" w:rsidRPr="00012A47" w:rsidRDefault="00530187">
      <w:r w:rsidRPr="00012A47">
        <w:continuationSeparator/>
      </w:r>
    </w:p>
  </w:footnote>
  <w:footnote w:id="1">
    <w:p w:rsidR="004F6675" w:rsidRPr="00632A94" w:rsidRDefault="004F6675" w:rsidP="00632A94">
      <w:pPr>
        <w:pStyle w:val="FootnoteText"/>
        <w:ind w:left="567" w:hanging="567"/>
        <w:rPr>
          <w:sz w:val="24"/>
          <w:szCs w:val="24"/>
          <w:lang w:val="lt-LT"/>
        </w:rPr>
      </w:pPr>
      <w:r w:rsidRPr="00632A94">
        <w:rPr>
          <w:rStyle w:val="FootnoteReference"/>
          <w:sz w:val="24"/>
          <w:szCs w:val="24"/>
        </w:rPr>
        <w:footnoteRef/>
      </w:r>
      <w:r w:rsidRPr="00632A94">
        <w:rPr>
          <w:sz w:val="24"/>
          <w:szCs w:val="24"/>
        </w:rPr>
        <w:t xml:space="preserve"> </w:t>
      </w:r>
      <w:r w:rsidRPr="00632A94">
        <w:rPr>
          <w:sz w:val="24"/>
          <w:szCs w:val="24"/>
          <w:lang w:val="lt-LT"/>
        </w:rPr>
        <w:tab/>
        <w:t>O</w:t>
      </w:r>
      <w:r>
        <w:rPr>
          <w:sz w:val="24"/>
          <w:szCs w:val="24"/>
          <w:lang w:val="lt-LT"/>
        </w:rPr>
        <w:t>L</w:t>
      </w:r>
      <w:r w:rsidRPr="004F6675">
        <w:rPr>
          <w:sz w:val="24"/>
          <w:szCs w:val="24"/>
          <w:lang w:val="lt-LT"/>
        </w:rPr>
        <w:t xml:space="preserve"> L, 2024/2628, </w:t>
      </w:r>
      <w:r w:rsidRPr="00632A94">
        <w:rPr>
          <w:sz w:val="24"/>
          <w:szCs w:val="24"/>
          <w:lang w:val="lt-LT"/>
        </w:rPr>
        <w:t>2024</w:t>
      </w:r>
      <w:r w:rsidRPr="00012A47">
        <w:rPr>
          <w:sz w:val="24"/>
          <w:lang w:val="lt-LT"/>
        </w:rPr>
        <w:t> </w:t>
      </w:r>
      <w:r>
        <w:rPr>
          <w:sz w:val="24"/>
          <w:lang w:val="lt-LT"/>
        </w:rPr>
        <w:t>10</w:t>
      </w:r>
      <w:r w:rsidRPr="00012A47">
        <w:rPr>
          <w:sz w:val="24"/>
          <w:lang w:val="lt-LT"/>
        </w:rPr>
        <w:t> </w:t>
      </w:r>
      <w:r>
        <w:rPr>
          <w:sz w:val="24"/>
          <w:lang w:val="lt-LT"/>
        </w:rPr>
        <w:t>10</w:t>
      </w:r>
      <w:r w:rsidRPr="00632A94">
        <w:rPr>
          <w:sz w:val="24"/>
          <w:szCs w:val="24"/>
          <w:lang w:val="lt-LT"/>
        </w:rPr>
        <w:t xml:space="preserve">, ELI: </w:t>
      </w:r>
      <w:hyperlink r:id="rId1" w:history="1">
        <w:r w:rsidRPr="00632A94">
          <w:rPr>
            <w:rStyle w:val="Hyperlink"/>
            <w:sz w:val="24"/>
            <w:szCs w:val="24"/>
            <w:lang w:val="lt-LT"/>
          </w:rPr>
          <w:t>http://data.europa.eu/eli/dec_impl/2024/2628/oj</w:t>
        </w:r>
      </w:hyperlink>
      <w:r w:rsidRPr="00632A94">
        <w:rPr>
          <w:sz w:val="24"/>
          <w:szCs w:val="24"/>
          <w:lang w:val="lt-LT"/>
        </w:rPr>
        <w:t>.</w:t>
      </w:r>
    </w:p>
  </w:footnote>
  <w:footnote w:id="2">
    <w:p w:rsidR="0010674C" w:rsidRPr="00012A47" w:rsidRDefault="0010674C" w:rsidP="00012A47">
      <w:pPr>
        <w:pStyle w:val="FootnoteText"/>
        <w:ind w:left="567" w:hanging="567"/>
        <w:rPr>
          <w:sz w:val="24"/>
          <w:lang w:val="lt-LT"/>
        </w:rPr>
      </w:pPr>
      <w:r w:rsidRPr="00012A47">
        <w:rPr>
          <w:rStyle w:val="FootnoteReference"/>
          <w:sz w:val="24"/>
          <w:lang w:val="lt-LT"/>
        </w:rPr>
        <w:footnoteRef/>
      </w:r>
      <w:r w:rsidR="00012A47" w:rsidRPr="00012A47">
        <w:rPr>
          <w:sz w:val="24"/>
          <w:lang w:val="lt-LT"/>
        </w:rPr>
        <w:t xml:space="preserve"> </w:t>
      </w:r>
      <w:r w:rsidR="00012A47" w:rsidRPr="00012A47">
        <w:rPr>
          <w:sz w:val="24"/>
          <w:lang w:val="lt-LT"/>
        </w:rPr>
        <w:tab/>
      </w:r>
      <w:r w:rsidRPr="00012A47">
        <w:rPr>
          <w:sz w:val="24"/>
          <w:lang w:val="lt-LT"/>
        </w:rPr>
        <w:t>OL L 268, 2003 10 18, p. 1, ELI: </w:t>
      </w:r>
      <w:hyperlink r:id="rId2" w:tooltip="Prieiga prie šio dokumento per jo ELI nuorodą." w:history="1">
        <w:r w:rsidRPr="00012A47">
          <w:rPr>
            <w:rStyle w:val="Hyperlink"/>
            <w:sz w:val="24"/>
            <w:lang w:val="lt-LT"/>
          </w:rPr>
          <w:t>http://data.europa.eu/eli/reg/2003/1829/oj</w:t>
        </w:r>
      </w:hyperlink>
      <w:r w:rsidRPr="00012A47">
        <w:rPr>
          <w:sz w:val="24"/>
          <w:lang w:val="lt-LT"/>
        </w:rPr>
        <w:t>.</w:t>
      </w:r>
    </w:p>
  </w:footnote>
  <w:footnote w:id="3">
    <w:p w:rsidR="0010674C" w:rsidRPr="00012A47" w:rsidRDefault="0010674C" w:rsidP="00012A47">
      <w:pPr>
        <w:pStyle w:val="FootnoteText"/>
        <w:ind w:left="567" w:hanging="567"/>
        <w:rPr>
          <w:sz w:val="24"/>
          <w:lang w:val="lt-LT"/>
        </w:rPr>
      </w:pPr>
      <w:r w:rsidRPr="00012A47">
        <w:rPr>
          <w:rStyle w:val="FootnoteReference"/>
          <w:sz w:val="24"/>
          <w:lang w:val="lt-LT"/>
        </w:rPr>
        <w:footnoteRef/>
      </w:r>
      <w:r w:rsidR="00012A47" w:rsidRPr="00012A47">
        <w:rPr>
          <w:sz w:val="24"/>
          <w:lang w:val="lt-LT"/>
        </w:rPr>
        <w:t xml:space="preserve"> </w:t>
      </w:r>
      <w:r w:rsidR="00012A47" w:rsidRPr="00012A47">
        <w:rPr>
          <w:sz w:val="24"/>
          <w:lang w:val="lt-LT"/>
        </w:rPr>
        <w:tab/>
      </w:r>
      <w:r w:rsidRPr="00012A47">
        <w:rPr>
          <w:sz w:val="24"/>
          <w:lang w:val="lt-LT"/>
        </w:rPr>
        <w:t>OL L 55, 2011 2 28, p. 13, ELI: </w:t>
      </w:r>
      <w:hyperlink r:id="rId3" w:tooltip="Prieiga prie šio dokumento per jo ELI nuorodą." w:history="1">
        <w:r w:rsidRPr="00012A47">
          <w:rPr>
            <w:rStyle w:val="Hyperlink"/>
            <w:sz w:val="24"/>
            <w:lang w:val="lt-LT"/>
          </w:rPr>
          <w:t>http://data.europa.eu/eli/reg/2011/182/oj</w:t>
        </w:r>
      </w:hyperlink>
      <w:r w:rsidRPr="00012A47">
        <w:rPr>
          <w:sz w:val="24"/>
          <w:lang w:val="lt-LT"/>
        </w:rPr>
        <w:t>.</w:t>
      </w:r>
    </w:p>
  </w:footnote>
  <w:footnote w:id="4">
    <w:p w:rsidR="0010674C" w:rsidRPr="00012A47" w:rsidRDefault="0010674C" w:rsidP="00012A47">
      <w:pPr>
        <w:pStyle w:val="FootnoteText"/>
        <w:ind w:left="567" w:hanging="567"/>
        <w:rPr>
          <w:sz w:val="24"/>
          <w:lang w:val="lt-LT"/>
        </w:rPr>
      </w:pPr>
      <w:r w:rsidRPr="00012A47">
        <w:rPr>
          <w:rStyle w:val="FootnoteReference"/>
          <w:sz w:val="24"/>
          <w:lang w:val="lt-LT"/>
        </w:rPr>
        <w:footnoteRef/>
      </w:r>
      <w:r w:rsidR="00012A47" w:rsidRPr="00012A47">
        <w:rPr>
          <w:sz w:val="24"/>
          <w:lang w:val="lt-LT"/>
        </w:rPr>
        <w:t xml:space="preserve"> </w:t>
      </w:r>
      <w:r w:rsidR="00012A47" w:rsidRPr="00012A47">
        <w:rPr>
          <w:sz w:val="24"/>
          <w:lang w:val="lt-LT"/>
        </w:rPr>
        <w:tab/>
      </w:r>
      <w:r w:rsidRPr="00012A47">
        <w:rPr>
          <w:sz w:val="24"/>
          <w:lang w:val="lt-LT"/>
        </w:rPr>
        <w:t xml:space="preserve">EFSA genetiškai modifikuotų organizmų specialistų grupės mokslinė nuomonė dėl genetiškai modifikuotų kukurūzų MON 1507 leidimo pratęsimo vertinimo pagal Reglamentą (EB) Nr. 1829/2003 (paraiška GMFF-2022-3670), EFSA leidinys 2024; 22(4):8716, </w:t>
      </w:r>
      <w:hyperlink r:id="rId4" w:history="1">
        <w:r w:rsidRPr="00012A47">
          <w:rPr>
            <w:rStyle w:val="Hyperlink"/>
            <w:sz w:val="24"/>
            <w:lang w:val="lt-LT"/>
          </w:rPr>
          <w:t>https://doi.org/10.2903/j.efsa.2024.8716</w:t>
        </w:r>
      </w:hyperlink>
      <w:r w:rsidRPr="00012A47">
        <w:rPr>
          <w:sz w:val="24"/>
          <w:lang w:val="lt-LT"/>
        </w:rPr>
        <w:t>.</w:t>
      </w:r>
    </w:p>
  </w:footnote>
  <w:footnote w:id="5">
    <w:p w:rsidR="0010674C" w:rsidRPr="00012A47" w:rsidRDefault="0010674C" w:rsidP="00012A47">
      <w:pPr>
        <w:pStyle w:val="FootnoteText"/>
        <w:ind w:left="567" w:hanging="567"/>
        <w:rPr>
          <w:sz w:val="24"/>
          <w:lang w:val="lt-LT"/>
        </w:rPr>
      </w:pPr>
      <w:r w:rsidRPr="00012A47">
        <w:rPr>
          <w:rStyle w:val="FootnoteReference"/>
          <w:sz w:val="24"/>
          <w:lang w:val="lt-LT"/>
        </w:rPr>
        <w:footnoteRef/>
      </w:r>
      <w:r w:rsidR="00012A47" w:rsidRPr="00012A47">
        <w:rPr>
          <w:sz w:val="24"/>
          <w:lang w:val="lt-LT"/>
        </w:rPr>
        <w:t xml:space="preserve"> </w:t>
      </w:r>
      <w:r w:rsidR="00012A47" w:rsidRPr="00012A47">
        <w:rPr>
          <w:sz w:val="24"/>
          <w:lang w:val="lt-LT"/>
        </w:rPr>
        <w:tab/>
      </w:r>
      <w:r w:rsidRPr="00012A47">
        <w:rPr>
          <w:sz w:val="24"/>
          <w:lang w:val="lt-LT"/>
        </w:rPr>
        <w:t>Per aštuntąją kadenciją Parlamentas priėmė 36 rezoliucijas, o per devintąją kadenciją – 38 rezoliucijas, kuriose prieštaraujama leidimui naudoti GMO.</w:t>
      </w:r>
    </w:p>
  </w:footnote>
  <w:footnote w:id="6">
    <w:p w:rsidR="0010674C" w:rsidRPr="00012A47" w:rsidRDefault="0010674C" w:rsidP="00012A47">
      <w:pPr>
        <w:pStyle w:val="FootnoteText"/>
        <w:ind w:left="567" w:hanging="567"/>
        <w:rPr>
          <w:sz w:val="24"/>
          <w:lang w:val="lt-LT"/>
        </w:rPr>
      </w:pPr>
      <w:r w:rsidRPr="00012A47">
        <w:rPr>
          <w:rStyle w:val="FootnoteReference"/>
          <w:sz w:val="24"/>
          <w:lang w:val="lt-LT"/>
        </w:rPr>
        <w:footnoteRef/>
      </w:r>
      <w:r w:rsidR="00012A47" w:rsidRPr="00012A47">
        <w:rPr>
          <w:sz w:val="24"/>
          <w:lang w:val="lt-LT"/>
        </w:rPr>
        <w:t xml:space="preserve"> </w:t>
      </w:r>
      <w:r w:rsidR="00012A47" w:rsidRPr="00012A47">
        <w:rPr>
          <w:sz w:val="24"/>
          <w:lang w:val="lt-LT"/>
        </w:rPr>
        <w:tab/>
      </w:r>
      <w:r w:rsidRPr="00012A47">
        <w:rPr>
          <w:sz w:val="24"/>
          <w:lang w:val="lt-LT"/>
        </w:rPr>
        <w:t xml:space="preserve">2013 m. balandžio 3 d. Komisijos įgyvendinimo reglamentas (ES) Nr. 503/2013 dėl paraiškų genetiškai modifikuotų maisto produktų ir pašarų leidimams gauti pagal Europos Parlamento ir Tarybos reglamentą (EB) Nr. 1829/2003 ir iš dalies jį keičiančius Komisijos reglamentą (EB) Nr. 641/2004 ir Komisijos reglamentą (EB) Nr. 1981/2006 (OL L 157, 2013 6 8, p. 1, ELI: </w:t>
      </w:r>
      <w:hyperlink r:id="rId5" w:tooltip="Prieiga prie šio dokumento per jo ELI nuorodą." w:history="1">
        <w:r w:rsidRPr="00012A47">
          <w:rPr>
            <w:rStyle w:val="Hyperlink"/>
            <w:sz w:val="24"/>
            <w:lang w:val="lt-LT"/>
          </w:rPr>
          <w:t>http://data.europa.eu/eli/reg_impl/2013/503/oj</w:t>
        </w:r>
      </w:hyperlink>
      <w:r w:rsidRPr="00012A47">
        <w:rPr>
          <w:sz w:val="24"/>
          <w:lang w:val="lt-LT"/>
        </w:rPr>
        <w:t>).</w:t>
      </w:r>
    </w:p>
  </w:footnote>
  <w:footnote w:id="7">
    <w:p w:rsidR="0010674C" w:rsidRPr="00012A47" w:rsidRDefault="0010674C" w:rsidP="00012A47">
      <w:pPr>
        <w:pStyle w:val="FootnoteText"/>
        <w:ind w:left="567" w:hanging="567"/>
        <w:rPr>
          <w:sz w:val="24"/>
          <w:lang w:val="lt-LT"/>
        </w:rPr>
      </w:pPr>
      <w:r w:rsidRPr="00012A47">
        <w:rPr>
          <w:rStyle w:val="FootnoteReference"/>
          <w:sz w:val="24"/>
          <w:lang w:val="lt-LT"/>
        </w:rPr>
        <w:footnoteRef/>
      </w:r>
      <w:r w:rsidR="00012A47" w:rsidRPr="00012A47">
        <w:rPr>
          <w:sz w:val="24"/>
          <w:lang w:val="lt-LT"/>
        </w:rPr>
        <w:t xml:space="preserve"> </w:t>
      </w:r>
      <w:r w:rsidR="00012A47" w:rsidRPr="00012A47">
        <w:rPr>
          <w:sz w:val="24"/>
          <w:lang w:val="lt-LT"/>
        </w:rPr>
        <w:tab/>
      </w:r>
      <w:r w:rsidRPr="00012A47">
        <w:rPr>
          <w:sz w:val="24"/>
          <w:lang w:val="lt-LT"/>
        </w:rPr>
        <w:t>Žr., pvz., R. </w:t>
      </w:r>
      <w:proofErr w:type="spellStart"/>
      <w:r w:rsidRPr="00012A47">
        <w:rPr>
          <w:sz w:val="24"/>
          <w:lang w:val="lt-LT"/>
        </w:rPr>
        <w:t>Schulz</w:t>
      </w:r>
      <w:proofErr w:type="spellEnd"/>
      <w:r w:rsidRPr="00012A47">
        <w:rPr>
          <w:sz w:val="24"/>
          <w:lang w:val="lt-LT"/>
        </w:rPr>
        <w:t>, S. </w:t>
      </w:r>
      <w:proofErr w:type="spellStart"/>
      <w:r w:rsidRPr="00012A47">
        <w:rPr>
          <w:sz w:val="24"/>
          <w:lang w:val="lt-LT"/>
        </w:rPr>
        <w:t>Bub</w:t>
      </w:r>
      <w:proofErr w:type="spellEnd"/>
      <w:r w:rsidRPr="00012A47">
        <w:rPr>
          <w:sz w:val="24"/>
          <w:lang w:val="lt-LT"/>
        </w:rPr>
        <w:t>, L. L. </w:t>
      </w:r>
      <w:proofErr w:type="spellStart"/>
      <w:r w:rsidRPr="00012A47">
        <w:rPr>
          <w:sz w:val="24"/>
          <w:lang w:val="lt-LT"/>
        </w:rPr>
        <w:t>Petschick</w:t>
      </w:r>
      <w:proofErr w:type="spellEnd"/>
      <w:r w:rsidRPr="00012A47">
        <w:rPr>
          <w:sz w:val="24"/>
          <w:lang w:val="lt-LT"/>
        </w:rPr>
        <w:t>, S. </w:t>
      </w:r>
      <w:proofErr w:type="spellStart"/>
      <w:r w:rsidRPr="00012A47">
        <w:rPr>
          <w:sz w:val="24"/>
          <w:lang w:val="lt-LT"/>
        </w:rPr>
        <w:t>Stehle</w:t>
      </w:r>
      <w:proofErr w:type="spellEnd"/>
      <w:r w:rsidRPr="00012A47">
        <w:rPr>
          <w:sz w:val="24"/>
          <w:lang w:val="lt-LT"/>
        </w:rPr>
        <w:t>, J. </w:t>
      </w:r>
      <w:proofErr w:type="spellStart"/>
      <w:r w:rsidRPr="00012A47">
        <w:rPr>
          <w:sz w:val="24"/>
          <w:lang w:val="lt-LT"/>
        </w:rPr>
        <w:t>Wolfram</w:t>
      </w:r>
      <w:proofErr w:type="spellEnd"/>
      <w:r w:rsidRPr="00012A47">
        <w:rPr>
          <w:sz w:val="24"/>
          <w:lang w:val="lt-LT"/>
        </w:rPr>
        <w:t>, (2021) „</w:t>
      </w:r>
      <w:proofErr w:type="spellStart"/>
      <w:r w:rsidRPr="00012A47">
        <w:rPr>
          <w:sz w:val="24"/>
          <w:lang w:val="lt-LT"/>
        </w:rPr>
        <w:t>Applied</w:t>
      </w:r>
      <w:proofErr w:type="spellEnd"/>
      <w:r w:rsidRPr="00012A47">
        <w:rPr>
          <w:sz w:val="24"/>
          <w:lang w:val="lt-LT"/>
        </w:rPr>
        <w:t xml:space="preserve"> pesticide </w:t>
      </w:r>
      <w:proofErr w:type="spellStart"/>
      <w:r w:rsidRPr="00012A47">
        <w:rPr>
          <w:sz w:val="24"/>
          <w:lang w:val="lt-LT"/>
        </w:rPr>
        <w:t>toxicity</w:t>
      </w:r>
      <w:proofErr w:type="spellEnd"/>
      <w:r w:rsidRPr="00012A47">
        <w:rPr>
          <w:sz w:val="24"/>
          <w:lang w:val="lt-LT"/>
        </w:rPr>
        <w:t xml:space="preserve"> </w:t>
      </w:r>
      <w:proofErr w:type="spellStart"/>
      <w:r w:rsidRPr="00012A47">
        <w:rPr>
          <w:sz w:val="24"/>
          <w:lang w:val="lt-LT"/>
        </w:rPr>
        <w:t>shifts</w:t>
      </w:r>
      <w:proofErr w:type="spellEnd"/>
      <w:r w:rsidRPr="00012A47">
        <w:rPr>
          <w:sz w:val="24"/>
          <w:lang w:val="lt-LT"/>
        </w:rPr>
        <w:t xml:space="preserve"> </w:t>
      </w:r>
      <w:proofErr w:type="spellStart"/>
      <w:r w:rsidRPr="00012A47">
        <w:rPr>
          <w:sz w:val="24"/>
          <w:lang w:val="lt-LT"/>
        </w:rPr>
        <w:t>toward</w:t>
      </w:r>
      <w:proofErr w:type="spellEnd"/>
      <w:r w:rsidRPr="00012A47">
        <w:rPr>
          <w:sz w:val="24"/>
          <w:lang w:val="lt-LT"/>
        </w:rPr>
        <w:t xml:space="preserve"> </w:t>
      </w:r>
      <w:proofErr w:type="spellStart"/>
      <w:r w:rsidRPr="00012A47">
        <w:rPr>
          <w:sz w:val="24"/>
          <w:lang w:val="lt-LT"/>
        </w:rPr>
        <w:t>plants</w:t>
      </w:r>
      <w:proofErr w:type="spellEnd"/>
      <w:r w:rsidRPr="00012A47">
        <w:rPr>
          <w:sz w:val="24"/>
          <w:lang w:val="lt-LT"/>
        </w:rPr>
        <w:t xml:space="preserve"> </w:t>
      </w:r>
      <w:proofErr w:type="spellStart"/>
      <w:r w:rsidRPr="00012A47">
        <w:rPr>
          <w:sz w:val="24"/>
          <w:lang w:val="lt-LT"/>
        </w:rPr>
        <w:t>and</w:t>
      </w:r>
      <w:proofErr w:type="spellEnd"/>
      <w:r w:rsidRPr="00012A47">
        <w:rPr>
          <w:sz w:val="24"/>
          <w:lang w:val="lt-LT"/>
        </w:rPr>
        <w:t xml:space="preserve"> </w:t>
      </w:r>
      <w:proofErr w:type="spellStart"/>
      <w:r w:rsidRPr="00012A47">
        <w:rPr>
          <w:sz w:val="24"/>
          <w:lang w:val="lt-LT"/>
        </w:rPr>
        <w:t>invertebrates</w:t>
      </w:r>
      <w:proofErr w:type="spellEnd"/>
      <w:r w:rsidRPr="00012A47">
        <w:rPr>
          <w:sz w:val="24"/>
          <w:lang w:val="lt-LT"/>
        </w:rPr>
        <w:t xml:space="preserve">, </w:t>
      </w:r>
      <w:proofErr w:type="spellStart"/>
      <w:r w:rsidRPr="00012A47">
        <w:rPr>
          <w:sz w:val="24"/>
          <w:lang w:val="lt-LT"/>
        </w:rPr>
        <w:t>even</w:t>
      </w:r>
      <w:proofErr w:type="spellEnd"/>
      <w:r w:rsidRPr="00012A47">
        <w:rPr>
          <w:sz w:val="24"/>
          <w:lang w:val="lt-LT"/>
        </w:rPr>
        <w:t xml:space="preserve"> </w:t>
      </w:r>
      <w:proofErr w:type="spellStart"/>
      <w:r w:rsidRPr="00012A47">
        <w:rPr>
          <w:sz w:val="24"/>
          <w:lang w:val="lt-LT"/>
        </w:rPr>
        <w:t>in</w:t>
      </w:r>
      <w:proofErr w:type="spellEnd"/>
      <w:r w:rsidRPr="00012A47">
        <w:rPr>
          <w:sz w:val="24"/>
          <w:lang w:val="lt-LT"/>
        </w:rPr>
        <w:t xml:space="preserve"> GM </w:t>
      </w:r>
      <w:proofErr w:type="spellStart"/>
      <w:r w:rsidRPr="00012A47">
        <w:rPr>
          <w:sz w:val="24"/>
          <w:lang w:val="lt-LT"/>
        </w:rPr>
        <w:t>crops</w:t>
      </w:r>
      <w:proofErr w:type="spellEnd"/>
      <w:r w:rsidRPr="00012A47">
        <w:rPr>
          <w:sz w:val="24"/>
          <w:lang w:val="lt-LT"/>
        </w:rPr>
        <w:t xml:space="preserve">“, </w:t>
      </w:r>
      <w:proofErr w:type="spellStart"/>
      <w:r w:rsidRPr="00012A47">
        <w:rPr>
          <w:sz w:val="24"/>
          <w:lang w:val="lt-LT"/>
        </w:rPr>
        <w:t>Science</w:t>
      </w:r>
      <w:proofErr w:type="spellEnd"/>
      <w:r w:rsidRPr="00012A47">
        <w:rPr>
          <w:sz w:val="24"/>
          <w:lang w:val="lt-LT"/>
        </w:rPr>
        <w:t xml:space="preserve"> 372(6537), p. 81–84, </w:t>
      </w:r>
      <w:hyperlink r:id="rId6" w:history="1">
        <w:r w:rsidRPr="00012A47">
          <w:rPr>
            <w:rStyle w:val="Hyperlink"/>
            <w:sz w:val="24"/>
            <w:lang w:val="lt-LT"/>
          </w:rPr>
          <w:t>https://doi.org/10.1126/science.abe1148</w:t>
        </w:r>
      </w:hyperlink>
      <w:r w:rsidRPr="00012A47">
        <w:rPr>
          <w:sz w:val="24"/>
          <w:lang w:val="lt-LT"/>
        </w:rPr>
        <w:t xml:space="preserve">; </w:t>
      </w:r>
      <w:proofErr w:type="spellStart"/>
      <w:r w:rsidRPr="00012A47">
        <w:rPr>
          <w:sz w:val="24"/>
          <w:lang w:val="lt-LT"/>
        </w:rPr>
        <w:t>Bonny</w:t>
      </w:r>
      <w:proofErr w:type="spellEnd"/>
      <w:r w:rsidRPr="00012A47">
        <w:rPr>
          <w:sz w:val="24"/>
          <w:lang w:val="lt-LT"/>
        </w:rPr>
        <w:t>, S., „</w:t>
      </w:r>
      <w:proofErr w:type="spellStart"/>
      <w:r w:rsidRPr="00012A47">
        <w:rPr>
          <w:sz w:val="24"/>
          <w:lang w:val="lt-LT"/>
        </w:rPr>
        <w:t>Genetically</w:t>
      </w:r>
      <w:proofErr w:type="spellEnd"/>
      <w:r w:rsidRPr="00012A47">
        <w:rPr>
          <w:sz w:val="24"/>
          <w:lang w:val="lt-LT"/>
        </w:rPr>
        <w:t xml:space="preserve"> </w:t>
      </w:r>
      <w:proofErr w:type="spellStart"/>
      <w:r w:rsidRPr="00012A47">
        <w:rPr>
          <w:sz w:val="24"/>
          <w:lang w:val="lt-LT"/>
        </w:rPr>
        <w:t>Modified</w:t>
      </w:r>
      <w:proofErr w:type="spellEnd"/>
      <w:r w:rsidRPr="00012A47">
        <w:rPr>
          <w:sz w:val="24"/>
          <w:lang w:val="lt-LT"/>
        </w:rPr>
        <w:t xml:space="preserve"> Herbicide-</w:t>
      </w:r>
      <w:proofErr w:type="spellStart"/>
      <w:r w:rsidRPr="00012A47">
        <w:rPr>
          <w:sz w:val="24"/>
          <w:lang w:val="lt-LT"/>
        </w:rPr>
        <w:t>Tolerant</w:t>
      </w:r>
      <w:proofErr w:type="spellEnd"/>
      <w:r w:rsidRPr="00012A47">
        <w:rPr>
          <w:sz w:val="24"/>
          <w:lang w:val="lt-LT"/>
        </w:rPr>
        <w:t xml:space="preserve"> </w:t>
      </w:r>
      <w:proofErr w:type="spellStart"/>
      <w:r w:rsidRPr="00012A47">
        <w:rPr>
          <w:sz w:val="24"/>
          <w:lang w:val="lt-LT"/>
        </w:rPr>
        <w:t>Crops</w:t>
      </w:r>
      <w:proofErr w:type="spellEnd"/>
      <w:r w:rsidRPr="00012A47">
        <w:rPr>
          <w:sz w:val="24"/>
          <w:lang w:val="lt-LT"/>
        </w:rPr>
        <w:t xml:space="preserve">, </w:t>
      </w:r>
      <w:proofErr w:type="spellStart"/>
      <w:r w:rsidRPr="00012A47">
        <w:rPr>
          <w:sz w:val="24"/>
          <w:lang w:val="lt-LT"/>
        </w:rPr>
        <w:t>Weeds</w:t>
      </w:r>
      <w:proofErr w:type="spellEnd"/>
      <w:r w:rsidRPr="00012A47">
        <w:rPr>
          <w:sz w:val="24"/>
          <w:lang w:val="lt-LT"/>
        </w:rPr>
        <w:t xml:space="preserve">, </w:t>
      </w:r>
      <w:proofErr w:type="spellStart"/>
      <w:r w:rsidRPr="00012A47">
        <w:rPr>
          <w:sz w:val="24"/>
          <w:lang w:val="lt-LT"/>
        </w:rPr>
        <w:t>and</w:t>
      </w:r>
      <w:proofErr w:type="spellEnd"/>
      <w:r w:rsidRPr="00012A47">
        <w:rPr>
          <w:sz w:val="24"/>
          <w:lang w:val="lt-LT"/>
        </w:rPr>
        <w:t xml:space="preserve"> </w:t>
      </w:r>
      <w:proofErr w:type="spellStart"/>
      <w:r w:rsidRPr="00012A47">
        <w:rPr>
          <w:sz w:val="24"/>
          <w:lang w:val="lt-LT"/>
        </w:rPr>
        <w:t>Herbicides</w:t>
      </w:r>
      <w:proofErr w:type="spellEnd"/>
      <w:r w:rsidRPr="00012A47">
        <w:rPr>
          <w:sz w:val="24"/>
          <w:lang w:val="lt-LT"/>
        </w:rPr>
        <w:t xml:space="preserve">: </w:t>
      </w:r>
      <w:proofErr w:type="spellStart"/>
      <w:r w:rsidRPr="00012A47">
        <w:rPr>
          <w:sz w:val="24"/>
          <w:lang w:val="lt-LT"/>
        </w:rPr>
        <w:t>Overview</w:t>
      </w:r>
      <w:proofErr w:type="spellEnd"/>
      <w:r w:rsidRPr="00012A47">
        <w:rPr>
          <w:sz w:val="24"/>
          <w:lang w:val="lt-LT"/>
        </w:rPr>
        <w:t xml:space="preserve"> </w:t>
      </w:r>
      <w:proofErr w:type="spellStart"/>
      <w:r w:rsidRPr="00012A47">
        <w:rPr>
          <w:sz w:val="24"/>
          <w:lang w:val="lt-LT"/>
        </w:rPr>
        <w:t>and</w:t>
      </w:r>
      <w:proofErr w:type="spellEnd"/>
      <w:r w:rsidRPr="00012A47">
        <w:rPr>
          <w:sz w:val="24"/>
          <w:lang w:val="lt-LT"/>
        </w:rPr>
        <w:t xml:space="preserve"> </w:t>
      </w:r>
      <w:proofErr w:type="spellStart"/>
      <w:r w:rsidRPr="00012A47">
        <w:rPr>
          <w:sz w:val="24"/>
          <w:lang w:val="lt-LT"/>
        </w:rPr>
        <w:t>Impact</w:t>
      </w:r>
      <w:proofErr w:type="spellEnd"/>
      <w:r w:rsidRPr="00012A47">
        <w:rPr>
          <w:sz w:val="24"/>
          <w:lang w:val="lt-LT"/>
        </w:rPr>
        <w:t xml:space="preserve">“, </w:t>
      </w:r>
      <w:proofErr w:type="spellStart"/>
      <w:r w:rsidRPr="00012A47">
        <w:rPr>
          <w:sz w:val="24"/>
          <w:lang w:val="lt-LT"/>
        </w:rPr>
        <w:t>Environmental</w:t>
      </w:r>
      <w:proofErr w:type="spellEnd"/>
      <w:r w:rsidRPr="00012A47">
        <w:rPr>
          <w:sz w:val="24"/>
          <w:lang w:val="lt-LT"/>
        </w:rPr>
        <w:t xml:space="preserve"> Management, 2016 m. sausis, 57(1), p. 31–48, </w:t>
      </w:r>
      <w:hyperlink r:id="rId7" w:history="1">
        <w:r w:rsidRPr="00012A47">
          <w:rPr>
            <w:rStyle w:val="Hyperlink"/>
            <w:sz w:val="24"/>
            <w:lang w:val="lt-LT"/>
          </w:rPr>
          <w:t>https://www.ncbi.nlm.nih.gov/pubmed/26296738</w:t>
        </w:r>
      </w:hyperlink>
      <w:r w:rsidRPr="00012A47">
        <w:rPr>
          <w:rStyle w:val="Hyperlink"/>
          <w:sz w:val="24"/>
          <w:lang w:val="lt-LT"/>
        </w:rPr>
        <w:t>;</w:t>
      </w:r>
      <w:r w:rsidRPr="00012A47">
        <w:rPr>
          <w:sz w:val="24"/>
          <w:lang w:val="lt-LT"/>
        </w:rPr>
        <w:t xml:space="preserve"> </w:t>
      </w:r>
      <w:proofErr w:type="spellStart"/>
      <w:r w:rsidRPr="00012A47">
        <w:rPr>
          <w:sz w:val="24"/>
          <w:lang w:val="lt-LT"/>
        </w:rPr>
        <w:t>Benbrook</w:t>
      </w:r>
      <w:proofErr w:type="spellEnd"/>
      <w:r w:rsidRPr="00012A47">
        <w:rPr>
          <w:sz w:val="24"/>
          <w:lang w:val="lt-LT"/>
        </w:rPr>
        <w:t>, C. M., „</w:t>
      </w:r>
      <w:proofErr w:type="spellStart"/>
      <w:r w:rsidRPr="00012A47">
        <w:rPr>
          <w:sz w:val="24"/>
          <w:lang w:val="lt-LT"/>
        </w:rPr>
        <w:t>Impacts</w:t>
      </w:r>
      <w:proofErr w:type="spellEnd"/>
      <w:r w:rsidRPr="00012A47">
        <w:rPr>
          <w:sz w:val="24"/>
          <w:lang w:val="lt-LT"/>
        </w:rPr>
        <w:t xml:space="preserve"> </w:t>
      </w:r>
      <w:proofErr w:type="spellStart"/>
      <w:r w:rsidRPr="00012A47">
        <w:rPr>
          <w:sz w:val="24"/>
          <w:lang w:val="lt-LT"/>
        </w:rPr>
        <w:t>of</w:t>
      </w:r>
      <w:proofErr w:type="spellEnd"/>
      <w:r w:rsidRPr="00012A47">
        <w:rPr>
          <w:sz w:val="24"/>
          <w:lang w:val="lt-LT"/>
        </w:rPr>
        <w:t xml:space="preserve"> </w:t>
      </w:r>
      <w:proofErr w:type="spellStart"/>
      <w:r w:rsidRPr="00012A47">
        <w:rPr>
          <w:sz w:val="24"/>
          <w:lang w:val="lt-LT"/>
        </w:rPr>
        <w:t>genetically</w:t>
      </w:r>
      <w:proofErr w:type="spellEnd"/>
      <w:r w:rsidRPr="00012A47">
        <w:rPr>
          <w:sz w:val="24"/>
          <w:lang w:val="lt-LT"/>
        </w:rPr>
        <w:t xml:space="preserve"> </w:t>
      </w:r>
      <w:proofErr w:type="spellStart"/>
      <w:r w:rsidRPr="00012A47">
        <w:rPr>
          <w:sz w:val="24"/>
          <w:lang w:val="lt-LT"/>
        </w:rPr>
        <w:t>engineered</w:t>
      </w:r>
      <w:proofErr w:type="spellEnd"/>
      <w:r w:rsidRPr="00012A47">
        <w:rPr>
          <w:sz w:val="24"/>
          <w:lang w:val="lt-LT"/>
        </w:rPr>
        <w:t xml:space="preserve"> </w:t>
      </w:r>
      <w:proofErr w:type="spellStart"/>
      <w:r w:rsidRPr="00012A47">
        <w:rPr>
          <w:sz w:val="24"/>
          <w:lang w:val="lt-LT"/>
        </w:rPr>
        <w:t>crops</w:t>
      </w:r>
      <w:proofErr w:type="spellEnd"/>
      <w:r w:rsidRPr="00012A47">
        <w:rPr>
          <w:sz w:val="24"/>
          <w:lang w:val="lt-LT"/>
        </w:rPr>
        <w:t xml:space="preserve"> </w:t>
      </w:r>
      <w:proofErr w:type="spellStart"/>
      <w:r w:rsidRPr="00012A47">
        <w:rPr>
          <w:sz w:val="24"/>
          <w:lang w:val="lt-LT"/>
        </w:rPr>
        <w:t>on</w:t>
      </w:r>
      <w:proofErr w:type="spellEnd"/>
      <w:r w:rsidRPr="00012A47">
        <w:rPr>
          <w:sz w:val="24"/>
          <w:lang w:val="lt-LT"/>
        </w:rPr>
        <w:t xml:space="preserve"> pesticide </w:t>
      </w:r>
      <w:proofErr w:type="spellStart"/>
      <w:r w:rsidRPr="00012A47">
        <w:rPr>
          <w:sz w:val="24"/>
          <w:lang w:val="lt-LT"/>
        </w:rPr>
        <w:t>use</w:t>
      </w:r>
      <w:proofErr w:type="spellEnd"/>
      <w:r w:rsidRPr="00012A47">
        <w:rPr>
          <w:sz w:val="24"/>
          <w:lang w:val="lt-LT"/>
        </w:rPr>
        <w:t xml:space="preserve"> </w:t>
      </w:r>
      <w:proofErr w:type="spellStart"/>
      <w:r w:rsidRPr="00012A47">
        <w:rPr>
          <w:sz w:val="24"/>
          <w:lang w:val="lt-LT"/>
        </w:rPr>
        <w:t>in</w:t>
      </w:r>
      <w:proofErr w:type="spellEnd"/>
      <w:r w:rsidRPr="00012A47">
        <w:rPr>
          <w:sz w:val="24"/>
          <w:lang w:val="lt-LT"/>
        </w:rPr>
        <w:t xml:space="preserve"> </w:t>
      </w:r>
      <w:proofErr w:type="spellStart"/>
      <w:r w:rsidRPr="00012A47">
        <w:rPr>
          <w:sz w:val="24"/>
          <w:lang w:val="lt-LT"/>
        </w:rPr>
        <w:t>the</w:t>
      </w:r>
      <w:proofErr w:type="spellEnd"/>
      <w:r w:rsidRPr="00012A47">
        <w:rPr>
          <w:sz w:val="24"/>
          <w:lang w:val="lt-LT"/>
        </w:rPr>
        <w:t xml:space="preserve"> U.S. – </w:t>
      </w:r>
      <w:proofErr w:type="spellStart"/>
      <w:r w:rsidRPr="00012A47">
        <w:rPr>
          <w:sz w:val="24"/>
          <w:lang w:val="lt-LT"/>
        </w:rPr>
        <w:t>the</w:t>
      </w:r>
      <w:proofErr w:type="spellEnd"/>
      <w:r w:rsidRPr="00012A47">
        <w:rPr>
          <w:sz w:val="24"/>
          <w:lang w:val="lt-LT"/>
        </w:rPr>
        <w:t xml:space="preserve"> </w:t>
      </w:r>
      <w:proofErr w:type="spellStart"/>
      <w:r w:rsidRPr="00012A47">
        <w:rPr>
          <w:sz w:val="24"/>
          <w:lang w:val="lt-LT"/>
        </w:rPr>
        <w:t>first</w:t>
      </w:r>
      <w:proofErr w:type="spellEnd"/>
      <w:r w:rsidRPr="00012A47">
        <w:rPr>
          <w:sz w:val="24"/>
          <w:lang w:val="lt-LT"/>
        </w:rPr>
        <w:t xml:space="preserve"> </w:t>
      </w:r>
      <w:proofErr w:type="spellStart"/>
      <w:r w:rsidRPr="00012A47">
        <w:rPr>
          <w:sz w:val="24"/>
          <w:lang w:val="lt-LT"/>
        </w:rPr>
        <w:t>sixteen</w:t>
      </w:r>
      <w:proofErr w:type="spellEnd"/>
      <w:r w:rsidRPr="00012A47">
        <w:rPr>
          <w:sz w:val="24"/>
          <w:lang w:val="lt-LT"/>
        </w:rPr>
        <w:t xml:space="preserve"> </w:t>
      </w:r>
      <w:proofErr w:type="spellStart"/>
      <w:r w:rsidRPr="00012A47">
        <w:rPr>
          <w:sz w:val="24"/>
          <w:lang w:val="lt-LT"/>
        </w:rPr>
        <w:t>years</w:t>
      </w:r>
      <w:proofErr w:type="spellEnd"/>
      <w:r w:rsidRPr="00012A47">
        <w:rPr>
          <w:sz w:val="24"/>
          <w:lang w:val="lt-LT"/>
        </w:rPr>
        <w:t xml:space="preserve">“, </w:t>
      </w:r>
      <w:proofErr w:type="spellStart"/>
      <w:r w:rsidRPr="00012A47">
        <w:rPr>
          <w:sz w:val="24"/>
          <w:lang w:val="lt-LT"/>
        </w:rPr>
        <w:t>Environmental</w:t>
      </w:r>
      <w:proofErr w:type="spellEnd"/>
      <w:r w:rsidRPr="00012A47">
        <w:rPr>
          <w:sz w:val="24"/>
          <w:lang w:val="lt-LT"/>
        </w:rPr>
        <w:t xml:space="preserve"> </w:t>
      </w:r>
      <w:proofErr w:type="spellStart"/>
      <w:r w:rsidRPr="00012A47">
        <w:rPr>
          <w:sz w:val="24"/>
          <w:lang w:val="lt-LT"/>
        </w:rPr>
        <w:t>Sciences</w:t>
      </w:r>
      <w:proofErr w:type="spellEnd"/>
      <w:r w:rsidRPr="00012A47">
        <w:rPr>
          <w:sz w:val="24"/>
          <w:lang w:val="lt-LT"/>
        </w:rPr>
        <w:t xml:space="preserve"> </w:t>
      </w:r>
      <w:proofErr w:type="spellStart"/>
      <w:r w:rsidRPr="00012A47">
        <w:rPr>
          <w:sz w:val="24"/>
          <w:lang w:val="lt-LT"/>
        </w:rPr>
        <w:t>Europe</w:t>
      </w:r>
      <w:proofErr w:type="spellEnd"/>
      <w:r w:rsidRPr="00012A47">
        <w:rPr>
          <w:sz w:val="24"/>
          <w:lang w:val="lt-LT"/>
        </w:rPr>
        <w:t xml:space="preserve">, 2012 m. rugsėjo 28 d., t. 24(1), </w:t>
      </w:r>
      <w:hyperlink r:id="rId8" w:history="1">
        <w:r w:rsidRPr="00012A47">
          <w:rPr>
            <w:rStyle w:val="Hyperlink"/>
            <w:sz w:val="24"/>
            <w:lang w:val="lt-LT"/>
          </w:rPr>
          <w:t>https://enveurope.springeropen.com/articles/10.1186/2190-4715-24-24</w:t>
        </w:r>
      </w:hyperlink>
      <w:r w:rsidRPr="00012A47">
        <w:rPr>
          <w:sz w:val="24"/>
          <w:lang w:val="lt-LT"/>
        </w:rPr>
        <w:t>.</w:t>
      </w:r>
    </w:p>
  </w:footnote>
  <w:footnote w:id="8">
    <w:p w:rsidR="0010674C" w:rsidRPr="00012A47" w:rsidRDefault="0010674C" w:rsidP="00012A47">
      <w:pPr>
        <w:pStyle w:val="FootnoteText"/>
        <w:ind w:left="567" w:hanging="567"/>
        <w:rPr>
          <w:sz w:val="24"/>
          <w:lang w:val="lt-LT"/>
        </w:rPr>
      </w:pPr>
      <w:r w:rsidRPr="00012A47">
        <w:rPr>
          <w:rStyle w:val="FootnoteReference"/>
          <w:sz w:val="24"/>
          <w:lang w:val="lt-LT"/>
        </w:rPr>
        <w:footnoteRef/>
      </w:r>
      <w:r w:rsidR="00012A47" w:rsidRPr="00012A47">
        <w:rPr>
          <w:sz w:val="24"/>
          <w:lang w:val="lt-LT"/>
        </w:rPr>
        <w:t xml:space="preserve"> </w:t>
      </w:r>
      <w:r w:rsidR="00012A47" w:rsidRPr="00012A47">
        <w:rPr>
          <w:sz w:val="24"/>
          <w:lang w:val="lt-LT"/>
        </w:rPr>
        <w:tab/>
      </w:r>
      <w:r w:rsidRPr="00012A47">
        <w:rPr>
          <w:sz w:val="24"/>
          <w:lang w:val="lt-LT"/>
        </w:rPr>
        <w:t xml:space="preserve">Žr., pvz., </w:t>
      </w:r>
      <w:hyperlink r:id="rId9" w:history="1">
        <w:r w:rsidRPr="00012A47">
          <w:rPr>
            <w:rStyle w:val="Hyperlink"/>
            <w:sz w:val="24"/>
            <w:lang w:val="lt-LT"/>
          </w:rPr>
          <w:t>https://www.sciencedirect.com/science/article/pii/S1383574218300887</w:t>
        </w:r>
      </w:hyperlink>
      <w:r w:rsidRPr="00012A47">
        <w:rPr>
          <w:sz w:val="24"/>
          <w:lang w:val="lt-LT"/>
        </w:rPr>
        <w:t xml:space="preserve">, </w:t>
      </w:r>
      <w:hyperlink r:id="rId10" w:history="1">
        <w:r w:rsidRPr="00012A47">
          <w:rPr>
            <w:rStyle w:val="Hyperlink"/>
            <w:sz w:val="24"/>
            <w:lang w:val="lt-LT"/>
          </w:rPr>
          <w:t>https://academic.oup.com/ije/advance-article/doi/10.1093/ije/dyz017/5382278</w:t>
        </w:r>
      </w:hyperlink>
      <w:r w:rsidRPr="00012A47">
        <w:rPr>
          <w:sz w:val="24"/>
          <w:lang w:val="lt-LT"/>
        </w:rPr>
        <w:t xml:space="preserve">, </w:t>
      </w:r>
      <w:hyperlink r:id="rId11" w:history="1">
        <w:r w:rsidRPr="00012A47">
          <w:rPr>
            <w:rStyle w:val="Hyperlink"/>
            <w:sz w:val="24"/>
            <w:lang w:val="lt-LT"/>
          </w:rPr>
          <w:t>https://journals.plos.org/plosone/article?id=10.1371/journal.pone.0219610</w:t>
        </w:r>
      </w:hyperlink>
      <w:r w:rsidRPr="00012A47">
        <w:rPr>
          <w:sz w:val="24"/>
          <w:lang w:val="lt-LT"/>
        </w:rPr>
        <w:t xml:space="preserve"> ir </w:t>
      </w:r>
      <w:hyperlink r:id="rId12" w:history="1">
        <w:r w:rsidRPr="00012A47">
          <w:rPr>
            <w:rStyle w:val="Hyperlink"/>
            <w:sz w:val="24"/>
            <w:lang w:val="lt-LT"/>
          </w:rPr>
          <w:t>https://www.ncbi.nlm.nih.gov/pmc/articles/PMC6612199/</w:t>
        </w:r>
      </w:hyperlink>
      <w:r w:rsidRPr="00012A47">
        <w:rPr>
          <w:rStyle w:val="Hyperlink"/>
          <w:sz w:val="24"/>
          <w:lang w:val="lt-LT"/>
        </w:rPr>
        <w:t>.</w:t>
      </w:r>
    </w:p>
  </w:footnote>
  <w:footnote w:id="9">
    <w:p w:rsidR="0010674C" w:rsidRPr="00012A47" w:rsidRDefault="0010674C" w:rsidP="00012A47">
      <w:pPr>
        <w:pStyle w:val="FootnoteText"/>
        <w:ind w:left="567" w:hanging="567"/>
        <w:rPr>
          <w:sz w:val="24"/>
          <w:lang w:val="lt-LT"/>
        </w:rPr>
      </w:pPr>
      <w:r w:rsidRPr="00012A47">
        <w:rPr>
          <w:rStyle w:val="FootnoteReference"/>
          <w:sz w:val="24"/>
          <w:lang w:val="lt-LT"/>
        </w:rPr>
        <w:footnoteRef/>
      </w:r>
      <w:r w:rsidR="00012A47" w:rsidRPr="00012A47">
        <w:rPr>
          <w:sz w:val="24"/>
          <w:lang w:val="lt-LT"/>
        </w:rPr>
        <w:t xml:space="preserve"> </w:t>
      </w:r>
      <w:r w:rsidR="00012A47" w:rsidRPr="00012A47">
        <w:rPr>
          <w:sz w:val="24"/>
          <w:lang w:val="lt-LT"/>
        </w:rPr>
        <w:tab/>
      </w:r>
      <w:r w:rsidRPr="00012A47">
        <w:rPr>
          <w:sz w:val="24"/>
          <w:lang w:val="lt-LT"/>
        </w:rPr>
        <w:t>Dėl recenzijos žr. N. </w:t>
      </w:r>
      <w:proofErr w:type="spellStart"/>
      <w:r w:rsidRPr="00012A47">
        <w:rPr>
          <w:sz w:val="24"/>
          <w:lang w:val="lt-LT"/>
        </w:rPr>
        <w:t>Rubio-Infante</w:t>
      </w:r>
      <w:proofErr w:type="spellEnd"/>
      <w:r w:rsidRPr="00012A47">
        <w:rPr>
          <w:sz w:val="24"/>
          <w:lang w:val="lt-LT"/>
        </w:rPr>
        <w:t>, L. </w:t>
      </w:r>
      <w:proofErr w:type="spellStart"/>
      <w:r w:rsidRPr="00012A47">
        <w:rPr>
          <w:sz w:val="24"/>
          <w:lang w:val="lt-LT"/>
        </w:rPr>
        <w:t>Moreno-Fierros</w:t>
      </w:r>
      <w:proofErr w:type="spellEnd"/>
      <w:r w:rsidRPr="00012A47">
        <w:rPr>
          <w:sz w:val="24"/>
          <w:lang w:val="lt-LT"/>
        </w:rPr>
        <w:t>, „</w:t>
      </w:r>
      <w:proofErr w:type="spellStart"/>
      <w:r w:rsidRPr="00012A47">
        <w:rPr>
          <w:sz w:val="24"/>
          <w:lang w:val="lt-LT"/>
        </w:rPr>
        <w:t>An</w:t>
      </w:r>
      <w:proofErr w:type="spellEnd"/>
      <w:r w:rsidRPr="00012A47">
        <w:rPr>
          <w:sz w:val="24"/>
          <w:lang w:val="lt-LT"/>
        </w:rPr>
        <w:t xml:space="preserve"> </w:t>
      </w:r>
      <w:proofErr w:type="spellStart"/>
      <w:r w:rsidRPr="00012A47">
        <w:rPr>
          <w:sz w:val="24"/>
          <w:lang w:val="lt-LT"/>
        </w:rPr>
        <w:t>overview</w:t>
      </w:r>
      <w:proofErr w:type="spellEnd"/>
      <w:r w:rsidRPr="00012A47">
        <w:rPr>
          <w:sz w:val="24"/>
          <w:lang w:val="lt-LT"/>
        </w:rPr>
        <w:t xml:space="preserve"> </w:t>
      </w:r>
      <w:proofErr w:type="spellStart"/>
      <w:r w:rsidRPr="00012A47">
        <w:rPr>
          <w:sz w:val="24"/>
          <w:lang w:val="lt-LT"/>
        </w:rPr>
        <w:t>of</w:t>
      </w:r>
      <w:proofErr w:type="spellEnd"/>
      <w:r w:rsidRPr="00012A47">
        <w:rPr>
          <w:sz w:val="24"/>
          <w:lang w:val="lt-LT"/>
        </w:rPr>
        <w:t xml:space="preserve"> </w:t>
      </w:r>
      <w:proofErr w:type="spellStart"/>
      <w:r w:rsidRPr="00012A47">
        <w:rPr>
          <w:sz w:val="24"/>
          <w:lang w:val="lt-LT"/>
        </w:rPr>
        <w:t>the</w:t>
      </w:r>
      <w:proofErr w:type="spellEnd"/>
      <w:r w:rsidRPr="00012A47">
        <w:rPr>
          <w:sz w:val="24"/>
          <w:lang w:val="lt-LT"/>
        </w:rPr>
        <w:t xml:space="preserve"> </w:t>
      </w:r>
      <w:proofErr w:type="spellStart"/>
      <w:r w:rsidRPr="00012A47">
        <w:rPr>
          <w:sz w:val="24"/>
          <w:lang w:val="lt-LT"/>
        </w:rPr>
        <w:t>safety</w:t>
      </w:r>
      <w:proofErr w:type="spellEnd"/>
      <w:r w:rsidRPr="00012A47">
        <w:rPr>
          <w:sz w:val="24"/>
          <w:lang w:val="lt-LT"/>
        </w:rPr>
        <w:t xml:space="preserve"> </w:t>
      </w:r>
      <w:proofErr w:type="spellStart"/>
      <w:r w:rsidRPr="00012A47">
        <w:rPr>
          <w:sz w:val="24"/>
          <w:lang w:val="lt-LT"/>
        </w:rPr>
        <w:t>and</w:t>
      </w:r>
      <w:proofErr w:type="spellEnd"/>
      <w:r w:rsidRPr="00012A47">
        <w:rPr>
          <w:sz w:val="24"/>
          <w:lang w:val="lt-LT"/>
        </w:rPr>
        <w:t xml:space="preserve"> </w:t>
      </w:r>
      <w:proofErr w:type="spellStart"/>
      <w:r w:rsidRPr="00012A47">
        <w:rPr>
          <w:sz w:val="24"/>
          <w:lang w:val="lt-LT"/>
        </w:rPr>
        <w:t>biological</w:t>
      </w:r>
      <w:proofErr w:type="spellEnd"/>
      <w:r w:rsidRPr="00012A47">
        <w:rPr>
          <w:sz w:val="24"/>
          <w:lang w:val="lt-LT"/>
        </w:rPr>
        <w:t xml:space="preserve"> </w:t>
      </w:r>
      <w:proofErr w:type="spellStart"/>
      <w:r w:rsidRPr="00012A47">
        <w:rPr>
          <w:sz w:val="24"/>
          <w:lang w:val="lt-LT"/>
        </w:rPr>
        <w:t>effects</w:t>
      </w:r>
      <w:proofErr w:type="spellEnd"/>
      <w:r w:rsidRPr="00012A47">
        <w:rPr>
          <w:sz w:val="24"/>
          <w:lang w:val="lt-LT"/>
        </w:rPr>
        <w:t xml:space="preserve"> </w:t>
      </w:r>
      <w:proofErr w:type="spellStart"/>
      <w:r w:rsidRPr="00012A47">
        <w:rPr>
          <w:sz w:val="24"/>
          <w:lang w:val="lt-LT"/>
        </w:rPr>
        <w:t>of</w:t>
      </w:r>
      <w:proofErr w:type="spellEnd"/>
      <w:r w:rsidRPr="00012A47">
        <w:rPr>
          <w:sz w:val="24"/>
          <w:lang w:val="lt-LT"/>
        </w:rPr>
        <w:t> </w:t>
      </w:r>
      <w:proofErr w:type="spellStart"/>
      <w:r w:rsidRPr="00012A47">
        <w:rPr>
          <w:i/>
          <w:iCs/>
          <w:sz w:val="24"/>
          <w:lang w:val="lt-LT"/>
        </w:rPr>
        <w:t>Bacillus</w:t>
      </w:r>
      <w:proofErr w:type="spellEnd"/>
      <w:r w:rsidRPr="00012A47">
        <w:rPr>
          <w:i/>
          <w:iCs/>
          <w:sz w:val="24"/>
          <w:lang w:val="lt-LT"/>
        </w:rPr>
        <w:t xml:space="preserve"> </w:t>
      </w:r>
      <w:proofErr w:type="spellStart"/>
      <w:r w:rsidRPr="00012A47">
        <w:rPr>
          <w:i/>
          <w:iCs/>
          <w:sz w:val="24"/>
          <w:lang w:val="lt-LT"/>
        </w:rPr>
        <w:t>thuringiensis</w:t>
      </w:r>
      <w:proofErr w:type="spellEnd"/>
      <w:r w:rsidRPr="00012A47">
        <w:rPr>
          <w:i/>
          <w:iCs/>
          <w:sz w:val="24"/>
          <w:lang w:val="lt-LT"/>
        </w:rPr>
        <w:t> </w:t>
      </w:r>
      <w:proofErr w:type="spellStart"/>
      <w:r w:rsidRPr="00012A47">
        <w:rPr>
          <w:sz w:val="24"/>
          <w:lang w:val="lt-LT"/>
        </w:rPr>
        <w:t>Cry</w:t>
      </w:r>
      <w:proofErr w:type="spellEnd"/>
      <w:r w:rsidRPr="00012A47">
        <w:rPr>
          <w:sz w:val="24"/>
          <w:lang w:val="lt-LT"/>
        </w:rPr>
        <w:t xml:space="preserve"> </w:t>
      </w:r>
      <w:proofErr w:type="spellStart"/>
      <w:r w:rsidRPr="00012A47">
        <w:rPr>
          <w:sz w:val="24"/>
          <w:lang w:val="lt-LT"/>
        </w:rPr>
        <w:t>toxins</w:t>
      </w:r>
      <w:proofErr w:type="spellEnd"/>
      <w:r w:rsidRPr="00012A47">
        <w:rPr>
          <w:sz w:val="24"/>
          <w:lang w:val="lt-LT"/>
        </w:rPr>
        <w:t xml:space="preserve"> </w:t>
      </w:r>
      <w:proofErr w:type="spellStart"/>
      <w:r w:rsidRPr="00012A47">
        <w:rPr>
          <w:sz w:val="24"/>
          <w:lang w:val="lt-LT"/>
        </w:rPr>
        <w:t>in</w:t>
      </w:r>
      <w:proofErr w:type="spellEnd"/>
      <w:r w:rsidRPr="00012A47">
        <w:rPr>
          <w:sz w:val="24"/>
          <w:lang w:val="lt-LT"/>
        </w:rPr>
        <w:t xml:space="preserve"> </w:t>
      </w:r>
      <w:proofErr w:type="spellStart"/>
      <w:r w:rsidRPr="00012A47">
        <w:rPr>
          <w:sz w:val="24"/>
          <w:lang w:val="lt-LT"/>
        </w:rPr>
        <w:t>mammals</w:t>
      </w:r>
      <w:proofErr w:type="spellEnd"/>
      <w:r w:rsidRPr="00012A47">
        <w:rPr>
          <w:sz w:val="24"/>
          <w:lang w:val="lt-LT"/>
        </w:rPr>
        <w:t xml:space="preserve">“, </w:t>
      </w:r>
      <w:proofErr w:type="spellStart"/>
      <w:r w:rsidRPr="00012A47">
        <w:rPr>
          <w:sz w:val="24"/>
          <w:lang w:val="lt-LT"/>
        </w:rPr>
        <w:t>Journal</w:t>
      </w:r>
      <w:proofErr w:type="spellEnd"/>
      <w:r w:rsidRPr="00012A47">
        <w:rPr>
          <w:sz w:val="24"/>
          <w:lang w:val="lt-LT"/>
        </w:rPr>
        <w:t xml:space="preserve"> </w:t>
      </w:r>
      <w:proofErr w:type="spellStart"/>
      <w:r w:rsidRPr="00012A47">
        <w:rPr>
          <w:sz w:val="24"/>
          <w:lang w:val="lt-LT"/>
        </w:rPr>
        <w:t>of</w:t>
      </w:r>
      <w:proofErr w:type="spellEnd"/>
      <w:r w:rsidRPr="00012A47">
        <w:rPr>
          <w:sz w:val="24"/>
          <w:lang w:val="lt-LT"/>
        </w:rPr>
        <w:t xml:space="preserve"> </w:t>
      </w:r>
      <w:proofErr w:type="spellStart"/>
      <w:r w:rsidRPr="00012A47">
        <w:rPr>
          <w:sz w:val="24"/>
          <w:lang w:val="lt-LT"/>
        </w:rPr>
        <w:t>Applied</w:t>
      </w:r>
      <w:proofErr w:type="spellEnd"/>
      <w:r w:rsidRPr="00012A47">
        <w:rPr>
          <w:sz w:val="24"/>
          <w:lang w:val="lt-LT"/>
        </w:rPr>
        <w:t xml:space="preserve"> </w:t>
      </w:r>
      <w:proofErr w:type="spellStart"/>
      <w:r w:rsidRPr="00012A47">
        <w:rPr>
          <w:sz w:val="24"/>
          <w:lang w:val="lt-LT"/>
        </w:rPr>
        <w:t>Toxicology</w:t>
      </w:r>
      <w:proofErr w:type="spellEnd"/>
      <w:r w:rsidRPr="00012A47">
        <w:rPr>
          <w:sz w:val="24"/>
          <w:lang w:val="lt-LT"/>
        </w:rPr>
        <w:t xml:space="preserve">, 2016 m. gegužės mėn., 36(36,5), p. 630–648, </w:t>
      </w:r>
      <w:hyperlink r:id="rId13" w:history="1">
        <w:r w:rsidRPr="00012A47">
          <w:rPr>
            <w:rStyle w:val="Hyperlink"/>
            <w:sz w:val="24"/>
            <w:lang w:val="lt-LT"/>
          </w:rPr>
          <w:t>https://onlinelibrary.wiley.com/doi/full/10.1002/jat.3252.</w:t>
        </w:r>
      </w:hyperlink>
    </w:p>
  </w:footnote>
  <w:footnote w:id="10">
    <w:p w:rsidR="0010674C" w:rsidRPr="00012A47" w:rsidRDefault="0010674C" w:rsidP="00012A47">
      <w:pPr>
        <w:pStyle w:val="FootnoteText"/>
        <w:ind w:left="567" w:hanging="567"/>
        <w:rPr>
          <w:sz w:val="24"/>
          <w:lang w:val="lt-LT"/>
        </w:rPr>
      </w:pPr>
      <w:r w:rsidRPr="00012A47">
        <w:rPr>
          <w:rStyle w:val="FootnoteReference"/>
          <w:sz w:val="24"/>
          <w:lang w:val="lt-LT"/>
        </w:rPr>
        <w:footnoteRef/>
      </w:r>
      <w:r w:rsidR="00012A47" w:rsidRPr="00012A47">
        <w:rPr>
          <w:sz w:val="24"/>
          <w:lang w:val="lt-LT"/>
        </w:rPr>
        <w:t xml:space="preserve"> </w:t>
      </w:r>
      <w:r w:rsidR="00012A47" w:rsidRPr="00012A47">
        <w:rPr>
          <w:sz w:val="24"/>
          <w:lang w:val="lt-LT"/>
        </w:rPr>
        <w:tab/>
      </w:r>
      <w:hyperlink r:id="rId14" w:history="1">
        <w:r w:rsidRPr="00012A47">
          <w:rPr>
            <w:rStyle w:val="Hyperlink"/>
            <w:sz w:val="24"/>
            <w:lang w:val="lt-LT"/>
          </w:rPr>
          <w:t>https://www.sciencedirect.com/science/article/pii/S0278691516300722?via%3Dihub</w:t>
        </w:r>
      </w:hyperlink>
      <w:r w:rsidRPr="00012A47">
        <w:rPr>
          <w:rStyle w:val="Hyperlink"/>
          <w:sz w:val="24"/>
          <w:lang w:val="lt-LT"/>
        </w:rPr>
        <w:t>.</w:t>
      </w:r>
    </w:p>
  </w:footnote>
  <w:footnote w:id="11">
    <w:p w:rsidR="0010674C" w:rsidRPr="00012A47" w:rsidRDefault="0010674C" w:rsidP="00012A47">
      <w:pPr>
        <w:pStyle w:val="FootnoteText"/>
        <w:ind w:left="567" w:hanging="567"/>
        <w:rPr>
          <w:sz w:val="24"/>
          <w:lang w:val="lt-LT"/>
        </w:rPr>
      </w:pPr>
      <w:r w:rsidRPr="00012A47">
        <w:rPr>
          <w:rStyle w:val="FootnoteReference"/>
          <w:sz w:val="24"/>
          <w:lang w:val="lt-LT"/>
        </w:rPr>
        <w:footnoteRef/>
      </w:r>
      <w:r w:rsidR="00012A47" w:rsidRPr="00012A47">
        <w:rPr>
          <w:sz w:val="24"/>
          <w:lang w:val="lt-LT"/>
        </w:rPr>
        <w:t xml:space="preserve"> </w:t>
      </w:r>
      <w:r w:rsidR="00012A47" w:rsidRPr="00012A47">
        <w:rPr>
          <w:sz w:val="24"/>
          <w:lang w:val="lt-LT"/>
        </w:rPr>
        <w:tab/>
      </w:r>
      <w:r w:rsidRPr="00012A47">
        <w:rPr>
          <w:sz w:val="24"/>
          <w:lang w:val="lt-LT"/>
        </w:rPr>
        <w:t xml:space="preserve">Žr., pvz., </w:t>
      </w:r>
      <w:proofErr w:type="spellStart"/>
      <w:r w:rsidRPr="00012A47">
        <w:rPr>
          <w:sz w:val="24"/>
          <w:lang w:val="lt-LT"/>
        </w:rPr>
        <w:t>Hilbeck</w:t>
      </w:r>
      <w:proofErr w:type="spellEnd"/>
      <w:r w:rsidRPr="00012A47">
        <w:rPr>
          <w:sz w:val="24"/>
          <w:lang w:val="lt-LT"/>
        </w:rPr>
        <w:t xml:space="preserve">, A., </w:t>
      </w:r>
      <w:proofErr w:type="spellStart"/>
      <w:r w:rsidRPr="00012A47">
        <w:rPr>
          <w:sz w:val="24"/>
          <w:lang w:val="lt-LT"/>
        </w:rPr>
        <w:t>Otto</w:t>
      </w:r>
      <w:proofErr w:type="spellEnd"/>
      <w:r w:rsidRPr="00012A47">
        <w:rPr>
          <w:sz w:val="24"/>
          <w:lang w:val="lt-LT"/>
        </w:rPr>
        <w:t>, M., „</w:t>
      </w:r>
      <w:proofErr w:type="spellStart"/>
      <w:r w:rsidRPr="00012A47">
        <w:rPr>
          <w:sz w:val="24"/>
          <w:lang w:val="lt-LT"/>
        </w:rPr>
        <w:t>Specificity</w:t>
      </w:r>
      <w:proofErr w:type="spellEnd"/>
      <w:r w:rsidRPr="00012A47">
        <w:rPr>
          <w:sz w:val="24"/>
          <w:lang w:val="lt-LT"/>
        </w:rPr>
        <w:t xml:space="preserve"> ana </w:t>
      </w:r>
      <w:proofErr w:type="spellStart"/>
      <w:r w:rsidRPr="00012A47">
        <w:rPr>
          <w:sz w:val="24"/>
          <w:lang w:val="lt-LT"/>
        </w:rPr>
        <w:t>combinatorial</w:t>
      </w:r>
      <w:proofErr w:type="spellEnd"/>
      <w:r w:rsidRPr="00012A47">
        <w:rPr>
          <w:sz w:val="24"/>
          <w:lang w:val="lt-LT"/>
        </w:rPr>
        <w:t xml:space="preserve"> </w:t>
      </w:r>
      <w:proofErr w:type="spellStart"/>
      <w:r w:rsidRPr="00012A47">
        <w:rPr>
          <w:sz w:val="24"/>
          <w:lang w:val="lt-LT"/>
        </w:rPr>
        <w:t>effects</w:t>
      </w:r>
      <w:proofErr w:type="spellEnd"/>
      <w:r w:rsidRPr="00012A47">
        <w:rPr>
          <w:sz w:val="24"/>
          <w:lang w:val="lt-LT"/>
        </w:rPr>
        <w:t xml:space="preserve"> </w:t>
      </w:r>
      <w:proofErr w:type="spellStart"/>
      <w:r w:rsidRPr="00012A47">
        <w:rPr>
          <w:sz w:val="24"/>
          <w:lang w:val="lt-LT"/>
        </w:rPr>
        <w:t>of</w:t>
      </w:r>
      <w:proofErr w:type="spellEnd"/>
      <w:r w:rsidRPr="00012A47">
        <w:rPr>
          <w:sz w:val="24"/>
          <w:lang w:val="lt-LT"/>
        </w:rPr>
        <w:t xml:space="preserve"> </w:t>
      </w:r>
      <w:proofErr w:type="spellStart"/>
      <w:r w:rsidRPr="00012A47">
        <w:rPr>
          <w:i/>
          <w:iCs/>
          <w:sz w:val="24"/>
          <w:lang w:val="lt-LT"/>
        </w:rPr>
        <w:t>Bacillus</w:t>
      </w:r>
      <w:proofErr w:type="spellEnd"/>
      <w:r w:rsidRPr="00012A47">
        <w:rPr>
          <w:i/>
          <w:iCs/>
          <w:sz w:val="24"/>
          <w:lang w:val="lt-LT"/>
        </w:rPr>
        <w:t xml:space="preserve"> </w:t>
      </w:r>
      <w:proofErr w:type="spellStart"/>
      <w:r w:rsidRPr="00012A47">
        <w:rPr>
          <w:i/>
          <w:iCs/>
          <w:sz w:val="24"/>
          <w:lang w:val="lt-LT"/>
        </w:rPr>
        <w:t>thuringiensis</w:t>
      </w:r>
      <w:proofErr w:type="spellEnd"/>
      <w:r w:rsidRPr="00012A47">
        <w:rPr>
          <w:sz w:val="24"/>
          <w:lang w:val="lt-LT"/>
        </w:rPr>
        <w:t xml:space="preserve"> </w:t>
      </w:r>
      <w:proofErr w:type="spellStart"/>
      <w:r w:rsidRPr="00012A47">
        <w:rPr>
          <w:sz w:val="24"/>
          <w:lang w:val="lt-LT"/>
        </w:rPr>
        <w:t>Cry</w:t>
      </w:r>
      <w:proofErr w:type="spellEnd"/>
      <w:r w:rsidRPr="00012A47">
        <w:rPr>
          <w:sz w:val="24"/>
          <w:lang w:val="lt-LT"/>
        </w:rPr>
        <w:t xml:space="preserve"> </w:t>
      </w:r>
      <w:proofErr w:type="spellStart"/>
      <w:r w:rsidRPr="00012A47">
        <w:rPr>
          <w:sz w:val="24"/>
          <w:lang w:val="lt-LT"/>
        </w:rPr>
        <w:t>toxins</w:t>
      </w:r>
      <w:proofErr w:type="spellEnd"/>
      <w:r w:rsidRPr="00012A47">
        <w:rPr>
          <w:sz w:val="24"/>
          <w:lang w:val="lt-LT"/>
        </w:rPr>
        <w:t xml:space="preserve"> </w:t>
      </w:r>
      <w:proofErr w:type="spellStart"/>
      <w:r w:rsidRPr="00012A47">
        <w:rPr>
          <w:sz w:val="24"/>
          <w:lang w:val="lt-LT"/>
        </w:rPr>
        <w:t>in</w:t>
      </w:r>
      <w:proofErr w:type="spellEnd"/>
      <w:r w:rsidRPr="00012A47">
        <w:rPr>
          <w:sz w:val="24"/>
          <w:lang w:val="lt-LT"/>
        </w:rPr>
        <w:t xml:space="preserve"> </w:t>
      </w:r>
      <w:proofErr w:type="spellStart"/>
      <w:r w:rsidRPr="00012A47">
        <w:rPr>
          <w:sz w:val="24"/>
          <w:lang w:val="lt-LT"/>
        </w:rPr>
        <w:t>the</w:t>
      </w:r>
      <w:proofErr w:type="spellEnd"/>
      <w:r w:rsidRPr="00012A47">
        <w:rPr>
          <w:sz w:val="24"/>
          <w:lang w:val="lt-LT"/>
        </w:rPr>
        <w:t xml:space="preserve"> </w:t>
      </w:r>
      <w:proofErr w:type="spellStart"/>
      <w:r w:rsidRPr="00012A47">
        <w:rPr>
          <w:sz w:val="24"/>
          <w:lang w:val="lt-LT"/>
        </w:rPr>
        <w:t>context</w:t>
      </w:r>
      <w:proofErr w:type="spellEnd"/>
      <w:r w:rsidRPr="00012A47">
        <w:rPr>
          <w:sz w:val="24"/>
          <w:lang w:val="lt-LT"/>
        </w:rPr>
        <w:t xml:space="preserve"> </w:t>
      </w:r>
      <w:proofErr w:type="spellStart"/>
      <w:r w:rsidRPr="00012A47">
        <w:rPr>
          <w:sz w:val="24"/>
          <w:lang w:val="lt-LT"/>
        </w:rPr>
        <w:t>of</w:t>
      </w:r>
      <w:proofErr w:type="spellEnd"/>
      <w:r w:rsidRPr="00012A47">
        <w:rPr>
          <w:sz w:val="24"/>
          <w:lang w:val="lt-LT"/>
        </w:rPr>
        <w:t xml:space="preserve"> GMO </w:t>
      </w:r>
      <w:proofErr w:type="spellStart"/>
      <w:r w:rsidRPr="00012A47">
        <w:rPr>
          <w:sz w:val="24"/>
          <w:lang w:val="lt-LT"/>
        </w:rPr>
        <w:t>environmental</w:t>
      </w:r>
      <w:proofErr w:type="spellEnd"/>
      <w:r w:rsidRPr="00012A47">
        <w:rPr>
          <w:sz w:val="24"/>
          <w:lang w:val="lt-LT"/>
        </w:rPr>
        <w:t xml:space="preserve"> risk </w:t>
      </w:r>
      <w:proofErr w:type="spellStart"/>
      <w:r w:rsidRPr="00012A47">
        <w:rPr>
          <w:sz w:val="24"/>
          <w:lang w:val="lt-LT"/>
        </w:rPr>
        <w:t>assessment</w:t>
      </w:r>
      <w:proofErr w:type="spellEnd"/>
      <w:r w:rsidRPr="00012A47">
        <w:rPr>
          <w:sz w:val="24"/>
          <w:lang w:val="lt-LT"/>
        </w:rPr>
        <w:t xml:space="preserve">“, </w:t>
      </w:r>
      <w:proofErr w:type="spellStart"/>
      <w:r w:rsidRPr="00012A47">
        <w:rPr>
          <w:sz w:val="24"/>
          <w:lang w:val="lt-LT"/>
        </w:rPr>
        <w:t>Frontiers</w:t>
      </w:r>
      <w:proofErr w:type="spellEnd"/>
      <w:r w:rsidRPr="00012A47">
        <w:rPr>
          <w:sz w:val="24"/>
          <w:lang w:val="lt-LT"/>
        </w:rPr>
        <w:t xml:space="preserve"> </w:t>
      </w:r>
      <w:proofErr w:type="spellStart"/>
      <w:r w:rsidRPr="00012A47">
        <w:rPr>
          <w:sz w:val="24"/>
          <w:lang w:val="lt-LT"/>
        </w:rPr>
        <w:t>in</w:t>
      </w:r>
      <w:proofErr w:type="spellEnd"/>
      <w:r w:rsidRPr="00012A47">
        <w:rPr>
          <w:sz w:val="24"/>
          <w:lang w:val="lt-LT"/>
        </w:rPr>
        <w:t xml:space="preserve"> </w:t>
      </w:r>
      <w:proofErr w:type="spellStart"/>
      <w:r w:rsidRPr="00012A47">
        <w:rPr>
          <w:sz w:val="24"/>
          <w:lang w:val="lt-LT"/>
        </w:rPr>
        <w:t>Environmental</w:t>
      </w:r>
      <w:proofErr w:type="spellEnd"/>
      <w:r w:rsidRPr="00012A47">
        <w:rPr>
          <w:sz w:val="24"/>
          <w:lang w:val="lt-LT"/>
        </w:rPr>
        <w:t xml:space="preserve"> </w:t>
      </w:r>
      <w:proofErr w:type="spellStart"/>
      <w:r w:rsidRPr="00012A47">
        <w:rPr>
          <w:sz w:val="24"/>
          <w:lang w:val="lt-LT"/>
        </w:rPr>
        <w:t>Science</w:t>
      </w:r>
      <w:proofErr w:type="spellEnd"/>
      <w:r w:rsidRPr="00012A47">
        <w:rPr>
          <w:sz w:val="24"/>
          <w:lang w:val="lt-LT"/>
        </w:rPr>
        <w:t xml:space="preserve">, 2015, 3:71, </w:t>
      </w:r>
      <w:hyperlink r:id="rId15" w:history="1">
        <w:r w:rsidRPr="00012A47">
          <w:rPr>
            <w:rStyle w:val="Hyperlink"/>
            <w:sz w:val="24"/>
            <w:lang w:val="lt-LT"/>
          </w:rPr>
          <w:t>https://doi.org/10.3389/fenvs.2015.00071</w:t>
        </w:r>
      </w:hyperlink>
      <w:r w:rsidRPr="00012A47">
        <w:rPr>
          <w:rStyle w:val="Hyperlink"/>
          <w:sz w:val="24"/>
          <w:lang w:val="lt-LT"/>
        </w:rPr>
        <w:t>.</w:t>
      </w:r>
    </w:p>
  </w:footnote>
  <w:footnote w:id="12">
    <w:p w:rsidR="0010674C" w:rsidRPr="00012A47" w:rsidRDefault="0010674C" w:rsidP="00012A47">
      <w:pPr>
        <w:pStyle w:val="FootnoteText"/>
        <w:ind w:left="567" w:hanging="567"/>
        <w:rPr>
          <w:sz w:val="24"/>
          <w:lang w:val="lt-LT"/>
        </w:rPr>
      </w:pPr>
      <w:r w:rsidRPr="00012A47">
        <w:rPr>
          <w:rStyle w:val="FootnoteReference"/>
          <w:sz w:val="24"/>
          <w:lang w:val="lt-LT"/>
        </w:rPr>
        <w:footnoteRef/>
      </w:r>
      <w:r w:rsidR="00012A47" w:rsidRPr="00012A47">
        <w:rPr>
          <w:sz w:val="24"/>
          <w:lang w:val="lt-LT"/>
        </w:rPr>
        <w:t xml:space="preserve"> </w:t>
      </w:r>
      <w:r w:rsidR="00012A47" w:rsidRPr="00012A47">
        <w:rPr>
          <w:sz w:val="24"/>
          <w:lang w:val="lt-LT"/>
        </w:rPr>
        <w:tab/>
      </w:r>
      <w:hyperlink r:id="rId16" w:history="1">
        <w:r w:rsidRPr="00012A47">
          <w:rPr>
            <w:rStyle w:val="Hyperlink"/>
            <w:sz w:val="24"/>
            <w:lang w:val="lt-LT"/>
          </w:rPr>
          <w:t>https://efsa.onlinelibrary.wiley.com/action/downloadSupplement?doi=10.2903%2Fj.‌efsa.2024.8716&amp;file=efs28716-sup-0012-Annex8.pdf</w:t>
        </w:r>
      </w:hyperlink>
      <w:r w:rsidRPr="00012A47">
        <w:rPr>
          <w:rStyle w:val="Hyperlink"/>
          <w:sz w:val="24"/>
          <w:lang w:val="lt-LT"/>
        </w:rPr>
        <w:t>.</w:t>
      </w:r>
    </w:p>
  </w:footnote>
  <w:footnote w:id="13">
    <w:p w:rsidR="0010674C" w:rsidRPr="00012A47" w:rsidRDefault="0010674C" w:rsidP="00012A47">
      <w:pPr>
        <w:pStyle w:val="FootnoteText"/>
        <w:ind w:left="567" w:hanging="567"/>
        <w:rPr>
          <w:sz w:val="24"/>
          <w:lang w:val="lt-LT"/>
        </w:rPr>
      </w:pPr>
      <w:r w:rsidRPr="00012A47">
        <w:rPr>
          <w:rStyle w:val="FootnoteReference"/>
          <w:sz w:val="24"/>
          <w:lang w:val="lt-LT"/>
        </w:rPr>
        <w:footnoteRef/>
      </w:r>
      <w:r w:rsidR="00012A47" w:rsidRPr="00012A47">
        <w:rPr>
          <w:sz w:val="24"/>
          <w:lang w:val="lt-LT"/>
        </w:rPr>
        <w:t xml:space="preserve"> </w:t>
      </w:r>
      <w:r w:rsidR="00012A47" w:rsidRPr="00012A47">
        <w:rPr>
          <w:sz w:val="24"/>
          <w:lang w:val="lt-LT"/>
        </w:rPr>
        <w:tab/>
      </w:r>
      <w:r w:rsidRPr="00012A47">
        <w:rPr>
          <w:sz w:val="24"/>
          <w:lang w:val="lt-LT"/>
        </w:rPr>
        <w:t>„</w:t>
      </w:r>
      <w:proofErr w:type="spellStart"/>
      <w:r w:rsidRPr="00012A47">
        <w:rPr>
          <w:sz w:val="24"/>
          <w:lang w:val="lt-LT"/>
        </w:rPr>
        <w:t>Strategic</w:t>
      </w:r>
      <w:proofErr w:type="spellEnd"/>
      <w:r w:rsidRPr="00012A47">
        <w:rPr>
          <w:sz w:val="24"/>
          <w:lang w:val="lt-LT"/>
        </w:rPr>
        <w:t xml:space="preserve"> </w:t>
      </w:r>
      <w:proofErr w:type="spellStart"/>
      <w:r w:rsidRPr="00012A47">
        <w:rPr>
          <w:sz w:val="24"/>
          <w:lang w:val="lt-LT"/>
        </w:rPr>
        <w:t>Dialogue</w:t>
      </w:r>
      <w:proofErr w:type="spellEnd"/>
      <w:r w:rsidRPr="00012A47">
        <w:rPr>
          <w:sz w:val="24"/>
          <w:lang w:val="lt-LT"/>
        </w:rPr>
        <w:t xml:space="preserve"> </w:t>
      </w:r>
      <w:proofErr w:type="spellStart"/>
      <w:r w:rsidRPr="00012A47">
        <w:rPr>
          <w:sz w:val="24"/>
          <w:lang w:val="lt-LT"/>
        </w:rPr>
        <w:t>on</w:t>
      </w:r>
      <w:proofErr w:type="spellEnd"/>
      <w:r w:rsidRPr="00012A47">
        <w:rPr>
          <w:sz w:val="24"/>
          <w:lang w:val="lt-LT"/>
        </w:rPr>
        <w:t xml:space="preserve"> </w:t>
      </w:r>
      <w:proofErr w:type="spellStart"/>
      <w:r w:rsidRPr="00012A47">
        <w:rPr>
          <w:sz w:val="24"/>
          <w:lang w:val="lt-LT"/>
        </w:rPr>
        <w:t>the</w:t>
      </w:r>
      <w:proofErr w:type="spellEnd"/>
      <w:r w:rsidRPr="00012A47">
        <w:rPr>
          <w:sz w:val="24"/>
          <w:lang w:val="lt-LT"/>
        </w:rPr>
        <w:t xml:space="preserve"> </w:t>
      </w:r>
      <w:proofErr w:type="spellStart"/>
      <w:r w:rsidRPr="00012A47">
        <w:rPr>
          <w:sz w:val="24"/>
          <w:lang w:val="lt-LT"/>
        </w:rPr>
        <w:t>Future</w:t>
      </w:r>
      <w:proofErr w:type="spellEnd"/>
      <w:r w:rsidRPr="00012A47">
        <w:rPr>
          <w:sz w:val="24"/>
          <w:lang w:val="lt-LT"/>
        </w:rPr>
        <w:t xml:space="preserve"> </w:t>
      </w:r>
      <w:proofErr w:type="spellStart"/>
      <w:r w:rsidRPr="00012A47">
        <w:rPr>
          <w:sz w:val="24"/>
          <w:lang w:val="lt-LT"/>
        </w:rPr>
        <w:t>of</w:t>
      </w:r>
      <w:proofErr w:type="spellEnd"/>
      <w:r w:rsidRPr="00012A47">
        <w:rPr>
          <w:sz w:val="24"/>
          <w:lang w:val="lt-LT"/>
        </w:rPr>
        <w:t xml:space="preserve"> EU </w:t>
      </w:r>
      <w:proofErr w:type="spellStart"/>
      <w:r w:rsidRPr="00012A47">
        <w:rPr>
          <w:sz w:val="24"/>
          <w:lang w:val="lt-LT"/>
        </w:rPr>
        <w:t>Agriculture</w:t>
      </w:r>
      <w:proofErr w:type="spellEnd"/>
      <w:r w:rsidRPr="00012A47">
        <w:rPr>
          <w:sz w:val="24"/>
          <w:lang w:val="lt-LT"/>
        </w:rPr>
        <w:t xml:space="preserve"> – A </w:t>
      </w:r>
      <w:proofErr w:type="spellStart"/>
      <w:r w:rsidRPr="00012A47">
        <w:rPr>
          <w:sz w:val="24"/>
          <w:lang w:val="lt-LT"/>
        </w:rPr>
        <w:t>shared</w:t>
      </w:r>
      <w:proofErr w:type="spellEnd"/>
      <w:r w:rsidRPr="00012A47">
        <w:rPr>
          <w:sz w:val="24"/>
          <w:lang w:val="lt-LT"/>
        </w:rPr>
        <w:t xml:space="preserve"> </w:t>
      </w:r>
      <w:proofErr w:type="spellStart"/>
      <w:r w:rsidRPr="00012A47">
        <w:rPr>
          <w:sz w:val="24"/>
          <w:lang w:val="lt-LT"/>
        </w:rPr>
        <w:t>prospect</w:t>
      </w:r>
      <w:proofErr w:type="spellEnd"/>
      <w:r w:rsidRPr="00012A47">
        <w:rPr>
          <w:sz w:val="24"/>
          <w:lang w:val="lt-LT"/>
        </w:rPr>
        <w:t xml:space="preserve"> </w:t>
      </w:r>
      <w:proofErr w:type="spellStart"/>
      <w:r w:rsidRPr="00012A47">
        <w:rPr>
          <w:sz w:val="24"/>
          <w:lang w:val="lt-LT"/>
        </w:rPr>
        <w:t>for</w:t>
      </w:r>
      <w:proofErr w:type="spellEnd"/>
      <w:r w:rsidRPr="00012A47">
        <w:rPr>
          <w:sz w:val="24"/>
          <w:lang w:val="lt-LT"/>
        </w:rPr>
        <w:t xml:space="preserve"> </w:t>
      </w:r>
      <w:proofErr w:type="spellStart"/>
      <w:r w:rsidRPr="00012A47">
        <w:rPr>
          <w:sz w:val="24"/>
          <w:lang w:val="lt-LT"/>
        </w:rPr>
        <w:t>farming</w:t>
      </w:r>
      <w:proofErr w:type="spellEnd"/>
      <w:r w:rsidRPr="00012A47">
        <w:rPr>
          <w:sz w:val="24"/>
          <w:lang w:val="lt-LT"/>
        </w:rPr>
        <w:t xml:space="preserve"> </w:t>
      </w:r>
      <w:proofErr w:type="spellStart"/>
      <w:r w:rsidRPr="00012A47">
        <w:rPr>
          <w:sz w:val="24"/>
          <w:lang w:val="lt-LT"/>
        </w:rPr>
        <w:t>and</w:t>
      </w:r>
      <w:proofErr w:type="spellEnd"/>
      <w:r w:rsidRPr="00012A47">
        <w:rPr>
          <w:sz w:val="24"/>
          <w:lang w:val="lt-LT"/>
        </w:rPr>
        <w:t xml:space="preserve"> </w:t>
      </w:r>
      <w:proofErr w:type="spellStart"/>
      <w:r w:rsidRPr="00012A47">
        <w:rPr>
          <w:sz w:val="24"/>
          <w:lang w:val="lt-LT"/>
        </w:rPr>
        <w:t>food</w:t>
      </w:r>
      <w:proofErr w:type="spellEnd"/>
      <w:r w:rsidRPr="00012A47">
        <w:rPr>
          <w:sz w:val="24"/>
          <w:lang w:val="lt-LT"/>
        </w:rPr>
        <w:t xml:space="preserve"> </w:t>
      </w:r>
      <w:proofErr w:type="spellStart"/>
      <w:r w:rsidRPr="00012A47">
        <w:rPr>
          <w:sz w:val="24"/>
          <w:lang w:val="lt-LT"/>
        </w:rPr>
        <w:t>in</w:t>
      </w:r>
      <w:proofErr w:type="spellEnd"/>
      <w:r w:rsidRPr="00012A47">
        <w:rPr>
          <w:sz w:val="24"/>
          <w:lang w:val="lt-LT"/>
        </w:rPr>
        <w:t xml:space="preserve"> </w:t>
      </w:r>
      <w:proofErr w:type="spellStart"/>
      <w:r w:rsidRPr="00012A47">
        <w:rPr>
          <w:sz w:val="24"/>
          <w:lang w:val="lt-LT"/>
        </w:rPr>
        <w:t>Europe</w:t>
      </w:r>
      <w:proofErr w:type="spellEnd"/>
      <w:r w:rsidRPr="00012A47">
        <w:rPr>
          <w:sz w:val="24"/>
          <w:lang w:val="lt-LT"/>
        </w:rPr>
        <w:t xml:space="preserve">“, 2024 m. rugsėjis, </w:t>
      </w:r>
      <w:hyperlink r:id="rId17" w:history="1">
        <w:r w:rsidRPr="00012A47">
          <w:rPr>
            <w:rStyle w:val="Hyperlink"/>
            <w:sz w:val="24"/>
            <w:lang w:val="lt-LT"/>
          </w:rPr>
          <w:t>https://agriculture.ec.europa.eu/document/download/171329ff-0f50-4fa5-946f-aea11032172e_en?filename=strategic-dialogue-report-2024_en.pdf</w:t>
        </w:r>
      </w:hyperlink>
      <w:r w:rsidRPr="00012A47">
        <w:rPr>
          <w:rStyle w:val="Hyperlink"/>
          <w:sz w:val="24"/>
          <w:lang w:val="lt-LT"/>
        </w:rPr>
        <w:t>.</w:t>
      </w:r>
    </w:p>
  </w:footnote>
  <w:footnote w:id="14">
    <w:p w:rsidR="0010674C" w:rsidRPr="00012A47" w:rsidRDefault="0010674C" w:rsidP="00012A47">
      <w:pPr>
        <w:pStyle w:val="FootnoteText"/>
        <w:ind w:left="567" w:hanging="567"/>
        <w:rPr>
          <w:sz w:val="24"/>
          <w:lang w:val="lt-LT"/>
        </w:rPr>
      </w:pPr>
      <w:r w:rsidRPr="00012A47">
        <w:rPr>
          <w:rStyle w:val="FootnoteReference"/>
          <w:sz w:val="24"/>
          <w:lang w:val="lt-LT"/>
        </w:rPr>
        <w:footnoteRef/>
      </w:r>
      <w:r w:rsidR="00012A47" w:rsidRPr="00012A47">
        <w:rPr>
          <w:sz w:val="24"/>
          <w:lang w:val="lt-LT"/>
        </w:rPr>
        <w:t xml:space="preserve"> </w:t>
      </w:r>
      <w:r w:rsidR="00012A47" w:rsidRPr="00012A47">
        <w:rPr>
          <w:sz w:val="24"/>
          <w:lang w:val="lt-LT"/>
        </w:rPr>
        <w:tab/>
      </w:r>
      <w:hyperlink r:id="rId18" w:history="1">
        <w:r w:rsidRPr="00012A47">
          <w:rPr>
            <w:rStyle w:val="Hyperlink"/>
            <w:sz w:val="24"/>
            <w:lang w:val="lt-LT"/>
          </w:rPr>
          <w:t>https://www.ohchr.org/en/documents/thematic-reports/ahrc3448-report-special-rapporteur-right-food</w:t>
        </w:r>
      </w:hyperlink>
      <w:r w:rsidRPr="00012A47">
        <w:rPr>
          <w:sz w:val="24"/>
          <w:lang w:val="lt-LT"/>
        </w:rPr>
        <w:t>.</w:t>
      </w:r>
    </w:p>
  </w:footnote>
  <w:footnote w:id="15">
    <w:p w:rsidR="0010674C" w:rsidRPr="00012A47" w:rsidRDefault="0010674C" w:rsidP="00012A47">
      <w:pPr>
        <w:pStyle w:val="FootnoteText"/>
        <w:ind w:left="567" w:hanging="567"/>
        <w:rPr>
          <w:sz w:val="24"/>
          <w:lang w:val="lt-LT"/>
        </w:rPr>
      </w:pPr>
      <w:r w:rsidRPr="00012A47">
        <w:rPr>
          <w:rStyle w:val="FootnoteReference"/>
          <w:sz w:val="24"/>
          <w:lang w:val="lt-LT"/>
        </w:rPr>
        <w:footnoteRef/>
      </w:r>
      <w:r w:rsidR="00012A47" w:rsidRPr="00012A47">
        <w:rPr>
          <w:rStyle w:val="Hyperlink"/>
          <w:sz w:val="24"/>
          <w:lang w:val="lt-LT"/>
        </w:rPr>
        <w:t xml:space="preserve"> </w:t>
      </w:r>
      <w:r w:rsidR="00012A47" w:rsidRPr="00012A47">
        <w:rPr>
          <w:rStyle w:val="Hyperlink"/>
          <w:sz w:val="24"/>
          <w:lang w:val="lt-LT"/>
        </w:rPr>
        <w:tab/>
      </w:r>
      <w:r w:rsidRPr="00012A47">
        <w:rPr>
          <w:rStyle w:val="Hyperlink"/>
          <w:sz w:val="24"/>
          <w:lang w:val="lt-LT"/>
        </w:rPr>
        <w:t>https://indicators.report/targets/3-9/</w:t>
      </w:r>
    </w:p>
  </w:footnote>
  <w:footnote w:id="16">
    <w:p w:rsidR="0010674C" w:rsidRPr="00012A47" w:rsidRDefault="0010674C" w:rsidP="00012A47">
      <w:pPr>
        <w:pStyle w:val="FootnoteText"/>
        <w:ind w:left="567" w:hanging="567"/>
        <w:rPr>
          <w:sz w:val="24"/>
          <w:lang w:val="lt-LT"/>
        </w:rPr>
      </w:pPr>
      <w:r w:rsidRPr="00012A47">
        <w:rPr>
          <w:rStyle w:val="FootnoteReference"/>
          <w:sz w:val="24"/>
          <w:lang w:val="lt-LT"/>
        </w:rPr>
        <w:footnoteRef/>
      </w:r>
      <w:r w:rsidR="00012A47" w:rsidRPr="00012A47">
        <w:rPr>
          <w:sz w:val="24"/>
          <w:lang w:val="lt-LT"/>
        </w:rPr>
        <w:t xml:space="preserve"> </w:t>
      </w:r>
      <w:r w:rsidR="00012A47" w:rsidRPr="00012A47">
        <w:rPr>
          <w:sz w:val="24"/>
          <w:lang w:val="lt-LT"/>
        </w:rPr>
        <w:tab/>
      </w:r>
      <w:hyperlink r:id="rId19" w:history="1">
        <w:r w:rsidRPr="00012A47">
          <w:rPr>
            <w:rStyle w:val="Hyperlink"/>
            <w:sz w:val="24"/>
            <w:lang w:val="lt-LT"/>
          </w:rPr>
          <w:t>https://commission.europa.eu/document/2c64e540-c07a-4376-a1da-368d289f4afe_en</w:t>
        </w:r>
      </w:hyperlink>
    </w:p>
  </w:footnote>
  <w:footnote w:id="17">
    <w:p w:rsidR="0010674C" w:rsidRPr="00012A47" w:rsidRDefault="0010674C" w:rsidP="00012A47">
      <w:pPr>
        <w:pStyle w:val="FootnoteText"/>
        <w:ind w:left="567" w:hanging="567"/>
        <w:rPr>
          <w:sz w:val="24"/>
          <w:lang w:val="lt-LT"/>
        </w:rPr>
      </w:pPr>
      <w:r w:rsidRPr="00012A47">
        <w:rPr>
          <w:rStyle w:val="FootnoteReference"/>
          <w:sz w:val="24"/>
          <w:lang w:val="lt-LT"/>
        </w:rPr>
        <w:footnoteRef/>
      </w:r>
      <w:r w:rsidR="00012A47" w:rsidRPr="00012A47">
        <w:rPr>
          <w:sz w:val="24"/>
          <w:lang w:val="lt-LT"/>
        </w:rPr>
        <w:t xml:space="preserve"> </w:t>
      </w:r>
      <w:r w:rsidR="00012A47" w:rsidRPr="00012A47">
        <w:rPr>
          <w:sz w:val="24"/>
          <w:lang w:val="lt-LT"/>
        </w:rPr>
        <w:tab/>
      </w:r>
      <w:r w:rsidRPr="00012A47">
        <w:rPr>
          <w:sz w:val="24"/>
          <w:lang w:val="lt-LT"/>
        </w:rPr>
        <w:t>Pagal Reglamento (ES) Nr. 182/2011 6 straipsnio 3 dalį Komisija „gali“, o ne „turi“ suteikti leidimą, jei apeliaciniame komitete nėra pritariančios kvalifikuotos valstybių narių balsų daugumos.</w:t>
      </w:r>
    </w:p>
  </w:footnote>
  <w:footnote w:id="18">
    <w:p w:rsidR="0010674C" w:rsidRPr="00012A47" w:rsidRDefault="0010674C" w:rsidP="00012A47">
      <w:pPr>
        <w:pStyle w:val="FootnoteText"/>
        <w:ind w:left="567" w:hanging="567"/>
        <w:rPr>
          <w:sz w:val="24"/>
          <w:lang w:val="lt-LT"/>
        </w:rPr>
      </w:pPr>
      <w:r w:rsidRPr="00012A47">
        <w:rPr>
          <w:rStyle w:val="FootnoteReference"/>
          <w:sz w:val="24"/>
          <w:lang w:val="lt-LT"/>
        </w:rPr>
        <w:footnoteRef/>
      </w:r>
      <w:r w:rsidR="00012A47" w:rsidRPr="00012A47">
        <w:rPr>
          <w:sz w:val="24"/>
          <w:lang w:val="lt-LT"/>
        </w:rPr>
        <w:t xml:space="preserve"> </w:t>
      </w:r>
      <w:r w:rsidR="00012A47" w:rsidRPr="00012A47">
        <w:rPr>
          <w:sz w:val="24"/>
          <w:lang w:val="lt-LT"/>
        </w:rPr>
        <w:tab/>
      </w:r>
      <w:r w:rsidRPr="00012A47">
        <w:rPr>
          <w:sz w:val="24"/>
          <w:lang w:val="lt-LT"/>
        </w:rPr>
        <w:t xml:space="preserve">2002 m. sausio 28 d. Europos Parlamento ir Tarybos reglamentas (EB) Nr. 178/2002, nustatantis maistui skirtų teisės aktų bendruosius principus ir reikalavimus, įsteigiantis Europos maisto saugos tarnybą ir nustatantis su maisto saugos klausimais susijusias procedūras (OL L 31, 2002 2 1, p. 1, ELI: </w:t>
      </w:r>
      <w:hyperlink r:id="rId20" w:tooltip="Prieiga prie šio dokumento per jo ELI nuorodą." w:history="1">
        <w:r w:rsidRPr="00012A47">
          <w:rPr>
            <w:rStyle w:val="Hyperlink"/>
            <w:sz w:val="24"/>
            <w:lang w:val="lt-LT"/>
          </w:rPr>
          <w:t>http://data.europa.eu/eli/reg/2002/178/oj</w:t>
        </w:r>
      </w:hyperlink>
      <w:r w:rsidRPr="00012A47">
        <w:rPr>
          <w:sz w:val="24"/>
          <w:lang w:val="lt-LT"/>
        </w:rPr>
        <w:t>).</w:t>
      </w:r>
    </w:p>
  </w:footnote>
  <w:footnote w:id="19">
    <w:p w:rsidR="0010674C" w:rsidRPr="00012A47" w:rsidRDefault="0010674C" w:rsidP="00012A47">
      <w:pPr>
        <w:pStyle w:val="FootnoteText"/>
        <w:ind w:left="567" w:hanging="567"/>
        <w:rPr>
          <w:sz w:val="24"/>
          <w:lang w:val="lt-LT"/>
        </w:rPr>
      </w:pPr>
      <w:r w:rsidRPr="00012A47">
        <w:rPr>
          <w:rStyle w:val="FootnoteReference"/>
          <w:sz w:val="24"/>
          <w:lang w:val="lt-LT"/>
        </w:rPr>
        <w:footnoteRef/>
      </w:r>
      <w:r w:rsidR="00012A47" w:rsidRPr="00012A47">
        <w:rPr>
          <w:sz w:val="24"/>
          <w:lang w:val="lt-LT"/>
        </w:rPr>
        <w:t xml:space="preserve"> </w:t>
      </w:r>
      <w:r w:rsidR="00012A47" w:rsidRPr="00012A47">
        <w:rPr>
          <w:sz w:val="24"/>
          <w:lang w:val="lt-LT"/>
        </w:rPr>
        <w:tab/>
      </w:r>
      <w:r w:rsidRPr="00012A47">
        <w:rPr>
          <w:sz w:val="24"/>
          <w:lang w:val="lt-LT"/>
        </w:rPr>
        <w:t xml:space="preserve">2022 m. gruodžio mėn. per JT BĮK COP15 buvo susitarta dėl pasaulinės biologinės įvairovės strategijos, į kurią įtrauktas pasaulinis tikslas iki 2030 m. bent 50 proc. sumažinti pesticidų keliamą riziką (žr. </w:t>
      </w:r>
      <w:hyperlink r:id="rId21" w:history="1">
        <w:r w:rsidRPr="00012A47">
          <w:rPr>
            <w:rStyle w:val="Hyperlink"/>
            <w:sz w:val="24"/>
            <w:lang w:val="lt-LT"/>
          </w:rPr>
          <w:t>https://ec.europa.eu/commission/presscorner/detail/lt/ip_22_7834</w:t>
        </w:r>
      </w:hyperlink>
      <w:r w:rsidRPr="00012A47">
        <w:rPr>
          <w:sz w:val="24"/>
          <w:lang w:val="lt-LT"/>
        </w:rPr>
        <w:t>).</w:t>
      </w:r>
    </w:p>
  </w:footnote>
  <w:footnote w:id="20">
    <w:p w:rsidR="0010674C" w:rsidRPr="00012A47" w:rsidRDefault="0010674C" w:rsidP="00012A47">
      <w:pPr>
        <w:pStyle w:val="FootnoteText"/>
        <w:ind w:left="567" w:hanging="567"/>
        <w:rPr>
          <w:sz w:val="24"/>
          <w:lang w:val="lt-LT"/>
        </w:rPr>
      </w:pPr>
      <w:r w:rsidRPr="00012A47">
        <w:rPr>
          <w:rStyle w:val="FootnoteReference"/>
          <w:sz w:val="24"/>
          <w:lang w:val="lt-LT"/>
        </w:rPr>
        <w:footnoteRef/>
      </w:r>
      <w:r w:rsidR="00012A47" w:rsidRPr="00012A47">
        <w:rPr>
          <w:sz w:val="24"/>
          <w:lang w:val="lt-LT"/>
        </w:rPr>
        <w:t xml:space="preserve"> </w:t>
      </w:r>
      <w:r w:rsidR="00012A47" w:rsidRPr="00012A47">
        <w:rPr>
          <w:sz w:val="24"/>
          <w:lang w:val="lt-LT"/>
        </w:rPr>
        <w:tab/>
      </w:r>
      <w:hyperlink r:id="rId22" w:history="1">
        <w:r w:rsidRPr="00012A47">
          <w:rPr>
            <w:rStyle w:val="Hyperlink"/>
            <w:sz w:val="24"/>
            <w:lang w:val="lt-LT"/>
          </w:rPr>
          <w:t>https://tillymetz.lu/wp-content/uploads/2020/09/Co-signed-letter-MEP-Metz.pdf</w:t>
        </w:r>
      </w:hyperlink>
      <w:r w:rsidRPr="00012A47">
        <w:rPr>
          <w:rStyle w:val="Hyperlink"/>
          <w:sz w:val="24"/>
          <w:lang w:val="lt-LT"/>
        </w:rPr>
        <w:t>.</w:t>
      </w:r>
    </w:p>
  </w:footnote>
  <w:footnote w:id="21">
    <w:p w:rsidR="0010674C" w:rsidRPr="00012A47" w:rsidRDefault="0010674C" w:rsidP="00012A47">
      <w:pPr>
        <w:pStyle w:val="FootnoteText"/>
        <w:ind w:left="567" w:hanging="567"/>
        <w:rPr>
          <w:sz w:val="24"/>
          <w:lang w:val="lt-LT"/>
        </w:rPr>
      </w:pPr>
      <w:r w:rsidRPr="00012A47">
        <w:rPr>
          <w:rStyle w:val="FootnoteReference"/>
          <w:sz w:val="24"/>
          <w:lang w:val="lt-LT"/>
        </w:rPr>
        <w:footnoteRef/>
      </w:r>
      <w:r w:rsidR="00012A47" w:rsidRPr="00012A47">
        <w:rPr>
          <w:sz w:val="24"/>
          <w:lang w:val="lt-LT"/>
        </w:rPr>
        <w:t xml:space="preserve"> </w:t>
      </w:r>
      <w:r w:rsidR="00012A47" w:rsidRPr="00012A47">
        <w:rPr>
          <w:sz w:val="24"/>
          <w:lang w:val="lt-LT"/>
        </w:rPr>
        <w:tab/>
      </w:r>
      <w:r w:rsidRPr="00012A47">
        <w:rPr>
          <w:sz w:val="24"/>
          <w:lang w:val="lt-LT"/>
        </w:rPr>
        <w:t>2020 m. sausio 15 d. Europos Parlamento rezoliucija dėl Europos žaliojo kurso (OL C 270, 2021 7 7, p. 2), 102 dalis.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2A4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2A4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2A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8/2024"/>
    <w:docVar w:name="dvlangue" w:val="LT"/>
    <w:docVar w:name="dvnumam" w:val="0"/>
    <w:docVar w:name="dvpe" w:val="763.279"/>
    <w:docVar w:name="dvrapporteur" w:val="Pranešėjai: "/>
    <w:docVar w:name="dvtitre" w:val="Europos Parlamento rezoliucija dėl Komisijos įgyvendinimo sprendimo, kuriuo pagal Europos Parlamento ir Tarybos reglamentą (EB) Nr. 1829/2003 atnaujinamas leidimas pateikti rinkai produktus, kurių sudėtyje yra genetiškai modifikuotų kukurūzų MON 89034 × 1507 × NK603, kurie iš jų sudaryti arba kurie iš jų pagaminti, projekto(D098497/04 – 2024/2836(RSP))"/>
  </w:docVars>
  <w:rsids>
    <w:rsidRoot w:val="00530187"/>
    <w:rsid w:val="00002272"/>
    <w:rsid w:val="00012A47"/>
    <w:rsid w:val="00064002"/>
    <w:rsid w:val="000677B9"/>
    <w:rsid w:val="000831BA"/>
    <w:rsid w:val="000A42CC"/>
    <w:rsid w:val="000E7DD9"/>
    <w:rsid w:val="0010095E"/>
    <w:rsid w:val="0010674C"/>
    <w:rsid w:val="00125B37"/>
    <w:rsid w:val="00187494"/>
    <w:rsid w:val="001F32AE"/>
    <w:rsid w:val="002767FF"/>
    <w:rsid w:val="002B18FE"/>
    <w:rsid w:val="002B5493"/>
    <w:rsid w:val="00302248"/>
    <w:rsid w:val="00324FA2"/>
    <w:rsid w:val="00343214"/>
    <w:rsid w:val="00361C00"/>
    <w:rsid w:val="00395FA1"/>
    <w:rsid w:val="003E15D4"/>
    <w:rsid w:val="00411CCE"/>
    <w:rsid w:val="0041666E"/>
    <w:rsid w:val="00421060"/>
    <w:rsid w:val="00471C19"/>
    <w:rsid w:val="004867E3"/>
    <w:rsid w:val="00494A28"/>
    <w:rsid w:val="004C0004"/>
    <w:rsid w:val="004C5D52"/>
    <w:rsid w:val="004E6724"/>
    <w:rsid w:val="004F6675"/>
    <w:rsid w:val="0050519A"/>
    <w:rsid w:val="005072A1"/>
    <w:rsid w:val="00514517"/>
    <w:rsid w:val="00530187"/>
    <w:rsid w:val="00545827"/>
    <w:rsid w:val="00560270"/>
    <w:rsid w:val="005C2568"/>
    <w:rsid w:val="005F1B17"/>
    <w:rsid w:val="006037C0"/>
    <w:rsid w:val="00632A94"/>
    <w:rsid w:val="006631B6"/>
    <w:rsid w:val="00680577"/>
    <w:rsid w:val="006F74FA"/>
    <w:rsid w:val="00731ADD"/>
    <w:rsid w:val="00734777"/>
    <w:rsid w:val="00747932"/>
    <w:rsid w:val="00751A4A"/>
    <w:rsid w:val="00756632"/>
    <w:rsid w:val="00762C74"/>
    <w:rsid w:val="00786EC0"/>
    <w:rsid w:val="007C67D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066E"/>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09F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06591E0-299A-49CD-AC91-B436C7BC6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0674C"/>
    <w:pPr>
      <w:spacing w:before="480" w:after="240"/>
    </w:pPr>
  </w:style>
  <w:style w:type="paragraph" w:customStyle="1" w:styleId="NormalHanging12a">
    <w:name w:val="NormalHanging12a"/>
    <w:basedOn w:val="Normal"/>
    <w:rsid w:val="0010674C"/>
    <w:pPr>
      <w:spacing w:after="240"/>
      <w:ind w:left="567" w:hanging="567"/>
    </w:pPr>
  </w:style>
  <w:style w:type="character" w:styleId="Hyperlink">
    <w:name w:val="Hyperlink"/>
    <w:basedOn w:val="DefaultParagraphFont"/>
    <w:uiPriority w:val="99"/>
    <w:rsid w:val="0010674C"/>
    <w:rPr>
      <w:color w:val="0563C1" w:themeColor="hyperlink"/>
      <w:u w:val="single"/>
    </w:rPr>
  </w:style>
  <w:style w:type="paragraph" w:styleId="BalloonText">
    <w:name w:val="Balloon Text"/>
    <w:basedOn w:val="Normal"/>
    <w:link w:val="BalloonTextChar"/>
    <w:rsid w:val="004F6675"/>
    <w:rPr>
      <w:rFonts w:ascii="Segoe UI" w:hAnsi="Segoe UI" w:cs="Segoe UI"/>
      <w:sz w:val="18"/>
      <w:szCs w:val="18"/>
    </w:rPr>
  </w:style>
  <w:style w:type="character" w:customStyle="1" w:styleId="BalloonTextChar">
    <w:name w:val="Balloon Text Char"/>
    <w:basedOn w:val="DefaultParagraphFont"/>
    <w:link w:val="BalloonText"/>
    <w:rsid w:val="004F6675"/>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onlinelibrary.wiley.com/doi/full/10.1002/jat.3252" TargetMode="External"/><Relationship Id="rId18"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ec.europa.eu/commission/presscorner/detail/lt/ip_22_7834" TargetMode="External"/><Relationship Id="rId7" Type="http://schemas.openxmlformats.org/officeDocument/2006/relationships/hyperlink" Target="https://www.ncbi.nlm.nih.gov/pubmed/26296738" TargetMode="External"/><Relationship Id="rId12" Type="http://schemas.openxmlformats.org/officeDocument/2006/relationships/hyperlink" Target="https://www.ncbi.nlm.nih.gov/pmc/articles/PMC6612199/" TargetMode="External"/><Relationship Id="rId17" Type="http://schemas.openxmlformats.org/officeDocument/2006/relationships/hyperlink" Target="https://agriculture.ec.europa.eu/document/download/171329ff-0f50-4fa5-946f-aea11032172e_en?filename=strategic-dialogue-report-2024_en.pdf" TargetMode="External"/><Relationship Id="rId2" Type="http://schemas.openxmlformats.org/officeDocument/2006/relationships/hyperlink" Target="http://data.europa.eu/eli/reg/2003/1829/oj" TargetMode="External"/><Relationship Id="rId16" Type="http://schemas.openxmlformats.org/officeDocument/2006/relationships/hyperlink" Target="https://efsa.onlinelibrary.wiley.com/action/downloadSupplement?doi=10.2903/j.efsa.2024.8716&amp;file=efs28716-sup-0012-Annex8.pdf" TargetMode="External"/><Relationship Id="rId20" Type="http://schemas.openxmlformats.org/officeDocument/2006/relationships/hyperlink" Target="http://data.europa.eu/eli/reg/2002/178/oj" TargetMode="External"/><Relationship Id="rId1" Type="http://schemas.openxmlformats.org/officeDocument/2006/relationships/hyperlink" Target="http://data.europa.eu/eli/dec_impl/2024/2628/oj" TargetMode="External"/><Relationship Id="rId6" Type="http://schemas.openxmlformats.org/officeDocument/2006/relationships/hyperlink" Target="https://doi.org/10.1126/science.abe1148" TargetMode="External"/><Relationship Id="rId11" Type="http://schemas.openxmlformats.org/officeDocument/2006/relationships/hyperlink" Target="https://journals.plos.org/plosone/article?id=10.1371/journal.pone.0219610" TargetMode="External"/><Relationship Id="rId5" Type="http://schemas.openxmlformats.org/officeDocument/2006/relationships/hyperlink" Target="http://data.europa.eu/eli/reg_impl/2013/503/oj" TargetMode="External"/><Relationship Id="rId15" Type="http://schemas.openxmlformats.org/officeDocument/2006/relationships/hyperlink" Target="https://doi.org/10.3389/fenvs.2015.00071" TargetMode="External"/><Relationship Id="rId10" Type="http://schemas.openxmlformats.org/officeDocument/2006/relationships/hyperlink" Target="https://academic.oup.com/ije/advance-article/doi/10.1093/ije/dyz017/5382278" TargetMode="External"/><Relationship Id="rId19" Type="http://schemas.openxmlformats.org/officeDocument/2006/relationships/hyperlink" Target="https://commission.europa.eu/document/2c64e540-c07a-4376-a1da-368d289f4afe_en" TargetMode="External"/><Relationship Id="rId4" Type="http://schemas.openxmlformats.org/officeDocument/2006/relationships/hyperlink" Target="https://doi.org/10.2903/j.efsa.2024.8716" TargetMode="External"/><Relationship Id="rId9" Type="http://schemas.openxmlformats.org/officeDocument/2006/relationships/hyperlink" Target="https://www.sciencedirect.com/science/article/pii/S1383574218300887" TargetMode="External"/><Relationship Id="rId14" Type="http://schemas.openxmlformats.org/officeDocument/2006/relationships/hyperlink" Target="https://www.sciencedirect.com/science/article/pii/S0278691516300722?via=ihub" TargetMode="External"/><Relationship Id="rId22"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47A2A-70C3-4962-9F3D-BE71D8505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1722</Words>
  <Characters>11614</Characters>
  <Application>Microsoft Office Word</Application>
  <DocSecurity>0</DocSecurity>
  <Lines>1161</Lines>
  <Paragraphs>1212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2024-11-26T14:59:00Z</dcterms:created>
  <dcterms:modified xsi:type="dcterms:W3CDTF">2024-11-26T14:59:00Z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B10-0148/2024</vt:lpwstr>
  </property>
  <property fmtid="{D5CDD505-2E9C-101B-9397-08002B2CF9AE}" pid="4" name="&lt;Type&gt;">
    <vt:lpwstr>RR</vt:lpwstr>
  </property>
</Properties>
</file>