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23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23C2" w:rsidRDefault="00E54745" w:rsidP="0010095E">
            <w:pPr>
              <w:pStyle w:val="EPName"/>
            </w:pPr>
            <w:bookmarkStart w:id="0" w:name="_GoBack"/>
            <w:bookmarkEnd w:id="0"/>
            <w:r w:rsidRPr="000D23C2">
              <w:t>Európsky parlament</w:t>
            </w:r>
          </w:p>
          <w:p w:rsidR="00751A4A" w:rsidRPr="000D23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23C2">
              <w:t>2024</w:t>
            </w:r>
            <w:r w:rsidR="00817416" w:rsidRPr="000D23C2">
              <w:t>-202</w:t>
            </w:r>
            <w:r w:rsidRPr="000D23C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D23C2" w:rsidRDefault="00187494" w:rsidP="0010095E">
            <w:pPr>
              <w:pStyle w:val="EPLogo"/>
            </w:pPr>
            <w:r w:rsidRPr="000D23C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23C2" w:rsidRDefault="00D058B8" w:rsidP="004C5D52">
      <w:pPr>
        <w:pStyle w:val="LineTop"/>
      </w:pPr>
    </w:p>
    <w:p w:rsidR="00680577" w:rsidRPr="000D23C2" w:rsidRDefault="00E54745" w:rsidP="00680577">
      <w:pPr>
        <w:pStyle w:val="EPBodyTA1"/>
      </w:pPr>
      <w:r w:rsidRPr="000D23C2">
        <w:t>PRIJATÉ TEXTY</w:t>
      </w:r>
    </w:p>
    <w:p w:rsidR="00D058B8" w:rsidRPr="000D23C2" w:rsidRDefault="00D058B8" w:rsidP="00D058B8">
      <w:pPr>
        <w:pStyle w:val="LineBottom"/>
      </w:pPr>
    </w:p>
    <w:p w:rsidR="00E54745" w:rsidRPr="000D23C2" w:rsidRDefault="00E54745" w:rsidP="00E54745">
      <w:pPr>
        <w:pStyle w:val="ATHeading1"/>
      </w:pPr>
      <w:bookmarkStart w:id="1" w:name="TANumber"/>
      <w:r w:rsidRPr="000D23C2">
        <w:t>P10_TA(2024)00</w:t>
      </w:r>
      <w:r w:rsidR="00195520" w:rsidRPr="000D23C2">
        <w:t>38</w:t>
      </w:r>
      <w:bookmarkEnd w:id="1"/>
    </w:p>
    <w:p w:rsidR="00E54745" w:rsidRPr="000D23C2" w:rsidRDefault="00E54745" w:rsidP="00E54745">
      <w:pPr>
        <w:pStyle w:val="ATHeading2"/>
      </w:pPr>
      <w:bookmarkStart w:id="2" w:name="title"/>
      <w:r w:rsidRPr="000D23C2">
        <w:t>Geneticky modifikovaná kukurica MON 89034 × 1507 ×</w:t>
      </w:r>
      <w:r w:rsidR="004746E9" w:rsidRPr="000D23C2">
        <w:t xml:space="preserve"> </w:t>
      </w:r>
      <w:r w:rsidRPr="000D23C2">
        <w:t>NK603</w:t>
      </w:r>
      <w:bookmarkEnd w:id="2"/>
    </w:p>
    <w:p w:rsidR="00E54745" w:rsidRPr="000D23C2" w:rsidRDefault="00E54745" w:rsidP="00E54745">
      <w:pPr>
        <w:rPr>
          <w:i/>
          <w:vanish/>
        </w:rPr>
      </w:pPr>
      <w:r w:rsidRPr="000D23C2">
        <w:rPr>
          <w:i/>
        </w:rPr>
        <w:fldChar w:fldCharType="begin"/>
      </w:r>
      <w:r w:rsidRPr="000D23C2">
        <w:rPr>
          <w:i/>
        </w:rPr>
        <w:instrText xml:space="preserve"> TC"(</w:instrText>
      </w:r>
      <w:bookmarkStart w:id="3" w:name="DocNumber"/>
      <w:r w:rsidRPr="000D23C2">
        <w:rPr>
          <w:i/>
        </w:rPr>
        <w:instrText>B10-0148/2024</w:instrText>
      </w:r>
      <w:bookmarkEnd w:id="3"/>
      <w:r w:rsidRPr="000D23C2">
        <w:rPr>
          <w:i/>
        </w:rPr>
        <w:instrText xml:space="preserve">)"\l3 \n&gt; \* MERGEFORMAT </w:instrText>
      </w:r>
      <w:r w:rsidRPr="000D23C2">
        <w:rPr>
          <w:i/>
        </w:rPr>
        <w:fldChar w:fldCharType="end"/>
      </w:r>
    </w:p>
    <w:p w:rsidR="00E54745" w:rsidRPr="000D23C2" w:rsidRDefault="00E54745" w:rsidP="00E54745">
      <w:pPr>
        <w:rPr>
          <w:vanish/>
        </w:rPr>
      </w:pPr>
      <w:bookmarkStart w:id="4" w:name="PE"/>
      <w:r w:rsidRPr="000D23C2">
        <w:rPr>
          <w:vanish/>
        </w:rPr>
        <w:t>PE763.279</w:t>
      </w:r>
      <w:bookmarkEnd w:id="4"/>
    </w:p>
    <w:p w:rsidR="00E54745" w:rsidRPr="000D23C2" w:rsidRDefault="00E54745" w:rsidP="00E54745">
      <w:pPr>
        <w:pStyle w:val="ATHeading3"/>
      </w:pPr>
      <w:bookmarkStart w:id="5" w:name="Sujet"/>
      <w:r w:rsidRPr="000D23C2">
        <w:t>Uznesenie Európskeho parlamentu z</w:t>
      </w:r>
      <w:r w:rsidR="0013798C" w:rsidRPr="000D23C2">
        <w:t> 26</w:t>
      </w:r>
      <w:r w:rsidRPr="000D23C2">
        <w:t>. novembra 2024 o vykonávac</w:t>
      </w:r>
      <w:r w:rsidR="0013798C" w:rsidRPr="000D23C2">
        <w:t>om</w:t>
      </w:r>
      <w:r w:rsidRPr="000D23C2">
        <w:t xml:space="preserve"> rozhodnut</w:t>
      </w:r>
      <w:r w:rsidR="0013798C" w:rsidRPr="000D23C2">
        <w:t>í</w:t>
      </w:r>
      <w:r w:rsidRPr="000D23C2">
        <w:t xml:space="preserve"> Komisie </w:t>
      </w:r>
      <w:r w:rsidR="0013798C" w:rsidRPr="000D23C2">
        <w:t xml:space="preserve">(EÚ) 2024/2628 </w:t>
      </w:r>
      <w:r w:rsidRPr="000D23C2">
        <w:t>o obnovení povolenia umiestniť na trh výrobky, ktoré obsahujú geneticky modifikovanú kukuricu MON 89034 × 1507 × NK603, sú z nej zložené alebo vyrobené, podľa nariadenia Európskeho parlamentu a Rady (ES) č. 1829/2003</w:t>
      </w:r>
      <w:bookmarkEnd w:id="5"/>
      <w:r w:rsidRPr="000D23C2">
        <w:t xml:space="preserve"> </w:t>
      </w:r>
      <w:bookmarkStart w:id="6" w:name="References"/>
      <w:r w:rsidRPr="000D23C2">
        <w:t>(2024/2836(RSP))</w:t>
      </w:r>
      <w:bookmarkEnd w:id="6"/>
    </w:p>
    <w:p w:rsidR="000650DD" w:rsidRPr="000D23C2" w:rsidRDefault="000650DD" w:rsidP="000650DD">
      <w:pPr>
        <w:pStyle w:val="EPComma"/>
      </w:pPr>
      <w:bookmarkStart w:id="7" w:name="TextBodyBegin"/>
      <w:bookmarkEnd w:id="7"/>
      <w:r w:rsidRPr="000D23C2">
        <w:rPr>
          <w:i/>
        </w:rPr>
        <w:t>Európsky parlament</w:t>
      </w:r>
      <w:r w:rsidRPr="000D23C2">
        <w:t>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  <w:t>so zreteľom na vykonávacie rozhodnuti</w:t>
      </w:r>
      <w:r w:rsidR="0013798C" w:rsidRPr="000D23C2">
        <w:t>e</w:t>
      </w:r>
      <w:r w:rsidRPr="000D23C2">
        <w:t xml:space="preserve"> Komisie </w:t>
      </w:r>
      <w:r w:rsidR="0013798C" w:rsidRPr="000D23C2">
        <w:t xml:space="preserve">(EÚ) 2024/2628 </w:t>
      </w:r>
      <w:r w:rsidRPr="000D23C2">
        <w:t>o obnovení povolenia umiestniť na trh výrobky, ktoré obsahujú geneticky modifikovanú kukuricu MON 89034 × 1507 × NK603, sú z nej zložené alebo vyrobené, podľa nariadenia Európskeho parlamentu a Rady (ES) č. 1829/2003</w:t>
      </w:r>
      <w:r w:rsidR="0013798C" w:rsidRPr="000D23C2">
        <w:rPr>
          <w:rStyle w:val="FootnoteReference"/>
        </w:rPr>
        <w:footnoteReference w:id="1"/>
      </w:r>
      <w:r w:rsidRPr="000D23C2">
        <w:t>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  <w:t>so zreteľom na nariadenie Európskeho parlamentu a Rady (ES) č. 1829/2003 z 22. septembra 2003 o geneticky modifikovaných potravinách a krmivách</w:t>
      </w:r>
      <w:r w:rsidRPr="000D23C2">
        <w:rPr>
          <w:rStyle w:val="FootnoteReference"/>
          <w:szCs w:val="24"/>
        </w:rPr>
        <w:footnoteReference w:id="2"/>
      </w:r>
      <w:r w:rsidRPr="000D23C2">
        <w:t>, a najmä na jeho článok 11 ods. 3 a článok 23 ods. 3,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  <w:t xml:space="preserve">so zreteľom na </w:t>
      </w:r>
      <w:r w:rsidRPr="000D23C2">
        <w:rPr>
          <w:shd w:val="clear" w:color="auto" w:fill="FFFFFF"/>
        </w:rPr>
        <w:t>hlasovanie Stáleho výboru pre rastliny, zvieratá, potraviny a krmivá, ktorý je uvedený v článku 35 nariadenia (ES) č. 1829/2003, z 8. júla 2024, počas ktorého nebolo prijaté žiadne stanovisko, a na hlasovanie odvolacieho výboru z 3. septembra 2024, počas ktorého opätovne nebolo prijaté žiadne stanovisko</w:t>
      </w:r>
      <w:r w:rsidRPr="000D23C2">
        <w:t>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r w:rsidRPr="000D23C2">
        <w:rPr>
          <w:rStyle w:val="FootnoteReference"/>
          <w:szCs w:val="24"/>
        </w:rPr>
        <w:footnoteReference w:id="3"/>
      </w:r>
      <w:r w:rsidRPr="000D23C2">
        <w:t>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  <w:t xml:space="preserve">so zreteľom na stanovisko, ktoré prijal Európsky úrad pre bezpečnosť potravín (EFSA) </w:t>
      </w:r>
      <w:r w:rsidRPr="000D23C2">
        <w:lastRenderedPageBreak/>
        <w:t>13. marca 2024 a ktoré bolo uverejnené 29. apríla 2024</w:t>
      </w:r>
      <w:r w:rsidRPr="000D23C2">
        <w:rPr>
          <w:rStyle w:val="FootnoteReference"/>
          <w:szCs w:val="24"/>
        </w:rPr>
        <w:footnoteReference w:id="4"/>
      </w:r>
      <w:r w:rsidRPr="000D23C2">
        <w:t>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</w:r>
      <w:r w:rsidRPr="000D23C2">
        <w:rPr>
          <w:shd w:val="clear" w:color="auto" w:fill="FFFFFF"/>
        </w:rPr>
        <w:t>so zreteľom na svoje predchádzajúce uznesenia, v ktorých namieta proti povoľovaniu geneticky modifikovaných organizmov (ďalej len „GMO“)</w:t>
      </w:r>
      <w:r w:rsidRPr="000D23C2">
        <w:rPr>
          <w:szCs w:val="24"/>
          <w:shd w:val="clear" w:color="auto" w:fill="FFFFFF"/>
          <w:vertAlign w:val="superscript"/>
        </w:rPr>
        <w:footnoteReference w:id="5"/>
      </w:r>
      <w:r w:rsidRPr="000D23C2">
        <w:rPr>
          <w:shd w:val="clear" w:color="auto" w:fill="FFFFFF"/>
        </w:rPr>
        <w:t>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  <w:t>so zreteľom na článok 115 ods. 2 a 3 rokovacieho poriadku,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–</w:t>
      </w:r>
      <w:r w:rsidRPr="000D23C2">
        <w:tab/>
        <w:t>so zreteľom na návrh uznesenia Výboru pre životné prostredie, verejné zdravie a bezpečnosť potravín,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A.</w:t>
      </w:r>
      <w:r w:rsidRPr="000D23C2">
        <w:tab/>
        <w:t xml:space="preserve">keďže 21. októbra 2022 spoločnosť </w:t>
      </w:r>
      <w:proofErr w:type="spellStart"/>
      <w:r w:rsidRPr="000D23C2">
        <w:t>Corteva</w:t>
      </w:r>
      <w:proofErr w:type="spellEnd"/>
      <w:r w:rsidRPr="000D23C2">
        <w:t xml:space="preserve"> </w:t>
      </w:r>
      <w:proofErr w:type="spellStart"/>
      <w:r w:rsidRPr="000D23C2">
        <w:t>Agriscience</w:t>
      </w:r>
      <w:proofErr w:type="spellEnd"/>
      <w:r w:rsidRPr="000D23C2">
        <w:t xml:space="preserve"> </w:t>
      </w:r>
      <w:proofErr w:type="spellStart"/>
      <w:r w:rsidRPr="000D23C2">
        <w:t>Belgium</w:t>
      </w:r>
      <w:proofErr w:type="spellEnd"/>
      <w:r w:rsidRPr="000D23C2">
        <w:t xml:space="preserve"> BV so sídlom v Belgicku v mene spoločnosti </w:t>
      </w:r>
      <w:proofErr w:type="spellStart"/>
      <w:r w:rsidRPr="000D23C2">
        <w:t>Corteva</w:t>
      </w:r>
      <w:proofErr w:type="spellEnd"/>
      <w:r w:rsidRPr="000D23C2">
        <w:t xml:space="preserve"> </w:t>
      </w:r>
      <w:proofErr w:type="spellStart"/>
      <w:r w:rsidRPr="000D23C2">
        <w:t>Agriscience</w:t>
      </w:r>
      <w:proofErr w:type="spellEnd"/>
      <w:r w:rsidRPr="000D23C2">
        <w:t xml:space="preserve"> LLC so sídlom v Spojených štátoch a spoločnosť Bayer </w:t>
      </w:r>
      <w:proofErr w:type="spellStart"/>
      <w:r w:rsidRPr="000D23C2">
        <w:t>Agriculture</w:t>
      </w:r>
      <w:proofErr w:type="spellEnd"/>
      <w:r w:rsidRPr="000D23C2">
        <w:t xml:space="preserve"> BV so sídlom v Belgicku v mene spoločnosti Bayer </w:t>
      </w:r>
      <w:proofErr w:type="spellStart"/>
      <w:r w:rsidRPr="000D23C2">
        <w:t>CropScience</w:t>
      </w:r>
      <w:proofErr w:type="spellEnd"/>
      <w:r w:rsidRPr="000D23C2">
        <w:t xml:space="preserve"> LP so sídlom v Spojených štátoch spoločne predložili Komisii žiadosť o obnovenie povolenia geneticky modifikovanej kukurice MON 89034 × 1507 × NK603 (ďalej len „geneticky modifikovaná kukurica“);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B.</w:t>
      </w:r>
      <w:r w:rsidRPr="000D23C2">
        <w:tab/>
        <w:t>keďže úrad EFSA prijal 13. marca 2024 kladné stanovisko, ktoré bolo uverejnené 26. apríla 2024;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C.</w:t>
      </w:r>
      <w:r w:rsidRPr="000D23C2">
        <w:tab/>
        <w:t xml:space="preserve">keďže geneticky modifikovaná kukurica obsahuje gény, ktoré vyvolávajú rezistenciu voči </w:t>
      </w:r>
      <w:proofErr w:type="spellStart"/>
      <w:r w:rsidRPr="000D23C2">
        <w:t>glyfozátu</w:t>
      </w:r>
      <w:proofErr w:type="spellEnd"/>
      <w:r w:rsidRPr="000D23C2">
        <w:t>, a produkuje insekticídne proteíny (ďalej len „</w:t>
      </w:r>
      <w:proofErr w:type="spellStart"/>
      <w:r w:rsidRPr="000D23C2">
        <w:t>Bt</w:t>
      </w:r>
      <w:proofErr w:type="spellEnd"/>
      <w:r w:rsidRPr="000D23C2">
        <w:t xml:space="preserve"> toxíny“);</w:t>
      </w:r>
    </w:p>
    <w:p w:rsidR="000650DD" w:rsidRPr="000D23C2" w:rsidRDefault="000650DD" w:rsidP="000650DD">
      <w:pPr>
        <w:pStyle w:val="NormalHanging12a"/>
        <w:rPr>
          <w:b/>
          <w:i/>
          <w:szCs w:val="24"/>
        </w:rPr>
      </w:pPr>
      <w:r w:rsidRPr="000D23C2">
        <w:rPr>
          <w:b/>
          <w:i/>
        </w:rPr>
        <w:t>Nedostatočné posúdenie doplnkového herbicídu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D.</w:t>
      </w:r>
      <w:r w:rsidRPr="000D23C2">
        <w:tab/>
        <w:t>keďže vykonávacie nariadenie Komisie (EÚ) č. 503/2013</w:t>
      </w:r>
      <w:r w:rsidRPr="000D23C2">
        <w:rPr>
          <w:rStyle w:val="FootnoteReference"/>
          <w:szCs w:val="24"/>
        </w:rPr>
        <w:footnoteReference w:id="6"/>
      </w:r>
      <w:r w:rsidRPr="000D23C2">
        <w:t xml:space="preserve"> si vyžaduje posúdenie, či očakávané poľnohospodárske postupy ovplyvňujú výsledok skúmaných parametrov; keďže podľa uvedeného vykonávacieho nariadenia sa to týka najmä rastlín tolerantných k herbicídom;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E.</w:t>
      </w:r>
      <w:r w:rsidRPr="000D23C2">
        <w:tab/>
        <w:t xml:space="preserve">keďže prevažná väčšina geneticky modifikovaných plodín je geneticky modifikovaná tak, aby boli tolerantné k jednému alebo viacerým „doplnkovým“ herbicídom, ktoré sa môžu používať počas pestovania geneticky modifikovanej plodiny bez toho, aby uhynula, ako by to bolo v prípade plodiny, ktorá nie je tolerantná k herbicídom; keďže viaceré štúdie preukázali, že geneticky modifikované plodiny tolerantné k herbicídom vedú k intenzívnejšiemu používaniu doplnkových herbicídov, čo je z veľkej časti </w:t>
      </w:r>
      <w:r w:rsidRPr="000D23C2">
        <w:lastRenderedPageBreak/>
        <w:t>spôsobené výskytom buriny tolerantnej k herbicídom</w:t>
      </w:r>
      <w:r w:rsidRPr="000D23C2">
        <w:rPr>
          <w:rStyle w:val="FootnoteReference"/>
          <w:szCs w:val="24"/>
        </w:rPr>
        <w:footnoteReference w:id="7"/>
      </w:r>
      <w:r w:rsidRPr="000D23C2">
        <w:t>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F.</w:t>
      </w:r>
      <w:r w:rsidRPr="000D23C2">
        <w:tab/>
        <w:t>keďže geneticky modifikované plodiny tolerantné k herbicídom nútia poľnohospodárov používať systém ochrany proti burinám, ktorý je vo veľkej miere alebo úplne závislý od herbicídov, a to tak, že za geneticky modifikované osivo sa účtuje príplatok, ktorý môže byť odôvodnený len vtedy, ak poľnohospodári kupujúci takéto osivo používajú aj postrek doplnkovými herbicídmi; keďže zvýšená závislosť od doplnkových herbicídov v poľnohospodárskych podnikoch, v ktorých sa sadia geneticky modifikované plodiny, urýchľuje vznik a šírenie buriny rezistentnej voči týmto herbicídom, čo vyvoláva potrebu ešte väčšieho používania herbicídov, čo je začarovaný kruh neustáleho používania čoraz väčšieho množstva herbicídov;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G.</w:t>
      </w:r>
      <w:r w:rsidRPr="000D23C2">
        <w:tab/>
        <w:t>keďže nepriaznivé vplyvy vyplývajúce z nadmerného používania herbicídov zhoršujú zdravie pôdy, kvalitu vody a biodiverzitu nad zemou a pod ňou a vedú k zvýšenej expozícii ľudí a zvierat herbicídom, a to potenciálne aj prostredníctvom zvýšeného množstva rezíduí herbicídov na potravinách a krmivách;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H.</w:t>
      </w:r>
      <w:r w:rsidRPr="000D23C2">
        <w:tab/>
        <w:t xml:space="preserve">keďže úrad EFSA v novembri 2015 dospel k záveru, že </w:t>
      </w:r>
      <w:proofErr w:type="spellStart"/>
      <w:r w:rsidRPr="000D23C2">
        <w:t>glyfozát</w:t>
      </w:r>
      <w:proofErr w:type="spellEnd"/>
      <w:r w:rsidRPr="000D23C2">
        <w:t xml:space="preserve"> pravdepodobne nie je karcinogénny, a Európska chemická agentúra v marci 2017 dospela k záveru, že klasifikácia nie je odôvodnená; keďže Medzinárodná agentúra pre výskum rakoviny, špecializovaná agentúra Svetovej zdravotníckej organizácie pre rakovinu, v roku 2015 klasifikovala </w:t>
      </w:r>
      <w:proofErr w:type="spellStart"/>
      <w:r w:rsidRPr="000D23C2">
        <w:t>glyfozát</w:t>
      </w:r>
      <w:proofErr w:type="spellEnd"/>
      <w:r w:rsidRPr="000D23C2">
        <w:t xml:space="preserve"> ako pravdepodobný karcinogén pre ľudí; keďže viaceré nedávne vedecké recenzované štúdie potvrdzujú karcinogénny potenciál </w:t>
      </w:r>
      <w:proofErr w:type="spellStart"/>
      <w:r w:rsidRPr="000D23C2">
        <w:t>glyfozátu</w:t>
      </w:r>
      <w:proofErr w:type="spellEnd"/>
      <w:r w:rsidRPr="000D23C2">
        <w:rPr>
          <w:rStyle w:val="FootnoteReference"/>
          <w:szCs w:val="24"/>
        </w:rPr>
        <w:footnoteReference w:id="8"/>
      </w:r>
      <w:r w:rsidRPr="000D23C2">
        <w:t>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I.</w:t>
      </w:r>
      <w:r w:rsidRPr="000D23C2">
        <w:tab/>
        <w:t xml:space="preserve">keďže posudzovanie rezíduí herbicídov a ich </w:t>
      </w:r>
      <w:proofErr w:type="spellStart"/>
      <w:r w:rsidRPr="000D23C2">
        <w:t>metabolitov</w:t>
      </w:r>
      <w:proofErr w:type="spellEnd"/>
      <w:r w:rsidRPr="000D23C2">
        <w:t xml:space="preserve"> na geneticky modifikovaných rastlinách je mimo pôsobnosti Pracovnej skupiny EFSA pre geneticky modifikované organizmy, a preto sa v rámci postupu povoľovania GMO nevykonáva;</w:t>
      </w:r>
    </w:p>
    <w:p w:rsidR="000650DD" w:rsidRPr="000D23C2" w:rsidRDefault="000650DD" w:rsidP="000650DD">
      <w:pPr>
        <w:pStyle w:val="NormalHanging12a"/>
        <w:rPr>
          <w:b/>
          <w:i/>
          <w:szCs w:val="24"/>
        </w:rPr>
      </w:pPr>
      <w:r w:rsidRPr="000D23C2">
        <w:rPr>
          <w:b/>
          <w:i/>
        </w:rPr>
        <w:t xml:space="preserve">Nevyriešené otázky týkajúce sa </w:t>
      </w:r>
      <w:proofErr w:type="spellStart"/>
      <w:r w:rsidRPr="000D23C2">
        <w:rPr>
          <w:b/>
          <w:i/>
        </w:rPr>
        <w:t>Bt</w:t>
      </w:r>
      <w:proofErr w:type="spellEnd"/>
      <w:r w:rsidRPr="000D23C2">
        <w:rPr>
          <w:b/>
          <w:i/>
        </w:rPr>
        <w:t xml:space="preserve"> toxínov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J.</w:t>
      </w:r>
      <w:r w:rsidRPr="000D23C2">
        <w:tab/>
        <w:t xml:space="preserve">keďže z viacerých štúdií vyplýva, že boli pozorované vedľajšie účinky, ktoré môžu mať po expozícii </w:t>
      </w:r>
      <w:proofErr w:type="spellStart"/>
      <w:r w:rsidRPr="000D23C2">
        <w:t>Bt</w:t>
      </w:r>
      <w:proofErr w:type="spellEnd"/>
      <w:r w:rsidRPr="000D23C2">
        <w:t xml:space="preserve"> toxínom vplyv na imunitný systém, a že niektoré </w:t>
      </w:r>
      <w:proofErr w:type="spellStart"/>
      <w:r w:rsidRPr="000D23C2">
        <w:t>Bt</w:t>
      </w:r>
      <w:proofErr w:type="spellEnd"/>
      <w:r w:rsidRPr="000D23C2">
        <w:t xml:space="preserve"> toxíny môžu mať </w:t>
      </w:r>
      <w:proofErr w:type="spellStart"/>
      <w:r w:rsidRPr="000D23C2">
        <w:lastRenderedPageBreak/>
        <w:t>adjuvantné</w:t>
      </w:r>
      <w:proofErr w:type="spellEnd"/>
      <w:r w:rsidRPr="000D23C2">
        <w:t xml:space="preserve"> vlastnosti</w:t>
      </w:r>
      <w:r w:rsidRPr="000D23C2">
        <w:rPr>
          <w:rStyle w:val="FootnoteReference"/>
          <w:szCs w:val="24"/>
        </w:rPr>
        <w:footnoteReference w:id="9"/>
      </w:r>
      <w:r w:rsidRPr="000D23C2">
        <w:t xml:space="preserve">, čo znamená, že môžu zvyšovať </w:t>
      </w:r>
      <w:proofErr w:type="spellStart"/>
      <w:r w:rsidRPr="000D23C2">
        <w:t>alergénnosť</w:t>
      </w:r>
      <w:proofErr w:type="spellEnd"/>
      <w:r w:rsidRPr="000D23C2">
        <w:t xml:space="preserve"> iných proteínov, s ktorými prichádzajú do kontaktu;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K.</w:t>
      </w:r>
      <w:r w:rsidRPr="000D23C2">
        <w:tab/>
        <w:t xml:space="preserve">keďže vo vedeckej štúdii sa zistilo, že toxicita </w:t>
      </w:r>
      <w:proofErr w:type="spellStart"/>
      <w:r w:rsidRPr="000D23C2">
        <w:t>Bt</w:t>
      </w:r>
      <w:proofErr w:type="spellEnd"/>
      <w:r w:rsidRPr="000D23C2">
        <w:t xml:space="preserve"> toxínov sa môže zvýšiť aj v dôsledku interakcie s rezíduami z postrekov herbicídmi a že sú potrebné ďalšie štúdie o kombinovaných účinkoch „kumulovaných“ udalostí (geneticky modifikované plodiny, ktoré boli modifikované tak, aby boli tolerantné voči herbicídom a produkovali insekticídy vo forme </w:t>
      </w:r>
      <w:proofErr w:type="spellStart"/>
      <w:r w:rsidRPr="000D23C2">
        <w:t>Bt</w:t>
      </w:r>
      <w:proofErr w:type="spellEnd"/>
      <w:r w:rsidRPr="000D23C2">
        <w:t xml:space="preserve"> toxínov)</w:t>
      </w:r>
      <w:r w:rsidRPr="000D23C2">
        <w:rPr>
          <w:rStyle w:val="FootnoteReference"/>
          <w:szCs w:val="24"/>
        </w:rPr>
        <w:footnoteReference w:id="10"/>
      </w:r>
      <w:r w:rsidRPr="000D23C2">
        <w:t xml:space="preserve">; keďže posudzovanie možnej interakcie rezíduí herbicídov a ich </w:t>
      </w:r>
      <w:proofErr w:type="spellStart"/>
      <w:r w:rsidRPr="000D23C2">
        <w:t>metabolitov</w:t>
      </w:r>
      <w:proofErr w:type="spellEnd"/>
      <w:r w:rsidRPr="000D23C2">
        <w:t xml:space="preserve"> s </w:t>
      </w:r>
      <w:proofErr w:type="spellStart"/>
      <w:r w:rsidRPr="000D23C2">
        <w:t>Bt</w:t>
      </w:r>
      <w:proofErr w:type="spellEnd"/>
      <w:r w:rsidRPr="000D23C2">
        <w:t xml:space="preserve"> toxínmi je však mimo pôsobnosti vedeckej skupiny EFSA, a preto sa nevykonáva v rámci posudzovania rizík;</w:t>
      </w:r>
    </w:p>
    <w:p w:rsidR="000650DD" w:rsidRPr="000D23C2" w:rsidRDefault="000650DD" w:rsidP="000650DD">
      <w:pPr>
        <w:pStyle w:val="NormalHanging12a"/>
        <w:rPr>
          <w:b/>
          <w:i/>
          <w:szCs w:val="24"/>
        </w:rPr>
      </w:pPr>
      <w:proofErr w:type="spellStart"/>
      <w:r w:rsidRPr="000D23C2">
        <w:rPr>
          <w:b/>
          <w:i/>
        </w:rPr>
        <w:t>Bt</w:t>
      </w:r>
      <w:proofErr w:type="spellEnd"/>
      <w:r w:rsidRPr="000D23C2">
        <w:rPr>
          <w:b/>
          <w:i/>
        </w:rPr>
        <w:t xml:space="preserve"> plodiny: účinky na necieľové organizmy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L.</w:t>
      </w:r>
      <w:r w:rsidRPr="000D23C2">
        <w:tab/>
        <w:t xml:space="preserve">keďže na rozdiel od používania insekticídov, pri ktorých dochádza k expozícii počas postreku a krátky čas po ňom, vedie používanie geneticky modifikovaných </w:t>
      </w:r>
      <w:proofErr w:type="spellStart"/>
      <w:r w:rsidRPr="000D23C2">
        <w:t>Bt</w:t>
      </w:r>
      <w:proofErr w:type="spellEnd"/>
      <w:r w:rsidRPr="000D23C2">
        <w:t xml:space="preserve"> plodín k trvalej expozícii cieľových aj necieľových organizmov </w:t>
      </w:r>
      <w:proofErr w:type="spellStart"/>
      <w:r w:rsidRPr="000D23C2">
        <w:t>Bt</w:t>
      </w:r>
      <w:proofErr w:type="spellEnd"/>
      <w:r w:rsidRPr="000D23C2">
        <w:t xml:space="preserve"> toxínom;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M.</w:t>
      </w:r>
      <w:r w:rsidRPr="000D23C2">
        <w:tab/>
        <w:t xml:space="preserve">keďže predpoklad, že </w:t>
      </w:r>
      <w:proofErr w:type="spellStart"/>
      <w:r w:rsidRPr="000D23C2">
        <w:t>Bt</w:t>
      </w:r>
      <w:proofErr w:type="spellEnd"/>
      <w:r w:rsidRPr="000D23C2">
        <w:t xml:space="preserve"> toxíny vykazujú jediný špecifický spôsob cieľového pôsobenia, už nemožno považovať za správny a účinky na necieľové organizmy nemožno vylúčiť; keďže je zdokumentované mnohoraké postihnutie čoraz väčšieho počtu necieľových organizmov; keďže v nedávnom prehľade sa nachádza 39 recenzovaných publikácií, v ktorých sa uvádzajú závažné nepriaznivé účinky </w:t>
      </w:r>
      <w:proofErr w:type="spellStart"/>
      <w:r w:rsidRPr="000D23C2">
        <w:t>Bt</w:t>
      </w:r>
      <w:proofErr w:type="spellEnd"/>
      <w:r w:rsidRPr="000D23C2">
        <w:t xml:space="preserve"> toxínov na mnoho necieľových druhov</w:t>
      </w:r>
      <w:r w:rsidRPr="000D23C2">
        <w:rPr>
          <w:rStyle w:val="FootnoteReference"/>
          <w:szCs w:val="24"/>
        </w:rPr>
        <w:footnoteReference w:id="11"/>
      </w:r>
      <w:r w:rsidRPr="000D23C2">
        <w:t>;</w:t>
      </w:r>
    </w:p>
    <w:p w:rsidR="000650DD" w:rsidRPr="000D23C2" w:rsidRDefault="000650DD" w:rsidP="000650DD">
      <w:pPr>
        <w:pStyle w:val="NormalHanging12a"/>
        <w:rPr>
          <w:b/>
          <w:i/>
          <w:szCs w:val="24"/>
        </w:rPr>
      </w:pPr>
      <w:r w:rsidRPr="000D23C2">
        <w:rPr>
          <w:b/>
          <w:i/>
        </w:rPr>
        <w:t>Pripomienky členských štátov a zainteresovaných strán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N.</w:t>
      </w:r>
      <w:r w:rsidRPr="000D23C2">
        <w:tab/>
        <w:t>keďže členské štáty predložili úradu EFSA počas trojmesačného konzultačného obdobia mnoho kritických pripomienok</w:t>
      </w:r>
      <w:r w:rsidRPr="000D23C2">
        <w:rPr>
          <w:rStyle w:val="FootnoteReference"/>
          <w:szCs w:val="24"/>
        </w:rPr>
        <w:footnoteReference w:id="12"/>
      </w:r>
      <w:r w:rsidRPr="000D23C2">
        <w:t xml:space="preserve">, ktoré zahŕňali aj to, že zoznam relevantných štúdií uvedených v súhrne literatúry žiadateľa neobsahoval štúdie o osude </w:t>
      </w:r>
      <w:proofErr w:type="spellStart"/>
      <w:r w:rsidRPr="000D23C2">
        <w:t>Bt</w:t>
      </w:r>
      <w:proofErr w:type="spellEnd"/>
      <w:r w:rsidRPr="000D23C2">
        <w:t xml:space="preserve">-proteínov v životnom prostredí ani o možných účinkoch rezíduí </w:t>
      </w:r>
      <w:proofErr w:type="spellStart"/>
      <w:r w:rsidRPr="000D23C2">
        <w:t>Bt</w:t>
      </w:r>
      <w:proofErr w:type="spellEnd"/>
      <w:r w:rsidRPr="000D23C2">
        <w:t xml:space="preserve">-plodín na necieľové organizmy, aj keď takéto štúdie existujú; </w:t>
      </w:r>
    </w:p>
    <w:p w:rsidR="000650DD" w:rsidRPr="000D23C2" w:rsidRDefault="000650DD" w:rsidP="00195520">
      <w:pPr>
        <w:pStyle w:val="NormalHanging12a"/>
        <w:ind w:left="0" w:firstLine="0"/>
        <w:rPr>
          <w:b/>
          <w:i/>
          <w:szCs w:val="24"/>
        </w:rPr>
      </w:pPr>
      <w:r w:rsidRPr="000D23C2">
        <w:rPr>
          <w:b/>
          <w:i/>
        </w:rPr>
        <w:t>Zabezpečenie rovnakých podmienok na celosvetovej úrovni a dodržiavanie medzinárodných záväzkov Únie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lastRenderedPageBreak/>
        <w:t>O.</w:t>
      </w:r>
      <w:r w:rsidRPr="000D23C2">
        <w:tab/>
        <w:t>keďže v záveroch strategického dialógu o budúcnosti poľnohospodárstva v EÚ</w:t>
      </w:r>
      <w:r w:rsidRPr="000D23C2">
        <w:rPr>
          <w:rStyle w:val="FootnoteReference"/>
          <w:szCs w:val="24"/>
        </w:rPr>
        <w:footnoteReference w:id="13"/>
      </w:r>
      <w:r w:rsidRPr="000D23C2">
        <w:t xml:space="preserve"> sa Komisia vyzýva, aby prehodnotila prístup, pokiaľ ide o prístup na trh pre </w:t>
      </w:r>
      <w:proofErr w:type="spellStart"/>
      <w:r w:rsidRPr="000D23C2">
        <w:t>agropotravinový</w:t>
      </w:r>
      <w:proofErr w:type="spellEnd"/>
      <w:r w:rsidRPr="000D23C2">
        <w:t xml:space="preserve"> dovoz a vývoz, a to vzhľadom na rozdiely medzi normami Únie a jej obchodných partnerov; keďže spravodlivejšie obchodné vzťahy na celosvetovej úrovni, ktoré sú v súlade s cieľmi zdravého životného prostredia, boli jednou z hlavných požiadaviek poľnohospodárov počas demonštrácií v rokoch 2023 a 2024;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P.</w:t>
      </w:r>
      <w:r w:rsidRPr="000D23C2">
        <w:tab/>
        <w:t>keďže v správe osobitného spravodajcu Organizácie Spojených národov (OSN) pre právo na výživu z roku 2017 sa konštatuje, že najmä v rozvojových krajinách majú nebezpečné pesticídy katastrofálny vplyv na zdravie</w:t>
      </w:r>
      <w:r w:rsidRPr="000D23C2">
        <w:rPr>
          <w:rStyle w:val="FootnoteReference"/>
          <w:szCs w:val="24"/>
        </w:rPr>
        <w:footnoteReference w:id="14"/>
      </w:r>
      <w:r w:rsidRPr="000D23C2">
        <w:t>; keďže podľa cieľa OSN v oblasti udržateľného rozvoja 3.9 sa má do roku 2030 podstatne znížiť počet úmrtí a ochorení spôsobených nebezpečnými chemikáliami a znečistením a kontamináciou ovzdušia, vody a pôdy;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Q.</w:t>
      </w:r>
      <w:r w:rsidRPr="000D23C2">
        <w:tab/>
        <w:t>keďže Globálny rámec pre biodiverzitu z </w:t>
      </w:r>
      <w:proofErr w:type="spellStart"/>
      <w:r w:rsidRPr="000D23C2">
        <w:t>Kchun-mingu</w:t>
      </w:r>
      <w:proofErr w:type="spellEnd"/>
      <w:r w:rsidRPr="000D23C2">
        <w:t xml:space="preserve"> a Montrealu (ďalej len „rámec z </w:t>
      </w:r>
      <w:proofErr w:type="spellStart"/>
      <w:r w:rsidRPr="000D23C2">
        <w:t>Kchun-mingu</w:t>
      </w:r>
      <w:proofErr w:type="spellEnd"/>
      <w:r w:rsidRPr="000D23C2">
        <w:t xml:space="preserve"> a Montrealu“), dohodnutý na 15. konferencii zmluvných strán Dohovoru OSN o biologickej diverzite (CBD OSN) v decembri 2022, zahŕňa globálny cieľ znížiť riziko spojené s používaním pesticídov do roku 2030 aspoň o 50 %</w:t>
      </w:r>
      <w:r w:rsidRPr="000D23C2">
        <w:rPr>
          <w:rStyle w:val="FootnoteReference"/>
          <w:szCs w:val="24"/>
        </w:rPr>
        <w:footnoteReference w:id="15"/>
      </w:r>
      <w:r w:rsidRPr="000D23C2">
        <w:t>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R.</w:t>
      </w:r>
      <w:r w:rsidRPr="000D23C2">
        <w:tab/>
        <w:t>keďže v nariadení (ES) č. 1829/2003 sa uvádza, že geneticky modifikované potraviny alebo krmivá nesmú mať nepriaznivé účinky na ľudské zdravie, zdravie zvierat alebo na životné prostredie, a vyžaduje sa, aby Komisia pri príprave svojho rozhodnutia vzala do úvahy všetky relevantné ustanovenia práva Únie a iné oprávnené skutočnosti, ktoré sú podstatné na prerokovanie záležitosti; keďže medzi takéto oprávnené skutočnosti by mali patriť záväzky Únie vyplývajúce z cieľov OSN v oblasti udržateľného rozvoja a CBD OSN;</w:t>
      </w:r>
    </w:p>
    <w:p w:rsidR="000650DD" w:rsidRPr="000D23C2" w:rsidRDefault="000650DD" w:rsidP="000650DD">
      <w:pPr>
        <w:pStyle w:val="NormalHanging12a"/>
        <w:rPr>
          <w:b/>
          <w:i/>
          <w:szCs w:val="24"/>
        </w:rPr>
      </w:pPr>
      <w:r w:rsidRPr="000D23C2">
        <w:rPr>
          <w:b/>
          <w:i/>
        </w:rPr>
        <w:t>Zníženie závislosti od dovážaných krmív</w:t>
      </w:r>
    </w:p>
    <w:p w:rsidR="000650DD" w:rsidRPr="000D23C2" w:rsidRDefault="000650DD" w:rsidP="000650DD">
      <w:pPr>
        <w:pStyle w:val="NormalHanging12a"/>
        <w:rPr>
          <w:b/>
          <w:i/>
          <w:szCs w:val="24"/>
        </w:rPr>
      </w:pPr>
      <w:r w:rsidRPr="000D23C2">
        <w:t>S.</w:t>
      </w:r>
      <w:r w:rsidRPr="000D23C2">
        <w:tab/>
        <w:t xml:space="preserve">keďže jedným z ponaučení z krízy spôsobenej ochorením COVID-19 a zo stále prebiehajúcej vojny na Ukrajine je potreba, aby Únia ukončila závislosť od niektorých kritických materiálov; keďže v poverovacom liste dezignovanému komisárovi </w:t>
      </w:r>
      <w:proofErr w:type="spellStart"/>
      <w:r w:rsidRPr="000D23C2">
        <w:t>Christophovi</w:t>
      </w:r>
      <w:proofErr w:type="spellEnd"/>
      <w:r w:rsidRPr="000D23C2">
        <w:t xml:space="preserve"> </w:t>
      </w:r>
      <w:proofErr w:type="spellStart"/>
      <w:r w:rsidRPr="000D23C2">
        <w:t>Hansenovi</w:t>
      </w:r>
      <w:proofErr w:type="spellEnd"/>
      <w:r w:rsidRPr="000D23C2">
        <w:t xml:space="preserve"> ho predsedníčka Komisie </w:t>
      </w:r>
      <w:proofErr w:type="spellStart"/>
      <w:r w:rsidRPr="000D23C2">
        <w:t>Ursula</w:t>
      </w:r>
      <w:proofErr w:type="spellEnd"/>
      <w:r w:rsidRPr="000D23C2">
        <w:t xml:space="preserve"> von der </w:t>
      </w:r>
      <w:proofErr w:type="spellStart"/>
      <w:r w:rsidRPr="000D23C2">
        <w:t>Leyenová</w:t>
      </w:r>
      <w:proofErr w:type="spellEnd"/>
      <w:r w:rsidRPr="000D23C2">
        <w:t xml:space="preserve"> žiada o to, aby preskúmal spôsoby, ako znížiť dovoz kritických komodít</w:t>
      </w:r>
      <w:r w:rsidRPr="000D23C2">
        <w:rPr>
          <w:rStyle w:val="FootnoteReference"/>
          <w:szCs w:val="24"/>
        </w:rPr>
        <w:footnoteReference w:id="16"/>
      </w:r>
      <w:r w:rsidRPr="000D23C2">
        <w:t xml:space="preserve">; </w:t>
      </w:r>
    </w:p>
    <w:p w:rsidR="000650DD" w:rsidRPr="000D23C2" w:rsidRDefault="000650DD" w:rsidP="000650DD">
      <w:pPr>
        <w:pStyle w:val="NormalHanging12a"/>
        <w:rPr>
          <w:b/>
          <w:i/>
          <w:szCs w:val="24"/>
        </w:rPr>
      </w:pPr>
      <w:r w:rsidRPr="000D23C2">
        <w:rPr>
          <w:b/>
          <w:i/>
        </w:rPr>
        <w:t>Nedemokratické rozhodovanie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T.</w:t>
      </w:r>
      <w:r w:rsidRPr="000D23C2">
        <w:tab/>
        <w:t xml:space="preserve">keďže </w:t>
      </w:r>
      <w:r w:rsidR="0013798C" w:rsidRPr="000D23C2">
        <w:t>Európsky p</w:t>
      </w:r>
      <w:r w:rsidRPr="000D23C2">
        <w:t xml:space="preserve">arlament vo svojom ôsmom volebnom období prijal celkovo 36 uznesení, v ktorých namietal proti tomu, aby sa GMO uvádzali na trh na použitie v potravinách a krmivách (33 uznesení) a GMO sa v Únii pestovali (tri uznesenia); keďže v deviatom volebnom období </w:t>
      </w:r>
      <w:r w:rsidR="0013798C" w:rsidRPr="000D23C2">
        <w:t>Európsky p</w:t>
      </w:r>
      <w:r w:rsidRPr="000D23C2">
        <w:t xml:space="preserve">arlament prijal 38 námietok proti </w:t>
      </w:r>
      <w:r w:rsidRPr="000D23C2">
        <w:lastRenderedPageBreak/>
        <w:t>uvedeniu GMO na trh;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U.</w:t>
      </w:r>
      <w:r w:rsidRPr="000D23C2">
        <w:tab/>
        <w:t xml:space="preserve">keďže Komisia naďalej povoľuje GMO, hoci si sama uvedomuje nedostatky z hľadiska demokracie, nízku podporu členských štátov a námietky </w:t>
      </w:r>
      <w:r w:rsidR="0013798C" w:rsidRPr="000D23C2">
        <w:t>Európskeho p</w:t>
      </w:r>
      <w:r w:rsidRPr="000D23C2">
        <w:t>arlamentu;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V.</w:t>
      </w:r>
      <w:r w:rsidRPr="000D23C2">
        <w:tab/>
        <w:t>keďže nie je potrebná žiadna zmena právnych predpisov, aby Komisia nemala možnosť povoľovať GMO, ak sa v odvolacom výbore nedosiahne kvalifikovaná väčšina členských štátov v prospech povolenia</w:t>
      </w:r>
      <w:r w:rsidRPr="000D23C2">
        <w:rPr>
          <w:rStyle w:val="FootnoteReference"/>
          <w:szCs w:val="24"/>
        </w:rPr>
        <w:footnoteReference w:id="17"/>
      </w:r>
      <w:r w:rsidRPr="000D23C2">
        <w:t>;</w:t>
      </w:r>
    </w:p>
    <w:p w:rsidR="000650DD" w:rsidRPr="000D23C2" w:rsidRDefault="000650DD" w:rsidP="000650DD">
      <w:pPr>
        <w:spacing w:after="240"/>
        <w:ind w:left="567" w:hanging="567"/>
        <w:rPr>
          <w:szCs w:val="24"/>
          <w:shd w:val="clear" w:color="auto" w:fill="FFFFFF"/>
        </w:rPr>
      </w:pPr>
      <w:r w:rsidRPr="000D23C2">
        <w:t>W.</w:t>
      </w:r>
      <w:r w:rsidRPr="000D23C2">
        <w:tab/>
      </w:r>
      <w:r w:rsidRPr="000D23C2">
        <w:rPr>
          <w:shd w:val="clear" w:color="auto" w:fill="FFFFFF"/>
        </w:rPr>
        <w:t>keďže Stály výbor pre rastliny, zvieratá, potraviny a krmivá uvedený v článku 35 nariadenia (ES) č. 1829/2003 pri hlasovaní 8. júla 2024 nezaujal žiadne stanovisko, čo znamená, že povolenie nepodporila kvalifikovaná väčšina členských štátov; keďže odvolací výbor na základe hlasovania 3. septembra 2024 znovu nevydal stanovisko;</w:t>
      </w:r>
    </w:p>
    <w:p w:rsidR="000650DD" w:rsidRPr="000D23C2" w:rsidRDefault="000650DD" w:rsidP="000650DD">
      <w:pPr>
        <w:pStyle w:val="NormalHanging12a"/>
        <w:rPr>
          <w:szCs w:val="24"/>
        </w:rPr>
      </w:pPr>
      <w:r w:rsidRPr="000D23C2">
        <w:t>1.</w:t>
      </w:r>
      <w:r w:rsidRPr="000D23C2">
        <w:tab/>
        <w:t>domnieva sa, že vykonávacie rozhodnuti</w:t>
      </w:r>
      <w:r w:rsidR="0013798C" w:rsidRPr="000D23C2">
        <w:t>e</w:t>
      </w:r>
      <w:r w:rsidRPr="000D23C2">
        <w:t xml:space="preserve"> Komisie </w:t>
      </w:r>
      <w:r w:rsidR="0013798C" w:rsidRPr="000D23C2">
        <w:t xml:space="preserve">(EÚ) 2024/2628 </w:t>
      </w:r>
      <w:r w:rsidRPr="000D23C2">
        <w:t>prekračuje rámec vykonávacích právomocí stanovených v nariadení (ES) č. 1829/2003;</w:t>
      </w:r>
    </w:p>
    <w:p w:rsidR="000650DD" w:rsidRPr="000D23C2" w:rsidRDefault="000650DD" w:rsidP="000650DD">
      <w:pPr>
        <w:pStyle w:val="NormalHanging12a"/>
      </w:pPr>
      <w:r w:rsidRPr="000D23C2">
        <w:t>2.</w:t>
      </w:r>
      <w:r w:rsidRPr="000D23C2">
        <w:tab/>
        <w:t>domnieva sa, že vykonávacie rozhodnuti</w:t>
      </w:r>
      <w:r w:rsidR="0013798C" w:rsidRPr="000D23C2">
        <w:t>e</w:t>
      </w:r>
      <w:r w:rsidRPr="000D23C2">
        <w:t xml:space="preserve"> Komisie </w:t>
      </w:r>
      <w:r w:rsidR="0013798C" w:rsidRPr="000D23C2">
        <w:t xml:space="preserve">(EÚ) 2024/2628 </w:t>
      </w:r>
      <w:r w:rsidRPr="000D23C2">
        <w:t>nie je v súlade s právom Únie, pretože nie je zlučiteľný s cieľom nariadenia (ES) č. 1829/2003, ktorým je podľa všeobecných zásad uvedených v nariadení Európskeho parlamentu a Rady (ES) č. 178/2002</w:t>
      </w:r>
      <w:r w:rsidRPr="000D23C2">
        <w:rPr>
          <w:rStyle w:val="FootnoteReference"/>
          <w:szCs w:val="24"/>
        </w:rPr>
        <w:footnoteReference w:id="18"/>
      </w:r>
      <w:r w:rsidRPr="000D23C2">
        <w:t xml:space="preserve"> poskytovať základ na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trhu;</w:t>
      </w:r>
    </w:p>
    <w:p w:rsidR="00A27068" w:rsidRPr="000D23C2" w:rsidRDefault="00A27068" w:rsidP="000650DD">
      <w:pPr>
        <w:pStyle w:val="NormalHanging12a"/>
        <w:rPr>
          <w:szCs w:val="24"/>
        </w:rPr>
      </w:pPr>
      <w:r w:rsidRPr="000D23C2">
        <w:rPr>
          <w:szCs w:val="24"/>
        </w:rPr>
        <w:t>3.</w:t>
      </w:r>
      <w:r w:rsidRPr="000D23C2">
        <w:rPr>
          <w:szCs w:val="24"/>
        </w:rPr>
        <w:tab/>
        <w:t xml:space="preserve">vyzýva Komisiu, aby pri rokovaniach o dohodách o voľnom obchode zabezpečila zblíženie noriem medzi Úniou a jej partnermi s cieľom </w:t>
      </w:r>
      <w:r w:rsidR="005A0192" w:rsidRPr="000D23C2">
        <w:rPr>
          <w:szCs w:val="24"/>
        </w:rPr>
        <w:t>dodržiavať</w:t>
      </w:r>
      <w:r w:rsidRPr="000D23C2">
        <w:rPr>
          <w:szCs w:val="24"/>
        </w:rPr>
        <w:t xml:space="preserve"> bezpečnostné normy Únie;</w:t>
      </w:r>
    </w:p>
    <w:p w:rsidR="000650DD" w:rsidRPr="000D23C2" w:rsidRDefault="00A27068" w:rsidP="000650DD">
      <w:pPr>
        <w:pStyle w:val="NormalHanging12a"/>
        <w:rPr>
          <w:szCs w:val="24"/>
        </w:rPr>
      </w:pPr>
      <w:r w:rsidRPr="000D23C2">
        <w:t>4</w:t>
      </w:r>
      <w:r w:rsidR="000650DD" w:rsidRPr="000D23C2">
        <w:t>.</w:t>
      </w:r>
      <w:r w:rsidR="000650DD" w:rsidRPr="000D23C2">
        <w:tab/>
        <w:t xml:space="preserve">vyzýva Komisiu, aby </w:t>
      </w:r>
      <w:r w:rsidR="0013798C" w:rsidRPr="000D23C2">
        <w:t xml:space="preserve">zrušila </w:t>
      </w:r>
      <w:r w:rsidR="000650DD" w:rsidRPr="000D23C2">
        <w:t>vykonávacie rozhodnuti</w:t>
      </w:r>
      <w:r w:rsidR="0013798C" w:rsidRPr="000D23C2">
        <w:t>e (EÚ) 2024/2628</w:t>
      </w:r>
      <w:r w:rsidR="000650DD" w:rsidRPr="000D23C2">
        <w:t xml:space="preserve"> a aby predložila výboru nový návrh;</w:t>
      </w:r>
    </w:p>
    <w:p w:rsidR="000650DD" w:rsidRPr="000D23C2" w:rsidRDefault="00A27068" w:rsidP="000650DD">
      <w:pPr>
        <w:pStyle w:val="NormalHanging12a"/>
        <w:rPr>
          <w:szCs w:val="24"/>
        </w:rPr>
      </w:pPr>
      <w:r w:rsidRPr="000D23C2">
        <w:t>5</w:t>
      </w:r>
      <w:r w:rsidR="000650DD" w:rsidRPr="000D23C2">
        <w:t>.</w:t>
      </w:r>
      <w:r w:rsidR="000650DD" w:rsidRPr="000D23C2">
        <w:tab/>
        <w:t>vyzýva Komisiu, aby nepovolila geneticky modifikované plodiny tolerantné k herbicídom z dôvodu súvisiaceho intenzívnejšieho používania doplnkových herbicídov, a teda zvýšeného rizika pre biodiverzitu, bezpečnosť potravín a zdravie pracovníkov v súlade s prístupom „jedno zdravie“;</w:t>
      </w:r>
    </w:p>
    <w:p w:rsidR="000650DD" w:rsidRPr="000D23C2" w:rsidRDefault="00A27068" w:rsidP="000650DD">
      <w:pPr>
        <w:pStyle w:val="NormalHanging12a"/>
        <w:rPr>
          <w:szCs w:val="24"/>
        </w:rPr>
      </w:pPr>
      <w:r w:rsidRPr="000D23C2">
        <w:t>6</w:t>
      </w:r>
      <w:r w:rsidR="000650DD" w:rsidRPr="000D23C2">
        <w:t>.</w:t>
      </w:r>
      <w:r w:rsidR="000650DD" w:rsidRPr="000D23C2">
        <w:tab/>
        <w:t>v tejto súvislosti zdôrazňuje, že povolenie dovozu akýchkoľvek geneticky modifikovaných rastlín, ktoré sú tolerantné k herbicídom, na použitie v potravinách a krmivách nie je v súlade s medzinárodnými záväzkami Únie vyplývajúcimi okrem iného z cieľov OSN v oblasti udržateľného rozvoja a z Dohovoru OSN o biologickej diverzite vrátane nedávno prijatého rámca z </w:t>
      </w:r>
      <w:proofErr w:type="spellStart"/>
      <w:r w:rsidR="000650DD" w:rsidRPr="000D23C2">
        <w:t>Kchun-mingu</w:t>
      </w:r>
      <w:proofErr w:type="spellEnd"/>
      <w:r w:rsidR="000650DD" w:rsidRPr="000D23C2">
        <w:t xml:space="preserve"> a Montrealu</w:t>
      </w:r>
      <w:r w:rsidR="000650DD" w:rsidRPr="000D23C2">
        <w:rPr>
          <w:rStyle w:val="FootnoteReference"/>
          <w:szCs w:val="24"/>
        </w:rPr>
        <w:footnoteReference w:id="19"/>
      </w:r>
      <w:r w:rsidR="000650DD" w:rsidRPr="000D23C2">
        <w:t>;</w:t>
      </w:r>
    </w:p>
    <w:p w:rsidR="000650DD" w:rsidRPr="000D23C2" w:rsidRDefault="00A27068" w:rsidP="000650DD">
      <w:pPr>
        <w:pStyle w:val="NormalHanging12a"/>
        <w:rPr>
          <w:szCs w:val="24"/>
        </w:rPr>
      </w:pPr>
      <w:r w:rsidRPr="000D23C2">
        <w:t>7</w:t>
      </w:r>
      <w:r w:rsidR="000650DD" w:rsidRPr="000D23C2">
        <w:t>.</w:t>
      </w:r>
      <w:r w:rsidR="000650DD" w:rsidRPr="000D23C2">
        <w:tab/>
        <w:t>víta to, že Komisia v liste z 11. septembra 2020 adresovanom poslancom konečne uznala, že pri rozhodovaní o povoleniach pre GMO treba zohľadňovať otázku udržateľnosti</w:t>
      </w:r>
      <w:r w:rsidR="000650DD" w:rsidRPr="000D23C2">
        <w:rPr>
          <w:rStyle w:val="FootnoteReference"/>
          <w:szCs w:val="24"/>
        </w:rPr>
        <w:footnoteReference w:id="20"/>
      </w:r>
      <w:r w:rsidR="000650DD" w:rsidRPr="000D23C2">
        <w:t>; vyjadruje však hlboké sklamanie nad tým, že Komisia naďalej povoľuje dovoz GMO do Únie napriek neprestajným námietkam Európskeho parlamentu a väčšiny členských štátov hlasujúcich proti;</w:t>
      </w:r>
    </w:p>
    <w:p w:rsidR="000650DD" w:rsidRPr="000D23C2" w:rsidRDefault="00A27068" w:rsidP="000650DD">
      <w:pPr>
        <w:pStyle w:val="NormalHanging12a"/>
        <w:rPr>
          <w:szCs w:val="24"/>
        </w:rPr>
      </w:pPr>
      <w:r w:rsidRPr="000D23C2">
        <w:t>8</w:t>
      </w:r>
      <w:r w:rsidR="000650DD" w:rsidRPr="000D23C2">
        <w:t>.</w:t>
      </w:r>
      <w:r w:rsidR="000650DD" w:rsidRPr="000D23C2">
        <w:tab/>
        <w:t>opätovne naliehavo vyzýva Komisiu, aby zohľadnila záväzky Únie vyplývajúce z medzinárodných dohôd, ako sú Parížska dohoda o zmene klímy, Dohovor OSN o biologickej diverzite a ciele OSN v oblasti udržateľného rozvoja; opakuje svoju výzvu, aby bola k návrhom vykonávacích aktov priložená dôvodová správa, v ktorej sa vysvetlí, ako sa v nich dodržiava zásada „nespôsobovať škodu“</w:t>
      </w:r>
      <w:r w:rsidR="000650DD" w:rsidRPr="000D23C2">
        <w:rPr>
          <w:rStyle w:val="FootnoteReference"/>
          <w:szCs w:val="24"/>
        </w:rPr>
        <w:footnoteReference w:id="21"/>
      </w:r>
      <w:r w:rsidR="000650DD" w:rsidRPr="000D23C2">
        <w:t xml:space="preserve">; </w:t>
      </w:r>
    </w:p>
    <w:p w:rsidR="005A2233" w:rsidRPr="000D23C2" w:rsidRDefault="00A27068" w:rsidP="005A2233">
      <w:pPr>
        <w:pStyle w:val="NormalHanging12a"/>
      </w:pPr>
      <w:r w:rsidRPr="000D23C2">
        <w:t>9</w:t>
      </w:r>
      <w:r w:rsidR="000650DD" w:rsidRPr="000D23C2">
        <w:t>.</w:t>
      </w:r>
      <w:r w:rsidR="000650DD" w:rsidRPr="000D23C2">
        <w:tab/>
        <w:t>poveruje svoju predsedníčku, aby postúpila toto uznesenie Rade, Komisii a vládam a parlamentom členských štátov.</w:t>
      </w:r>
    </w:p>
    <w:sectPr w:rsidR="005A2233" w:rsidRPr="000D23C2" w:rsidSect="005A22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745" w:rsidRPr="005A2233" w:rsidRDefault="00E54745">
      <w:r w:rsidRPr="005A2233">
        <w:separator/>
      </w:r>
    </w:p>
  </w:endnote>
  <w:endnote w:type="continuationSeparator" w:id="0">
    <w:p w:rsidR="00E54745" w:rsidRPr="005A2233" w:rsidRDefault="00E54745">
      <w:r w:rsidRPr="005A22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2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2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2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745" w:rsidRPr="005A2233" w:rsidRDefault="00E54745">
      <w:r w:rsidRPr="005A2233">
        <w:separator/>
      </w:r>
    </w:p>
  </w:footnote>
  <w:footnote w:type="continuationSeparator" w:id="0">
    <w:p w:rsidR="00E54745" w:rsidRPr="005A2233" w:rsidRDefault="00E54745">
      <w:r w:rsidRPr="005A2233">
        <w:continuationSeparator/>
      </w:r>
    </w:p>
  </w:footnote>
  <w:footnote w:id="1">
    <w:p w:rsidR="0013798C" w:rsidRPr="00195520" w:rsidRDefault="0013798C" w:rsidP="00195520">
      <w:pPr>
        <w:pStyle w:val="FootnoteText"/>
        <w:ind w:left="567" w:hanging="567"/>
        <w:rPr>
          <w:sz w:val="24"/>
          <w:szCs w:val="24"/>
          <w:lang w:val="sk-SK"/>
        </w:rPr>
      </w:pPr>
      <w:r w:rsidRPr="00195520">
        <w:rPr>
          <w:rStyle w:val="FootnoteReference"/>
          <w:sz w:val="24"/>
          <w:szCs w:val="24"/>
        </w:rPr>
        <w:footnoteRef/>
      </w:r>
      <w:r w:rsidRPr="00195520">
        <w:rPr>
          <w:sz w:val="24"/>
          <w:szCs w:val="24"/>
          <w:lang w:val="fi-FI"/>
        </w:rPr>
        <w:t xml:space="preserve"> </w:t>
      </w:r>
      <w:r w:rsidRPr="00195520">
        <w:rPr>
          <w:sz w:val="24"/>
          <w:szCs w:val="24"/>
          <w:lang w:val="sk-SK"/>
        </w:rPr>
        <w:tab/>
        <w:t>Ú. v. EÚ </w:t>
      </w:r>
      <w:r w:rsidRPr="00195520">
        <w:rPr>
          <w:sz w:val="24"/>
          <w:szCs w:val="24"/>
          <w:lang w:val="fi-FI"/>
        </w:rPr>
        <w:t>L, 2024/2628, 10.10.2024, ELI: http://data.europa.eu/eli/dec_impl/2024/2628/oj.</w:t>
      </w:r>
    </w:p>
  </w:footnote>
  <w:footnote w:id="2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>Ú. v. EÚ L 268, 18.10.2003, s. 1, ELI: </w:t>
      </w:r>
      <w:hyperlink r:id="rId1" w:tooltip="Umožňuje prístup k tomuto dokumentu prostredníctvom jednotného identifikátora zdroja ELI." w:history="1">
        <w:r w:rsidRPr="005A2233">
          <w:rPr>
            <w:rStyle w:val="Hyperlink"/>
            <w:sz w:val="24"/>
            <w:lang w:val="sk-SK"/>
          </w:rPr>
          <w:t>http://data.europa.eu/eli/reg/2003/1829/oj</w:t>
        </w:r>
      </w:hyperlink>
      <w:r w:rsidRPr="005A2233">
        <w:rPr>
          <w:sz w:val="24"/>
          <w:lang w:val="sk-SK"/>
        </w:rPr>
        <w:t>.</w:t>
      </w:r>
    </w:p>
  </w:footnote>
  <w:footnote w:id="3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>Ú. v. EÚ L 55, 28.2.2011, s. 13, ELI: </w:t>
      </w:r>
      <w:hyperlink r:id="rId2" w:tooltip="Umožňuje prístup k tomuto dokumentu prostredníctvom jednotného identifikátora zdroja ELI." w:history="1">
        <w:r w:rsidRPr="005A2233">
          <w:rPr>
            <w:rStyle w:val="Hyperlink"/>
            <w:sz w:val="24"/>
            <w:lang w:val="sk-SK"/>
          </w:rPr>
          <w:t>http://data.europa.eu/eli/reg/2011/182/oj</w:t>
        </w:r>
      </w:hyperlink>
      <w:r w:rsidRPr="005A2233">
        <w:rPr>
          <w:sz w:val="24"/>
          <w:lang w:val="sk-SK"/>
        </w:rPr>
        <w:t>.</w:t>
      </w:r>
    </w:p>
  </w:footnote>
  <w:footnote w:id="4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 xml:space="preserve">Vedecké stanovisko pracovnej skupiny EFSA pre geneticky modifikované organizmy k posúdeniu geneticky modifikovanej kukurice MON 89034 × 1507 × NK603 na účely obnovenia povolenia v zmysle nariadenia (ES) č. 1829/2003) (spis GMFF-2022-3670), Vestník EFSA, 2024;22(4):8716, </w:t>
      </w:r>
      <w:hyperlink r:id="rId3" w:history="1">
        <w:r w:rsidRPr="005A2233">
          <w:rPr>
            <w:rStyle w:val="Hyperlink"/>
            <w:sz w:val="24"/>
            <w:lang w:val="sk-SK"/>
          </w:rPr>
          <w:t>https://doi.org/10.2903/j.efsa.2024.8716</w:t>
        </w:r>
      </w:hyperlink>
      <w:r w:rsidRPr="005A2233">
        <w:rPr>
          <w:sz w:val="24"/>
          <w:lang w:val="sk-SK"/>
        </w:rPr>
        <w:t>.</w:t>
      </w:r>
    </w:p>
  </w:footnote>
  <w:footnote w:id="5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="0013798C" w:rsidRPr="00195520">
        <w:rPr>
          <w:sz w:val="24"/>
          <w:szCs w:val="24"/>
          <w:lang w:val="sk-SK"/>
        </w:rPr>
        <w:t>Európsky p</w:t>
      </w:r>
      <w:r w:rsidRPr="00195520">
        <w:rPr>
          <w:sz w:val="24"/>
          <w:szCs w:val="24"/>
          <w:lang w:val="sk-SK"/>
        </w:rPr>
        <w:t>arlament prijal</w:t>
      </w:r>
      <w:r w:rsidRPr="005A2233">
        <w:rPr>
          <w:sz w:val="24"/>
          <w:lang w:val="sk-SK"/>
        </w:rPr>
        <w:t xml:space="preserve"> vo svojom ôsmom volebnom období 36 uznesení a v deviatom volebnom období 38 uznesení, v ktorých namieta proti povoľovaniu GMO.</w:t>
      </w:r>
    </w:p>
  </w:footnote>
  <w:footnote w:id="6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 xml:space="preserve">Vykonávacie nariadenie Komisie (EÚ) č. 503/2013 z 3. apríla 2013, ktoré sa týka žiadostí o povolenie geneticky modifikovaných potravín a krmív v súlade s nariadením Európskeho parlamentu a Rady (ES) č. 1829/2003 a ktorým sa menia a dopĺňajú nariadenia Komisie (ES) č. 641/2004 a (ES) č. 1981/2006 (Ú. v. EÚ L 157, 8.6.2013, s. 1, ELI: </w:t>
      </w:r>
      <w:hyperlink r:id="rId4" w:tooltip="Umožňuje prístup k tomuto dokumentu prostredníctvom jednotného identifikátora zdroja ELI." w:history="1">
        <w:r w:rsidRPr="005A2233">
          <w:rPr>
            <w:rStyle w:val="Hyperlink"/>
            <w:sz w:val="24"/>
            <w:lang w:val="sk-SK"/>
          </w:rPr>
          <w:t>http://data.europa.eu/eli/reg_impl/2013/503/oj</w:t>
        </w:r>
      </w:hyperlink>
      <w:r w:rsidRPr="005A2233">
        <w:rPr>
          <w:sz w:val="24"/>
          <w:lang w:val="sk-SK"/>
        </w:rPr>
        <w:t>).</w:t>
      </w:r>
    </w:p>
  </w:footnote>
  <w:footnote w:id="7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 xml:space="preserve">Pozri napríklad </w:t>
      </w:r>
      <w:proofErr w:type="spellStart"/>
      <w:r w:rsidRPr="005A2233">
        <w:rPr>
          <w:sz w:val="24"/>
          <w:lang w:val="sk-SK"/>
        </w:rPr>
        <w:t>Schulz</w:t>
      </w:r>
      <w:proofErr w:type="spellEnd"/>
      <w:r w:rsidRPr="005A2233">
        <w:rPr>
          <w:sz w:val="24"/>
          <w:lang w:val="sk-SK"/>
        </w:rPr>
        <w:t xml:space="preserve">, R., </w:t>
      </w:r>
      <w:proofErr w:type="spellStart"/>
      <w:r w:rsidRPr="005A2233">
        <w:rPr>
          <w:sz w:val="24"/>
          <w:lang w:val="sk-SK"/>
        </w:rPr>
        <w:t>Bub</w:t>
      </w:r>
      <w:proofErr w:type="spellEnd"/>
      <w:r w:rsidRPr="005A2233">
        <w:rPr>
          <w:sz w:val="24"/>
          <w:lang w:val="sk-SK"/>
        </w:rPr>
        <w:t xml:space="preserve">, S., </w:t>
      </w:r>
      <w:proofErr w:type="spellStart"/>
      <w:r w:rsidRPr="005A2233">
        <w:rPr>
          <w:sz w:val="24"/>
          <w:lang w:val="sk-SK"/>
        </w:rPr>
        <w:t>Petschick</w:t>
      </w:r>
      <w:proofErr w:type="spellEnd"/>
      <w:r w:rsidRPr="005A2233">
        <w:rPr>
          <w:sz w:val="24"/>
          <w:lang w:val="sk-SK"/>
        </w:rPr>
        <w:t xml:space="preserve">, L. L., </w:t>
      </w:r>
      <w:proofErr w:type="spellStart"/>
      <w:r w:rsidRPr="005A2233">
        <w:rPr>
          <w:sz w:val="24"/>
          <w:lang w:val="sk-SK"/>
        </w:rPr>
        <w:t>Stehle</w:t>
      </w:r>
      <w:proofErr w:type="spellEnd"/>
      <w:r w:rsidRPr="005A2233">
        <w:rPr>
          <w:sz w:val="24"/>
          <w:lang w:val="sk-SK"/>
        </w:rPr>
        <w:t xml:space="preserve">, S., </w:t>
      </w:r>
      <w:proofErr w:type="spellStart"/>
      <w:r w:rsidRPr="005A2233">
        <w:rPr>
          <w:sz w:val="24"/>
          <w:lang w:val="sk-SK"/>
        </w:rPr>
        <w:t>Wolfram</w:t>
      </w:r>
      <w:proofErr w:type="spellEnd"/>
      <w:r w:rsidRPr="005A2233">
        <w:rPr>
          <w:sz w:val="24"/>
          <w:lang w:val="sk-SK"/>
        </w:rPr>
        <w:t xml:space="preserve">, J. (2021), </w:t>
      </w:r>
      <w:proofErr w:type="spellStart"/>
      <w:r w:rsidRPr="005A2233">
        <w:rPr>
          <w:sz w:val="24"/>
          <w:lang w:val="sk-SK"/>
        </w:rPr>
        <w:t>Applied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pesticide</w:t>
      </w:r>
      <w:proofErr w:type="spellEnd"/>
      <w:r w:rsidRPr="005A2233">
        <w:rPr>
          <w:sz w:val="24"/>
          <w:lang w:val="sk-SK"/>
        </w:rPr>
        <w:t xml:space="preserve"> toxicity </w:t>
      </w:r>
      <w:proofErr w:type="spellStart"/>
      <w:r w:rsidRPr="005A2233">
        <w:rPr>
          <w:sz w:val="24"/>
          <w:lang w:val="sk-SK"/>
        </w:rPr>
        <w:t>shifts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toward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plants</w:t>
      </w:r>
      <w:proofErr w:type="spellEnd"/>
      <w:r w:rsidRPr="005A2233">
        <w:rPr>
          <w:sz w:val="24"/>
          <w:lang w:val="sk-SK"/>
        </w:rPr>
        <w:t xml:space="preserve"> and </w:t>
      </w:r>
      <w:proofErr w:type="spellStart"/>
      <w:r w:rsidRPr="005A2233">
        <w:rPr>
          <w:sz w:val="24"/>
          <w:lang w:val="sk-SK"/>
        </w:rPr>
        <w:t>invertebrates</w:t>
      </w:r>
      <w:proofErr w:type="spellEnd"/>
      <w:r w:rsidRPr="005A2233">
        <w:rPr>
          <w:sz w:val="24"/>
          <w:lang w:val="sk-SK"/>
        </w:rPr>
        <w:t xml:space="preserve">, </w:t>
      </w:r>
      <w:proofErr w:type="spellStart"/>
      <w:r w:rsidRPr="005A2233">
        <w:rPr>
          <w:sz w:val="24"/>
          <w:lang w:val="sk-SK"/>
        </w:rPr>
        <w:t>even</w:t>
      </w:r>
      <w:proofErr w:type="spellEnd"/>
      <w:r w:rsidRPr="005A2233">
        <w:rPr>
          <w:sz w:val="24"/>
          <w:lang w:val="sk-SK"/>
        </w:rPr>
        <w:t xml:space="preserve"> in GM </w:t>
      </w:r>
      <w:proofErr w:type="spellStart"/>
      <w:r w:rsidRPr="005A2233">
        <w:rPr>
          <w:sz w:val="24"/>
          <w:lang w:val="sk-SK"/>
        </w:rPr>
        <w:t>crops</w:t>
      </w:r>
      <w:proofErr w:type="spellEnd"/>
      <w:r w:rsidRPr="005A2233">
        <w:rPr>
          <w:sz w:val="24"/>
          <w:lang w:val="sk-SK"/>
        </w:rPr>
        <w:t xml:space="preserve"> (Presuny toxicity aplikovaných pesticídov na rastliny a bezstavovce, dokonca aj v geneticky modifikovaných plodinách), </w:t>
      </w:r>
      <w:proofErr w:type="spellStart"/>
      <w:r w:rsidRPr="005A2233">
        <w:rPr>
          <w:sz w:val="24"/>
          <w:lang w:val="sk-SK"/>
        </w:rPr>
        <w:t>Science</w:t>
      </w:r>
      <w:proofErr w:type="spellEnd"/>
      <w:r w:rsidRPr="005A2233">
        <w:rPr>
          <w:sz w:val="24"/>
          <w:lang w:val="sk-SK"/>
        </w:rPr>
        <w:t xml:space="preserve"> 372(6537), s. 81 – 84, </w:t>
      </w:r>
      <w:hyperlink r:id="rId5" w:history="1">
        <w:r w:rsidRPr="005A2233">
          <w:rPr>
            <w:rStyle w:val="Hyperlink"/>
            <w:sz w:val="24"/>
            <w:lang w:val="sk-SK"/>
          </w:rPr>
          <w:t>https://doi.org/10.1126/science.abe1148</w:t>
        </w:r>
      </w:hyperlink>
      <w:r w:rsidRPr="005A2233">
        <w:rPr>
          <w:sz w:val="24"/>
          <w:lang w:val="sk-SK"/>
        </w:rPr>
        <w:t xml:space="preserve">; </w:t>
      </w:r>
      <w:proofErr w:type="spellStart"/>
      <w:r w:rsidRPr="005A2233">
        <w:rPr>
          <w:sz w:val="24"/>
          <w:lang w:val="sk-SK"/>
        </w:rPr>
        <w:t>Bonny</w:t>
      </w:r>
      <w:proofErr w:type="spellEnd"/>
      <w:r w:rsidRPr="005A2233">
        <w:rPr>
          <w:sz w:val="24"/>
          <w:lang w:val="sk-SK"/>
        </w:rPr>
        <w:t xml:space="preserve">, S., </w:t>
      </w:r>
      <w:proofErr w:type="spellStart"/>
      <w:r w:rsidRPr="005A2233">
        <w:rPr>
          <w:sz w:val="24"/>
          <w:lang w:val="sk-SK"/>
        </w:rPr>
        <w:t>Genetically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Modified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Herbicide-Tolerant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Crops</w:t>
      </w:r>
      <w:proofErr w:type="spellEnd"/>
      <w:r w:rsidRPr="005A2233">
        <w:rPr>
          <w:sz w:val="24"/>
          <w:lang w:val="sk-SK"/>
        </w:rPr>
        <w:t xml:space="preserve">, </w:t>
      </w:r>
      <w:proofErr w:type="spellStart"/>
      <w:r w:rsidRPr="005A2233">
        <w:rPr>
          <w:sz w:val="24"/>
          <w:lang w:val="sk-SK"/>
        </w:rPr>
        <w:t>Weeds</w:t>
      </w:r>
      <w:proofErr w:type="spellEnd"/>
      <w:r w:rsidRPr="005A2233">
        <w:rPr>
          <w:sz w:val="24"/>
          <w:lang w:val="sk-SK"/>
        </w:rPr>
        <w:t xml:space="preserve">, and </w:t>
      </w:r>
      <w:proofErr w:type="spellStart"/>
      <w:r w:rsidRPr="005A2233">
        <w:rPr>
          <w:sz w:val="24"/>
          <w:lang w:val="sk-SK"/>
        </w:rPr>
        <w:t>Herbicides</w:t>
      </w:r>
      <w:proofErr w:type="spellEnd"/>
      <w:r w:rsidRPr="005A2233">
        <w:rPr>
          <w:sz w:val="24"/>
          <w:lang w:val="sk-SK"/>
        </w:rPr>
        <w:t xml:space="preserve">: </w:t>
      </w:r>
      <w:proofErr w:type="spellStart"/>
      <w:r w:rsidRPr="005A2233">
        <w:rPr>
          <w:sz w:val="24"/>
          <w:lang w:val="sk-SK"/>
        </w:rPr>
        <w:t>Overview</w:t>
      </w:r>
      <w:proofErr w:type="spellEnd"/>
      <w:r w:rsidRPr="005A2233">
        <w:rPr>
          <w:sz w:val="24"/>
          <w:lang w:val="sk-SK"/>
        </w:rPr>
        <w:t xml:space="preserve"> and </w:t>
      </w:r>
      <w:proofErr w:type="spellStart"/>
      <w:r w:rsidRPr="005A2233">
        <w:rPr>
          <w:sz w:val="24"/>
          <w:lang w:val="sk-SK"/>
        </w:rPr>
        <w:t>Impact</w:t>
      </w:r>
      <w:proofErr w:type="spellEnd"/>
      <w:r w:rsidRPr="005A2233">
        <w:rPr>
          <w:sz w:val="24"/>
          <w:lang w:val="sk-SK"/>
        </w:rPr>
        <w:t xml:space="preserve"> (Geneticky modifikované plodiny, buriny a herbicídy tolerantné k herbicídom: Prehľad a vplyv), </w:t>
      </w:r>
      <w:proofErr w:type="spellStart"/>
      <w:r w:rsidRPr="005A2233">
        <w:rPr>
          <w:sz w:val="24"/>
          <w:lang w:val="sk-SK"/>
        </w:rPr>
        <w:t>Environmental</w:t>
      </w:r>
      <w:proofErr w:type="spellEnd"/>
      <w:r w:rsidRPr="005A2233">
        <w:rPr>
          <w:sz w:val="24"/>
          <w:lang w:val="sk-SK"/>
        </w:rPr>
        <w:t xml:space="preserve"> Management, január 2016; 57(1), s. 31 – 48, </w:t>
      </w:r>
      <w:hyperlink r:id="rId6" w:history="1">
        <w:r w:rsidRPr="005A2233">
          <w:rPr>
            <w:rStyle w:val="Hyperlink"/>
            <w:sz w:val="24"/>
            <w:lang w:val="sk-SK"/>
          </w:rPr>
          <w:t>https://www.ncbi.nlm.nih.gov/pubmed/26296738</w:t>
        </w:r>
      </w:hyperlink>
      <w:r w:rsidRPr="005A2233">
        <w:rPr>
          <w:rStyle w:val="Hyperlink"/>
          <w:sz w:val="24"/>
          <w:lang w:val="sk-SK"/>
        </w:rPr>
        <w:t>;</w:t>
      </w:r>
      <w:r w:rsidRPr="005A2233">
        <w:rPr>
          <w:sz w:val="24"/>
          <w:lang w:val="sk-SK"/>
        </w:rPr>
        <w:t xml:space="preserve"> a </w:t>
      </w:r>
      <w:proofErr w:type="spellStart"/>
      <w:r w:rsidRPr="005A2233">
        <w:rPr>
          <w:sz w:val="24"/>
          <w:lang w:val="sk-SK"/>
        </w:rPr>
        <w:t>Benbrook</w:t>
      </w:r>
      <w:proofErr w:type="spellEnd"/>
      <w:r w:rsidRPr="005A2233">
        <w:rPr>
          <w:sz w:val="24"/>
          <w:lang w:val="sk-SK"/>
        </w:rPr>
        <w:t xml:space="preserve">, C.M., </w:t>
      </w:r>
      <w:proofErr w:type="spellStart"/>
      <w:r w:rsidRPr="005A2233">
        <w:rPr>
          <w:sz w:val="24"/>
          <w:lang w:val="sk-SK"/>
        </w:rPr>
        <w:t>Impacts</w:t>
      </w:r>
      <w:proofErr w:type="spellEnd"/>
      <w:r w:rsidRPr="005A2233">
        <w:rPr>
          <w:sz w:val="24"/>
          <w:lang w:val="sk-SK"/>
        </w:rPr>
        <w:t xml:space="preserve"> of </w:t>
      </w:r>
      <w:proofErr w:type="spellStart"/>
      <w:r w:rsidRPr="005A2233">
        <w:rPr>
          <w:sz w:val="24"/>
          <w:lang w:val="sk-SK"/>
        </w:rPr>
        <w:t>genetically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engineered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crops</w:t>
      </w:r>
      <w:proofErr w:type="spellEnd"/>
      <w:r w:rsidRPr="005A2233">
        <w:rPr>
          <w:sz w:val="24"/>
          <w:lang w:val="sk-SK"/>
        </w:rPr>
        <w:t xml:space="preserve"> on </w:t>
      </w:r>
      <w:proofErr w:type="spellStart"/>
      <w:r w:rsidRPr="005A2233">
        <w:rPr>
          <w:sz w:val="24"/>
          <w:lang w:val="sk-SK"/>
        </w:rPr>
        <w:t>pesticide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use</w:t>
      </w:r>
      <w:proofErr w:type="spellEnd"/>
      <w:r w:rsidRPr="005A2233">
        <w:rPr>
          <w:sz w:val="24"/>
          <w:lang w:val="sk-SK"/>
        </w:rPr>
        <w:t xml:space="preserve"> in </w:t>
      </w:r>
      <w:proofErr w:type="spellStart"/>
      <w:r w:rsidRPr="005A2233">
        <w:rPr>
          <w:sz w:val="24"/>
          <w:lang w:val="sk-SK"/>
        </w:rPr>
        <w:t>the</w:t>
      </w:r>
      <w:proofErr w:type="spellEnd"/>
      <w:r w:rsidRPr="005A2233">
        <w:rPr>
          <w:sz w:val="24"/>
          <w:lang w:val="sk-SK"/>
        </w:rPr>
        <w:t xml:space="preserve"> U.S. – </w:t>
      </w:r>
      <w:proofErr w:type="spellStart"/>
      <w:r w:rsidRPr="005A2233">
        <w:rPr>
          <w:sz w:val="24"/>
          <w:lang w:val="sk-SK"/>
        </w:rPr>
        <w:t>the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first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sixteen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years</w:t>
      </w:r>
      <w:proofErr w:type="spellEnd"/>
      <w:r w:rsidRPr="005A2233">
        <w:rPr>
          <w:sz w:val="24"/>
          <w:lang w:val="sk-SK"/>
        </w:rPr>
        <w:t xml:space="preserve"> (Vplyv geneticky modifikovaných plodín na používanie pesticídov v USA – prvých šestnásť rokov), </w:t>
      </w:r>
      <w:proofErr w:type="spellStart"/>
      <w:r w:rsidRPr="005A2233">
        <w:rPr>
          <w:sz w:val="24"/>
          <w:lang w:val="sk-SK"/>
        </w:rPr>
        <w:t>Environmental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Sciences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Europe</w:t>
      </w:r>
      <w:proofErr w:type="spellEnd"/>
      <w:r w:rsidRPr="005A2233">
        <w:rPr>
          <w:sz w:val="24"/>
          <w:lang w:val="sk-SK"/>
        </w:rPr>
        <w:t xml:space="preserve">, 28. september 2012, zväzok 24(1), </w:t>
      </w:r>
      <w:hyperlink r:id="rId7" w:history="1">
        <w:r w:rsidRPr="005A2233">
          <w:rPr>
            <w:rStyle w:val="Hyperlink"/>
            <w:sz w:val="24"/>
            <w:lang w:val="sk-SK"/>
          </w:rPr>
          <w:t>https://enveurope.springeropen.com/articles/10.1186/2190-4715-24-24</w:t>
        </w:r>
      </w:hyperlink>
      <w:r w:rsidRPr="005A2233">
        <w:rPr>
          <w:sz w:val="24"/>
          <w:lang w:val="sk-SK"/>
        </w:rPr>
        <w:t>.</w:t>
      </w:r>
    </w:p>
  </w:footnote>
  <w:footnote w:id="8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 xml:space="preserve">Pozri napríklad </w:t>
      </w:r>
      <w:hyperlink r:id="rId8" w:history="1">
        <w:r w:rsidRPr="005A2233">
          <w:rPr>
            <w:rStyle w:val="Hyperlink"/>
            <w:sz w:val="24"/>
            <w:lang w:val="sk-SK"/>
          </w:rPr>
          <w:t>https://www.sciencedirect.com/science/article/pii/S1383574218300887</w:t>
        </w:r>
      </w:hyperlink>
      <w:r w:rsidRPr="005A2233">
        <w:rPr>
          <w:sz w:val="24"/>
          <w:lang w:val="sk-SK"/>
        </w:rPr>
        <w:t xml:space="preserve">, </w:t>
      </w:r>
      <w:hyperlink r:id="rId9" w:history="1">
        <w:r w:rsidRPr="005A2233">
          <w:rPr>
            <w:rStyle w:val="Hyperlink"/>
            <w:sz w:val="24"/>
            <w:lang w:val="sk-SK"/>
          </w:rPr>
          <w:t>https://academic.oup.com/ije/advance-article/doi/10.1093/ije/dyz017/5382278</w:t>
        </w:r>
      </w:hyperlink>
      <w:r w:rsidRPr="005A2233">
        <w:rPr>
          <w:sz w:val="24"/>
          <w:lang w:val="sk-SK"/>
        </w:rPr>
        <w:t xml:space="preserve">, </w:t>
      </w:r>
      <w:hyperlink r:id="rId10" w:history="1">
        <w:r w:rsidRPr="005A2233">
          <w:rPr>
            <w:rStyle w:val="Hyperlink"/>
            <w:sz w:val="24"/>
            <w:lang w:val="sk-SK"/>
          </w:rPr>
          <w:t>https://journals.plos.org/plosone/article?id=10.1371/journal.pone.0219610</w:t>
        </w:r>
      </w:hyperlink>
      <w:r w:rsidRPr="005A2233">
        <w:rPr>
          <w:sz w:val="24"/>
          <w:lang w:val="sk-SK"/>
        </w:rPr>
        <w:t xml:space="preserve"> a </w:t>
      </w:r>
      <w:hyperlink r:id="rId11" w:history="1">
        <w:r w:rsidRPr="005A2233">
          <w:rPr>
            <w:rStyle w:val="Hyperlink"/>
            <w:sz w:val="24"/>
            <w:lang w:val="sk-SK"/>
          </w:rPr>
          <w:t>https://www.ncbi.nlm.nih.gov/pmc/articles/PMC6612199/</w:t>
        </w:r>
      </w:hyperlink>
      <w:r w:rsidRPr="005A2233">
        <w:rPr>
          <w:rStyle w:val="Hyperlink"/>
          <w:sz w:val="24"/>
          <w:lang w:val="sk-SK"/>
        </w:rPr>
        <w:t>.</w:t>
      </w:r>
    </w:p>
  </w:footnote>
  <w:footnote w:id="9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 xml:space="preserve">Pozri preskúmanie </w:t>
      </w:r>
      <w:proofErr w:type="spellStart"/>
      <w:r w:rsidRPr="005A2233">
        <w:rPr>
          <w:sz w:val="24"/>
          <w:lang w:val="sk-SK"/>
        </w:rPr>
        <w:t>Rubio-Infante</w:t>
      </w:r>
      <w:proofErr w:type="spellEnd"/>
      <w:r w:rsidRPr="005A2233">
        <w:rPr>
          <w:sz w:val="24"/>
          <w:lang w:val="sk-SK"/>
        </w:rPr>
        <w:t xml:space="preserve">, N., </w:t>
      </w:r>
      <w:proofErr w:type="spellStart"/>
      <w:r w:rsidRPr="005A2233">
        <w:rPr>
          <w:sz w:val="24"/>
          <w:lang w:val="sk-SK"/>
        </w:rPr>
        <w:t>Moreno-Fierros</w:t>
      </w:r>
      <w:proofErr w:type="spellEnd"/>
      <w:r w:rsidRPr="005A2233">
        <w:rPr>
          <w:sz w:val="24"/>
          <w:lang w:val="sk-SK"/>
        </w:rPr>
        <w:t xml:space="preserve">, L., </w:t>
      </w:r>
      <w:proofErr w:type="spellStart"/>
      <w:r w:rsidRPr="005A2233">
        <w:rPr>
          <w:sz w:val="24"/>
          <w:lang w:val="sk-SK"/>
        </w:rPr>
        <w:t>An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overview</w:t>
      </w:r>
      <w:proofErr w:type="spellEnd"/>
      <w:r w:rsidRPr="005A2233">
        <w:rPr>
          <w:sz w:val="24"/>
          <w:lang w:val="sk-SK"/>
        </w:rPr>
        <w:t xml:space="preserve"> of </w:t>
      </w:r>
      <w:proofErr w:type="spellStart"/>
      <w:r w:rsidRPr="005A2233">
        <w:rPr>
          <w:sz w:val="24"/>
          <w:lang w:val="sk-SK"/>
        </w:rPr>
        <w:t>the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safety</w:t>
      </w:r>
      <w:proofErr w:type="spellEnd"/>
      <w:r w:rsidRPr="005A2233">
        <w:rPr>
          <w:sz w:val="24"/>
          <w:lang w:val="sk-SK"/>
        </w:rPr>
        <w:t xml:space="preserve"> and </w:t>
      </w:r>
      <w:proofErr w:type="spellStart"/>
      <w:r w:rsidRPr="005A2233">
        <w:rPr>
          <w:sz w:val="24"/>
          <w:lang w:val="sk-SK"/>
        </w:rPr>
        <w:t>biological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effects</w:t>
      </w:r>
      <w:proofErr w:type="spellEnd"/>
      <w:r w:rsidRPr="005A2233">
        <w:rPr>
          <w:sz w:val="24"/>
          <w:lang w:val="sk-SK"/>
        </w:rPr>
        <w:t xml:space="preserve"> of </w:t>
      </w:r>
      <w:proofErr w:type="spellStart"/>
      <w:r w:rsidRPr="005A2233">
        <w:rPr>
          <w:i/>
          <w:iCs/>
          <w:sz w:val="24"/>
          <w:lang w:val="sk-SK"/>
        </w:rPr>
        <w:t>Bacillus</w:t>
      </w:r>
      <w:proofErr w:type="spellEnd"/>
      <w:r w:rsidRPr="005A2233">
        <w:rPr>
          <w:i/>
          <w:iCs/>
          <w:sz w:val="24"/>
          <w:lang w:val="sk-SK"/>
        </w:rPr>
        <w:t xml:space="preserve"> </w:t>
      </w:r>
      <w:proofErr w:type="spellStart"/>
      <w:r w:rsidRPr="005A2233">
        <w:rPr>
          <w:i/>
          <w:iCs/>
          <w:sz w:val="24"/>
          <w:lang w:val="sk-SK"/>
        </w:rPr>
        <w:t>thuringiensis</w:t>
      </w:r>
      <w:proofErr w:type="spellEnd"/>
      <w:r w:rsidRPr="005A2233">
        <w:rPr>
          <w:sz w:val="24"/>
          <w:lang w:val="sk-SK"/>
        </w:rPr>
        <w:t> </w:t>
      </w:r>
      <w:proofErr w:type="spellStart"/>
      <w:r w:rsidRPr="005A2233">
        <w:rPr>
          <w:sz w:val="24"/>
          <w:lang w:val="sk-SK"/>
        </w:rPr>
        <w:t>Cry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toxins</w:t>
      </w:r>
      <w:proofErr w:type="spellEnd"/>
      <w:r w:rsidRPr="005A2233">
        <w:rPr>
          <w:sz w:val="24"/>
          <w:lang w:val="sk-SK"/>
        </w:rPr>
        <w:t xml:space="preserve"> in </w:t>
      </w:r>
      <w:proofErr w:type="spellStart"/>
      <w:r w:rsidRPr="005A2233">
        <w:rPr>
          <w:sz w:val="24"/>
          <w:lang w:val="sk-SK"/>
        </w:rPr>
        <w:t>mammals</w:t>
      </w:r>
      <w:proofErr w:type="spellEnd"/>
      <w:r w:rsidRPr="005A2233">
        <w:rPr>
          <w:sz w:val="24"/>
          <w:lang w:val="sk-SK"/>
        </w:rPr>
        <w:t xml:space="preserve"> (Prehľad o bezpečnosti a biologických účinkoch </w:t>
      </w:r>
      <w:proofErr w:type="spellStart"/>
      <w:r w:rsidRPr="005A2233">
        <w:rPr>
          <w:sz w:val="24"/>
          <w:lang w:val="sk-SK"/>
        </w:rPr>
        <w:t>Cry</w:t>
      </w:r>
      <w:proofErr w:type="spellEnd"/>
      <w:r w:rsidRPr="005A2233">
        <w:rPr>
          <w:sz w:val="24"/>
          <w:lang w:val="sk-SK"/>
        </w:rPr>
        <w:t xml:space="preserve"> toxínov </w:t>
      </w:r>
      <w:proofErr w:type="spellStart"/>
      <w:r w:rsidRPr="005A2233">
        <w:rPr>
          <w:i/>
          <w:iCs/>
          <w:sz w:val="24"/>
          <w:lang w:val="sk-SK"/>
        </w:rPr>
        <w:t>Bacillus</w:t>
      </w:r>
      <w:proofErr w:type="spellEnd"/>
      <w:r w:rsidRPr="005A2233">
        <w:rPr>
          <w:i/>
          <w:iCs/>
          <w:sz w:val="24"/>
          <w:lang w:val="sk-SK"/>
        </w:rPr>
        <w:t xml:space="preserve"> </w:t>
      </w:r>
      <w:proofErr w:type="spellStart"/>
      <w:r w:rsidRPr="005A2233">
        <w:rPr>
          <w:i/>
          <w:iCs/>
          <w:sz w:val="24"/>
          <w:lang w:val="sk-SK"/>
        </w:rPr>
        <w:t>thuringiensis</w:t>
      </w:r>
      <w:proofErr w:type="spellEnd"/>
      <w:r w:rsidRPr="005A2233">
        <w:rPr>
          <w:sz w:val="24"/>
          <w:lang w:val="sk-SK"/>
        </w:rPr>
        <w:t xml:space="preserve"> u cicavcov), </w:t>
      </w:r>
      <w:proofErr w:type="spellStart"/>
      <w:r w:rsidRPr="005A2233">
        <w:rPr>
          <w:sz w:val="24"/>
          <w:lang w:val="sk-SK"/>
        </w:rPr>
        <w:t>Journal</w:t>
      </w:r>
      <w:proofErr w:type="spellEnd"/>
      <w:r w:rsidRPr="005A2233">
        <w:rPr>
          <w:sz w:val="24"/>
          <w:lang w:val="sk-SK"/>
        </w:rPr>
        <w:t xml:space="preserve"> of </w:t>
      </w:r>
      <w:proofErr w:type="spellStart"/>
      <w:r w:rsidRPr="005A2233">
        <w:rPr>
          <w:sz w:val="24"/>
          <w:lang w:val="sk-SK"/>
        </w:rPr>
        <w:t>Applied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Toxicology</w:t>
      </w:r>
      <w:proofErr w:type="spellEnd"/>
      <w:r w:rsidRPr="005A2233">
        <w:rPr>
          <w:sz w:val="24"/>
          <w:lang w:val="sk-SK"/>
        </w:rPr>
        <w:t xml:space="preserve">, máj 2016, 36, 5, s. 630 – 648, </w:t>
      </w:r>
      <w:hyperlink r:id="rId12" w:history="1">
        <w:r w:rsidRPr="005A2233">
          <w:rPr>
            <w:rStyle w:val="Hyperlink"/>
            <w:sz w:val="24"/>
            <w:lang w:val="sk-SK"/>
          </w:rPr>
          <w:t>https://onlinelibrary.wiley.com/doi/full/10.1002/jat.3252</w:t>
        </w:r>
      </w:hyperlink>
      <w:r w:rsidRPr="005A2233">
        <w:rPr>
          <w:sz w:val="24"/>
          <w:lang w:val="sk-SK"/>
        </w:rPr>
        <w:t>.</w:t>
      </w:r>
    </w:p>
  </w:footnote>
  <w:footnote w:id="10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hyperlink r:id="rId13" w:history="1">
        <w:r w:rsidRPr="005A2233">
          <w:rPr>
            <w:rStyle w:val="Hyperlink"/>
            <w:sz w:val="24"/>
            <w:lang w:val="sk-SK"/>
          </w:rPr>
          <w:t>https://www.sciencedirect.com/science/article/pii/S0278691516300722?via%3Dihub</w:t>
        </w:r>
      </w:hyperlink>
      <w:r w:rsidRPr="005A2233">
        <w:rPr>
          <w:rStyle w:val="Hyperlink"/>
          <w:sz w:val="24"/>
          <w:lang w:val="sk-SK"/>
        </w:rPr>
        <w:t>.</w:t>
      </w:r>
    </w:p>
  </w:footnote>
  <w:footnote w:id="11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 xml:space="preserve">Pozri napríklad </w:t>
      </w:r>
      <w:proofErr w:type="spellStart"/>
      <w:r w:rsidRPr="005A2233">
        <w:rPr>
          <w:sz w:val="24"/>
          <w:lang w:val="sk-SK"/>
        </w:rPr>
        <w:t>Hilbeck</w:t>
      </w:r>
      <w:proofErr w:type="spellEnd"/>
      <w:r w:rsidRPr="005A2233">
        <w:rPr>
          <w:sz w:val="24"/>
          <w:lang w:val="sk-SK"/>
        </w:rPr>
        <w:t xml:space="preserve">, A., Otto, M., </w:t>
      </w:r>
      <w:proofErr w:type="spellStart"/>
      <w:r w:rsidRPr="005A2233">
        <w:rPr>
          <w:sz w:val="24"/>
          <w:lang w:val="sk-SK"/>
        </w:rPr>
        <w:t>Specificity</w:t>
      </w:r>
      <w:proofErr w:type="spellEnd"/>
      <w:r w:rsidRPr="005A2233">
        <w:rPr>
          <w:sz w:val="24"/>
          <w:lang w:val="sk-SK"/>
        </w:rPr>
        <w:t xml:space="preserve"> and </w:t>
      </w:r>
      <w:proofErr w:type="spellStart"/>
      <w:r w:rsidRPr="005A2233">
        <w:rPr>
          <w:sz w:val="24"/>
          <w:lang w:val="sk-SK"/>
        </w:rPr>
        <w:t>combinatorial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effects</w:t>
      </w:r>
      <w:proofErr w:type="spellEnd"/>
      <w:r w:rsidRPr="005A2233">
        <w:rPr>
          <w:sz w:val="24"/>
          <w:lang w:val="sk-SK"/>
        </w:rPr>
        <w:t xml:space="preserve"> of </w:t>
      </w:r>
      <w:proofErr w:type="spellStart"/>
      <w:r w:rsidRPr="005A2233">
        <w:rPr>
          <w:i/>
          <w:iCs/>
          <w:sz w:val="24"/>
          <w:lang w:val="sk-SK"/>
        </w:rPr>
        <w:t>Bacillus</w:t>
      </w:r>
      <w:proofErr w:type="spellEnd"/>
      <w:r w:rsidRPr="005A2233">
        <w:rPr>
          <w:i/>
          <w:iCs/>
          <w:sz w:val="24"/>
          <w:lang w:val="sk-SK"/>
        </w:rPr>
        <w:t xml:space="preserve"> </w:t>
      </w:r>
      <w:proofErr w:type="spellStart"/>
      <w:r w:rsidRPr="005A2233">
        <w:rPr>
          <w:i/>
          <w:iCs/>
          <w:sz w:val="24"/>
          <w:lang w:val="sk-SK"/>
        </w:rPr>
        <w:t>thuringiensis</w:t>
      </w:r>
      <w:proofErr w:type="spellEnd"/>
      <w:r w:rsidRPr="005A2233">
        <w:rPr>
          <w:sz w:val="24"/>
          <w:lang w:val="sk-SK"/>
        </w:rPr>
        <w:t> </w:t>
      </w:r>
      <w:proofErr w:type="spellStart"/>
      <w:r w:rsidRPr="005A2233">
        <w:rPr>
          <w:sz w:val="24"/>
          <w:lang w:val="sk-SK"/>
        </w:rPr>
        <w:t>Cry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toxins</w:t>
      </w:r>
      <w:proofErr w:type="spellEnd"/>
      <w:r w:rsidRPr="005A2233">
        <w:rPr>
          <w:sz w:val="24"/>
          <w:lang w:val="sk-SK"/>
        </w:rPr>
        <w:t xml:space="preserve"> in </w:t>
      </w:r>
      <w:proofErr w:type="spellStart"/>
      <w:r w:rsidRPr="005A2233">
        <w:rPr>
          <w:sz w:val="24"/>
          <w:lang w:val="sk-SK"/>
        </w:rPr>
        <w:t>the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context</w:t>
      </w:r>
      <w:proofErr w:type="spellEnd"/>
      <w:r w:rsidRPr="005A2233">
        <w:rPr>
          <w:sz w:val="24"/>
          <w:lang w:val="sk-SK"/>
        </w:rPr>
        <w:t xml:space="preserve"> of GMO </w:t>
      </w:r>
      <w:proofErr w:type="spellStart"/>
      <w:r w:rsidRPr="005A2233">
        <w:rPr>
          <w:sz w:val="24"/>
          <w:lang w:val="sk-SK"/>
        </w:rPr>
        <w:t>environmental</w:t>
      </w:r>
      <w:proofErr w:type="spellEnd"/>
      <w:r w:rsidRPr="005A2233">
        <w:rPr>
          <w:sz w:val="24"/>
          <w:lang w:val="sk-SK"/>
        </w:rPr>
        <w:t xml:space="preserve"> risk </w:t>
      </w:r>
      <w:proofErr w:type="spellStart"/>
      <w:r w:rsidRPr="005A2233">
        <w:rPr>
          <w:sz w:val="24"/>
          <w:lang w:val="sk-SK"/>
        </w:rPr>
        <w:t>assessment</w:t>
      </w:r>
      <w:proofErr w:type="spellEnd"/>
      <w:r w:rsidRPr="005A2233">
        <w:rPr>
          <w:sz w:val="24"/>
          <w:lang w:val="sk-SK"/>
        </w:rPr>
        <w:t xml:space="preserve"> (</w:t>
      </w:r>
      <w:proofErr w:type="spellStart"/>
      <w:r w:rsidRPr="005A2233">
        <w:rPr>
          <w:sz w:val="24"/>
          <w:lang w:val="sk-SK"/>
        </w:rPr>
        <w:t>Špecificita</w:t>
      </w:r>
      <w:proofErr w:type="spellEnd"/>
      <w:r w:rsidRPr="005A2233">
        <w:rPr>
          <w:sz w:val="24"/>
          <w:lang w:val="sk-SK"/>
        </w:rPr>
        <w:t xml:space="preserve"> a kombinované účinky </w:t>
      </w:r>
      <w:proofErr w:type="spellStart"/>
      <w:r w:rsidRPr="005A2233">
        <w:rPr>
          <w:sz w:val="24"/>
          <w:lang w:val="sk-SK"/>
        </w:rPr>
        <w:t>Cry</w:t>
      </w:r>
      <w:proofErr w:type="spellEnd"/>
      <w:r w:rsidRPr="005A2233">
        <w:rPr>
          <w:sz w:val="24"/>
          <w:lang w:val="sk-SK"/>
        </w:rPr>
        <w:t xml:space="preserve"> toxínov </w:t>
      </w:r>
      <w:proofErr w:type="spellStart"/>
      <w:r w:rsidRPr="005A2233">
        <w:rPr>
          <w:i/>
          <w:iCs/>
          <w:sz w:val="24"/>
          <w:lang w:val="sk-SK"/>
        </w:rPr>
        <w:t>Bacillus</w:t>
      </w:r>
      <w:proofErr w:type="spellEnd"/>
      <w:r w:rsidRPr="005A2233">
        <w:rPr>
          <w:i/>
          <w:iCs/>
          <w:sz w:val="24"/>
          <w:lang w:val="sk-SK"/>
        </w:rPr>
        <w:t xml:space="preserve"> </w:t>
      </w:r>
      <w:proofErr w:type="spellStart"/>
      <w:r w:rsidRPr="005A2233">
        <w:rPr>
          <w:i/>
          <w:iCs/>
          <w:sz w:val="24"/>
          <w:lang w:val="sk-SK"/>
        </w:rPr>
        <w:t>thuringiensis</w:t>
      </w:r>
      <w:proofErr w:type="spellEnd"/>
      <w:r w:rsidRPr="005A2233">
        <w:rPr>
          <w:sz w:val="24"/>
          <w:lang w:val="sk-SK"/>
        </w:rPr>
        <w:t xml:space="preserve"> v kontexte posúdenia rizika geneticky modifikovaných organizmov pre životné prostredie), </w:t>
      </w:r>
      <w:proofErr w:type="spellStart"/>
      <w:r w:rsidRPr="005A2233">
        <w:rPr>
          <w:sz w:val="24"/>
          <w:lang w:val="sk-SK"/>
        </w:rPr>
        <w:t>Frontiers</w:t>
      </w:r>
      <w:proofErr w:type="spellEnd"/>
      <w:r w:rsidRPr="005A2233">
        <w:rPr>
          <w:sz w:val="24"/>
          <w:lang w:val="sk-SK"/>
        </w:rPr>
        <w:t xml:space="preserve"> in </w:t>
      </w:r>
      <w:proofErr w:type="spellStart"/>
      <w:r w:rsidRPr="005A2233">
        <w:rPr>
          <w:sz w:val="24"/>
          <w:lang w:val="sk-SK"/>
        </w:rPr>
        <w:t>Environmental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Science</w:t>
      </w:r>
      <w:proofErr w:type="spellEnd"/>
      <w:r w:rsidRPr="005A2233">
        <w:rPr>
          <w:sz w:val="24"/>
          <w:lang w:val="sk-SK"/>
        </w:rPr>
        <w:t xml:space="preserve"> 2015, 3:71, </w:t>
      </w:r>
      <w:hyperlink r:id="rId14" w:history="1">
        <w:r w:rsidRPr="005A2233">
          <w:rPr>
            <w:rStyle w:val="Hyperlink"/>
            <w:sz w:val="24"/>
            <w:lang w:val="sk-SK"/>
          </w:rPr>
          <w:t>https://doi.org/10.3389/fenvs.2015.00071</w:t>
        </w:r>
      </w:hyperlink>
      <w:r w:rsidRPr="005A2233">
        <w:rPr>
          <w:rStyle w:val="Hyperlink"/>
          <w:sz w:val="24"/>
          <w:lang w:val="sk-SK"/>
        </w:rPr>
        <w:t>.</w:t>
      </w:r>
    </w:p>
  </w:footnote>
  <w:footnote w:id="12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hyperlink r:id="rId15" w:history="1">
        <w:r w:rsidRPr="005A2233">
          <w:rPr>
            <w:rStyle w:val="Hyperlink"/>
            <w:sz w:val="24"/>
            <w:lang w:val="sk-SK"/>
          </w:rPr>
          <w:t>https://efsa.onlinelibrary.wiley.com/action/downloadSupplement?doi=10.2903%2Fj.‌efsa.2024.8716&amp;file=efs28716-sup-0012-Annex8.pdf</w:t>
        </w:r>
      </w:hyperlink>
      <w:r w:rsidRPr="005A2233">
        <w:rPr>
          <w:rStyle w:val="Hyperlink"/>
          <w:sz w:val="24"/>
          <w:lang w:val="sk-SK"/>
        </w:rPr>
        <w:t>.</w:t>
      </w:r>
    </w:p>
  </w:footnote>
  <w:footnote w:id="13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proofErr w:type="spellStart"/>
      <w:r w:rsidRPr="005A2233">
        <w:rPr>
          <w:sz w:val="24"/>
          <w:lang w:val="sk-SK"/>
        </w:rPr>
        <w:t>Strategic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Dialogue</w:t>
      </w:r>
      <w:proofErr w:type="spellEnd"/>
      <w:r w:rsidRPr="005A2233">
        <w:rPr>
          <w:sz w:val="24"/>
          <w:lang w:val="sk-SK"/>
        </w:rPr>
        <w:t xml:space="preserve"> on </w:t>
      </w:r>
      <w:proofErr w:type="spellStart"/>
      <w:r w:rsidRPr="005A2233">
        <w:rPr>
          <w:sz w:val="24"/>
          <w:lang w:val="sk-SK"/>
        </w:rPr>
        <w:t>the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Future</w:t>
      </w:r>
      <w:proofErr w:type="spellEnd"/>
      <w:r w:rsidRPr="005A2233">
        <w:rPr>
          <w:sz w:val="24"/>
          <w:lang w:val="sk-SK"/>
        </w:rPr>
        <w:t xml:space="preserve"> of EU </w:t>
      </w:r>
      <w:proofErr w:type="spellStart"/>
      <w:r w:rsidRPr="005A2233">
        <w:rPr>
          <w:sz w:val="24"/>
          <w:lang w:val="sk-SK"/>
        </w:rPr>
        <w:t>Agriculture</w:t>
      </w:r>
      <w:proofErr w:type="spellEnd"/>
      <w:r w:rsidRPr="005A2233">
        <w:rPr>
          <w:sz w:val="24"/>
          <w:lang w:val="sk-SK"/>
        </w:rPr>
        <w:t xml:space="preserve"> – A </w:t>
      </w:r>
      <w:proofErr w:type="spellStart"/>
      <w:r w:rsidRPr="005A2233">
        <w:rPr>
          <w:sz w:val="24"/>
          <w:lang w:val="sk-SK"/>
        </w:rPr>
        <w:t>shared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prospect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for</w:t>
      </w:r>
      <w:proofErr w:type="spellEnd"/>
      <w:r w:rsidRPr="005A2233">
        <w:rPr>
          <w:sz w:val="24"/>
          <w:lang w:val="sk-SK"/>
        </w:rPr>
        <w:t xml:space="preserve"> </w:t>
      </w:r>
      <w:proofErr w:type="spellStart"/>
      <w:r w:rsidRPr="005A2233">
        <w:rPr>
          <w:sz w:val="24"/>
          <w:lang w:val="sk-SK"/>
        </w:rPr>
        <w:t>farming</w:t>
      </w:r>
      <w:proofErr w:type="spellEnd"/>
      <w:r w:rsidRPr="005A2233">
        <w:rPr>
          <w:sz w:val="24"/>
          <w:lang w:val="sk-SK"/>
        </w:rPr>
        <w:t xml:space="preserve"> and </w:t>
      </w:r>
      <w:proofErr w:type="spellStart"/>
      <w:r w:rsidRPr="005A2233">
        <w:rPr>
          <w:sz w:val="24"/>
          <w:lang w:val="sk-SK"/>
        </w:rPr>
        <w:t>food</w:t>
      </w:r>
      <w:proofErr w:type="spellEnd"/>
      <w:r w:rsidRPr="005A2233">
        <w:rPr>
          <w:sz w:val="24"/>
          <w:lang w:val="sk-SK"/>
        </w:rPr>
        <w:t xml:space="preserve"> in </w:t>
      </w:r>
      <w:proofErr w:type="spellStart"/>
      <w:r w:rsidRPr="005A2233">
        <w:rPr>
          <w:sz w:val="24"/>
          <w:lang w:val="sk-SK"/>
        </w:rPr>
        <w:t>Europe</w:t>
      </w:r>
      <w:proofErr w:type="spellEnd"/>
      <w:r w:rsidRPr="005A2233">
        <w:rPr>
          <w:sz w:val="24"/>
          <w:lang w:val="sk-SK"/>
        </w:rPr>
        <w:t xml:space="preserve"> (Strategický dialóg o budúcnosti poľnohospodárstva v EÚ – Spoločná vízia poľnohospodárstva a potravinárstva v Európe), september 2024, </w:t>
      </w:r>
      <w:hyperlink r:id="rId16" w:history="1">
        <w:r w:rsidRPr="005A2233">
          <w:rPr>
            <w:rStyle w:val="Hyperlink"/>
            <w:sz w:val="24"/>
            <w:lang w:val="sk-SK"/>
          </w:rPr>
          <w:t>https://agriculture.ec.europa.eu/document/download/171329ff-0f50-4fa5-946f-aea11032172e_en?filename=strategic-dialogue-report-2024_en.pdf</w:t>
        </w:r>
      </w:hyperlink>
      <w:r w:rsidRPr="005A2233">
        <w:rPr>
          <w:rStyle w:val="Hyperlink"/>
          <w:sz w:val="24"/>
          <w:lang w:val="sk-SK"/>
        </w:rPr>
        <w:t>.</w:t>
      </w:r>
    </w:p>
  </w:footnote>
  <w:footnote w:id="14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hyperlink r:id="rId17" w:history="1">
        <w:r w:rsidRPr="005A2233">
          <w:rPr>
            <w:rStyle w:val="Hyperlink"/>
            <w:sz w:val="24"/>
            <w:lang w:val="sk-SK"/>
          </w:rPr>
          <w:t>https://www.ohchr.org/en/documents/thematic-reports/ahrc3448-report-special-rapporteur-right-food</w:t>
        </w:r>
      </w:hyperlink>
      <w:r w:rsidRPr="005A2233">
        <w:rPr>
          <w:sz w:val="24"/>
          <w:lang w:val="sk-SK"/>
        </w:rPr>
        <w:t>.</w:t>
      </w:r>
    </w:p>
  </w:footnote>
  <w:footnote w:id="15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rStyle w:val="Hyperlink"/>
          <w:sz w:val="24"/>
          <w:lang w:val="sk-SK"/>
        </w:rPr>
        <w:t xml:space="preserve"> </w:t>
      </w:r>
      <w:r w:rsidR="005A2233" w:rsidRPr="005A2233">
        <w:rPr>
          <w:rStyle w:val="Hyperlink"/>
          <w:sz w:val="24"/>
          <w:lang w:val="sk-SK"/>
        </w:rPr>
        <w:tab/>
      </w:r>
      <w:r w:rsidRPr="005A2233">
        <w:rPr>
          <w:rStyle w:val="Hyperlink"/>
          <w:sz w:val="24"/>
          <w:lang w:val="sk-SK"/>
        </w:rPr>
        <w:t>https://indicators.report/targets/3-9/</w:t>
      </w:r>
    </w:p>
  </w:footnote>
  <w:footnote w:id="16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hyperlink r:id="rId18" w:history="1">
        <w:r w:rsidRPr="005A2233">
          <w:rPr>
            <w:rStyle w:val="Hyperlink"/>
            <w:sz w:val="24"/>
            <w:lang w:val="sk-SK"/>
          </w:rPr>
          <w:t>https://commission.europa.eu/document/2c64e540-c07a-4376-a1da-368d289f4afe_en</w:t>
        </w:r>
      </w:hyperlink>
      <w:r w:rsidRPr="005A2233">
        <w:rPr>
          <w:sz w:val="24"/>
          <w:lang w:val="sk-SK"/>
        </w:rPr>
        <w:t>.</w:t>
      </w:r>
    </w:p>
  </w:footnote>
  <w:footnote w:id="17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>Ak udelenie povolenia v odvolacom výbore neschváli kvalifikovaná väčšina členských štátov, Komisia podľa článku 6 ods. 3 nariadenia (EÚ) č. 182/2011 môže, ale nemusí dané povolenie udeliť.</w:t>
      </w:r>
    </w:p>
  </w:footnote>
  <w:footnote w:id="18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 v. ES L 31, 1.2.2002, s. 1, ELI: </w:t>
      </w:r>
      <w:hyperlink r:id="rId19" w:tooltip="Umožňuje prístup k tomuto dokumentu prostredníctvom jednotného identifikátora zdroja ELI." w:history="1">
        <w:r w:rsidRPr="005A2233">
          <w:rPr>
            <w:rStyle w:val="Hyperlink"/>
            <w:sz w:val="24"/>
            <w:lang w:val="sk-SK"/>
          </w:rPr>
          <w:t>http://data.europa.eu/eli/reg/2002/178/oj</w:t>
        </w:r>
      </w:hyperlink>
      <w:r w:rsidRPr="005A2233">
        <w:rPr>
          <w:sz w:val="24"/>
          <w:lang w:val="sk-SK"/>
        </w:rPr>
        <w:t>).</w:t>
      </w:r>
    </w:p>
  </w:footnote>
  <w:footnote w:id="19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 xml:space="preserve">V decembri 2022 bol na 15. konferencii zmluvných strán Dohovoru OSN o biologickej diverzite schválený globálny rámec pre biodiverzitu, ktorý zahŕňa globálny cieľ znížiť riziko používania pesticídov do roku 2030 aspoň o 50 % (pozri: </w:t>
      </w:r>
      <w:hyperlink r:id="rId20" w:history="1">
        <w:r w:rsidRPr="005A2233">
          <w:rPr>
            <w:rStyle w:val="Hyperlink"/>
            <w:sz w:val="24"/>
            <w:lang w:val="sk-SK"/>
          </w:rPr>
          <w:t>https://ec.europa.eu/commission/presscorner/detail/sk/ip_22_7834</w:t>
        </w:r>
      </w:hyperlink>
      <w:r w:rsidRPr="005A2233">
        <w:rPr>
          <w:sz w:val="24"/>
          <w:lang w:val="sk-SK"/>
        </w:rPr>
        <w:t>).</w:t>
      </w:r>
    </w:p>
  </w:footnote>
  <w:footnote w:id="20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hyperlink r:id="rId21" w:history="1">
        <w:r w:rsidRPr="005A2233">
          <w:rPr>
            <w:rStyle w:val="Hyperlink"/>
            <w:sz w:val="24"/>
            <w:lang w:val="sk-SK"/>
          </w:rPr>
          <w:t>https://tillymetz.lu/wp-content/uploads/2020/09/Co-signed-letter-MEP-Metz.pdf</w:t>
        </w:r>
      </w:hyperlink>
      <w:r w:rsidRPr="005A2233">
        <w:rPr>
          <w:rStyle w:val="Hyperlink"/>
          <w:sz w:val="24"/>
          <w:lang w:val="sk-SK"/>
        </w:rPr>
        <w:t>.</w:t>
      </w:r>
    </w:p>
  </w:footnote>
  <w:footnote w:id="21">
    <w:p w:rsidR="000650DD" w:rsidRPr="005A2233" w:rsidRDefault="000650DD" w:rsidP="005A2233">
      <w:pPr>
        <w:pStyle w:val="FootnoteText"/>
        <w:ind w:left="567" w:hanging="567"/>
        <w:rPr>
          <w:sz w:val="24"/>
          <w:lang w:val="sk-SK"/>
        </w:rPr>
      </w:pPr>
      <w:r w:rsidRPr="005A2233">
        <w:rPr>
          <w:rStyle w:val="FootnoteReference"/>
          <w:sz w:val="24"/>
          <w:lang w:val="sk-SK"/>
        </w:rPr>
        <w:footnoteRef/>
      </w:r>
      <w:r w:rsidR="005A2233" w:rsidRPr="005A2233">
        <w:rPr>
          <w:sz w:val="24"/>
          <w:lang w:val="sk-SK"/>
        </w:rPr>
        <w:t xml:space="preserve"> </w:t>
      </w:r>
      <w:r w:rsidR="005A2233" w:rsidRPr="005A2233">
        <w:rPr>
          <w:sz w:val="24"/>
          <w:lang w:val="sk-SK"/>
        </w:rPr>
        <w:tab/>
      </w:r>
      <w:r w:rsidRPr="005A2233">
        <w:rPr>
          <w:sz w:val="24"/>
          <w:lang w:val="sk-SK"/>
        </w:rPr>
        <w:t>Uznesenie Európskeho parlamentu z 15. januára 2020 o Európskej zelenej dohode (Ú. v. EÚ C 270, 7.7.2021, s. 2), odsek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2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2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2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8/2024"/>
    <w:docVar w:name="dvlangue" w:val="SK"/>
    <w:docVar w:name="dvnumam" w:val="0"/>
    <w:docVar w:name="dvpe" w:val="763.279"/>
    <w:docVar w:name="dvtitre" w:val="Uznesenie Európskeho parlamentu z xx. novembra 2024 o návrhu vykonávacieho rozhodnutia Komisie o obnovení povolenia umiestniť na trh výrobky, ktoré obsahujú geneticky modifikovanú kukuricu MON 89034 × 1507 × NK603, sú z nej zložené alebo vyrobené, podľa nariadenia Európskeho parlamentu a Rady (ES) č. 1829/2003(D098497/04 – 2024/2836(RSP))"/>
  </w:docVars>
  <w:rsids>
    <w:rsidRoot w:val="00E54745"/>
    <w:rsid w:val="00002272"/>
    <w:rsid w:val="00064002"/>
    <w:rsid w:val="000650DD"/>
    <w:rsid w:val="000677B9"/>
    <w:rsid w:val="000831BA"/>
    <w:rsid w:val="000A42CC"/>
    <w:rsid w:val="000D23C2"/>
    <w:rsid w:val="000E7DD9"/>
    <w:rsid w:val="0010095E"/>
    <w:rsid w:val="00125B37"/>
    <w:rsid w:val="0013798C"/>
    <w:rsid w:val="00187494"/>
    <w:rsid w:val="0019552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6E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192"/>
    <w:rsid w:val="005A2233"/>
    <w:rsid w:val="005C2568"/>
    <w:rsid w:val="005F1B17"/>
    <w:rsid w:val="006037C0"/>
    <w:rsid w:val="006631B6"/>
    <w:rsid w:val="00680577"/>
    <w:rsid w:val="006C054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06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99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74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CBF7F-1E99-4F0C-9B58-C97D3987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50DD"/>
    <w:pPr>
      <w:spacing w:before="480" w:after="240"/>
    </w:pPr>
  </w:style>
  <w:style w:type="paragraph" w:customStyle="1" w:styleId="NormalHanging12a">
    <w:name w:val="NormalHanging12a"/>
    <w:basedOn w:val="Normal"/>
    <w:rsid w:val="000650D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0650D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A01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0192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383574218300887" TargetMode="External"/><Relationship Id="rId13" Type="http://schemas.openxmlformats.org/officeDocument/2006/relationships/hyperlink" Target="https://www.sciencedirect.com/science/article/pii/S0278691516300722?via=ihub" TargetMode="External"/><Relationship Id="rId18" Type="http://schemas.openxmlformats.org/officeDocument/2006/relationships/hyperlink" Target="https://commission.europa.eu/document/2c64e540-c07a-4376-a1da-368d289f4afe_en" TargetMode="External"/><Relationship Id="rId3" Type="http://schemas.openxmlformats.org/officeDocument/2006/relationships/hyperlink" Target="https://doi.org/10.2903/j.efsa.2024.8716" TargetMode="External"/><Relationship Id="rId21" Type="http://schemas.openxmlformats.org/officeDocument/2006/relationships/hyperlink" Target="https://tillymetz.lu/wp-content/uploads/2020/09/Co-signed-letter-MEP-Metz.pdf" TargetMode="External"/><Relationship Id="rId7" Type="http://schemas.openxmlformats.org/officeDocument/2006/relationships/hyperlink" Target="https://enveurope.springeropen.com/articles/10.1186/2190-4715-24-24" TargetMode="External"/><Relationship Id="rId12" Type="http://schemas.openxmlformats.org/officeDocument/2006/relationships/hyperlink" Target="https://onlinelibrary.wiley.com/doi/full/10.1002/jat.3252" TargetMode="External"/><Relationship Id="rId17" Type="http://schemas.openxmlformats.org/officeDocument/2006/relationships/hyperlink" Target="https://www.ohchr.org/en/documents/thematic-reports/ahrc3448-report-special-rapporteur-right-food" TargetMode="External"/><Relationship Id="rId2" Type="http://schemas.openxmlformats.org/officeDocument/2006/relationships/hyperlink" Target="https://eur-lex.europa.eu/eli/reg/2011/182/oj?locale=sk" TargetMode="External"/><Relationship Id="rId16" Type="http://schemas.openxmlformats.org/officeDocument/2006/relationships/hyperlink" Target="https://agriculture.ec.europa.eu/document/download/171329ff-0f50-4fa5-946f-aea11032172e_en?filename=strategic-dialogue-report-2024_en.pdf" TargetMode="External"/><Relationship Id="rId20" Type="http://schemas.openxmlformats.org/officeDocument/2006/relationships/hyperlink" Target="https://ec.europa.eu/commission/presscorner/detail/sk/ip_22_7834" TargetMode="External"/><Relationship Id="rId1" Type="http://schemas.openxmlformats.org/officeDocument/2006/relationships/hyperlink" Target="https://eur-lex.europa.eu/eli/reg/2003/1829/oj?eliuri=eli%3Areg%3A2003%3A1829%3Aoj&amp;locale=sk" TargetMode="External"/><Relationship Id="rId6" Type="http://schemas.openxmlformats.org/officeDocument/2006/relationships/hyperlink" Target="https://www.ncbi.nlm.nih.gov/pubmed/26296738" TargetMode="External"/><Relationship Id="rId11" Type="http://schemas.openxmlformats.org/officeDocument/2006/relationships/hyperlink" Target="https://www.ncbi.nlm.nih.gov/pmc/articles/PMC6612199/" TargetMode="External"/><Relationship Id="rId5" Type="http://schemas.openxmlformats.org/officeDocument/2006/relationships/hyperlink" Target="https://doi.org/10.1126/science.abe1148" TargetMode="External"/><Relationship Id="rId15" Type="http://schemas.openxmlformats.org/officeDocument/2006/relationships/hyperlink" Target="https://efsa.onlinelibrary.wiley.com/action/downloadSupplement?doi=10.2903/j.efsa.2024.8716&amp;file=efs28716-sup-0012-Annex8.pdf" TargetMode="External"/><Relationship Id="rId10" Type="http://schemas.openxmlformats.org/officeDocument/2006/relationships/hyperlink" Target="https://journals.plos.org/plosone/article?id=10.1371/journal.pone.0219610" TargetMode="External"/><Relationship Id="rId19" Type="http://schemas.openxmlformats.org/officeDocument/2006/relationships/hyperlink" Target="https://eur-lex.europa.eu/eli/reg/2002/178/oj?eliuri=eli%3Areg%3A2002%3A178%3Aoj&amp;locale=sk" TargetMode="External"/><Relationship Id="rId4" Type="http://schemas.openxmlformats.org/officeDocument/2006/relationships/hyperlink" Target="https://eur-lex.europa.eu/eli/reg_impl/2013/503/oj?eliuri=eli%3Areg_impl%3A2013%3A503%3Aoj&amp;locale=sk" TargetMode="External"/><Relationship Id="rId9" Type="http://schemas.openxmlformats.org/officeDocument/2006/relationships/hyperlink" Target="https://academic.oup.com/ije/advance-article/doi/10.1093/ije/dyz017/5382278" TargetMode="External"/><Relationship Id="rId14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1A4CB-CF66-439D-966C-7DAA59CE4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1862</Words>
  <Characters>11308</Characters>
  <Application>Microsoft Office Word</Application>
  <DocSecurity>0</DocSecurity>
  <Lines>221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2024-11-26T13:52:00Z</dcterms:created>
  <dcterms:modified xsi:type="dcterms:W3CDTF">2024-11-26T13:52:00Z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B10-0148/2024</vt:lpwstr>
  </property>
  <property fmtid="{D5CDD505-2E9C-101B-9397-08002B2CF9AE}" pid="4" name="&lt;Type&gt;">
    <vt:lpwstr>RR</vt:lpwstr>
  </property>
</Properties>
</file>