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74FA" w:rsidTr="0010095E">
        <w:trPr>
          <w:trHeight w:hRule="exact" w:val="1418"/>
        </w:trPr>
        <w:tc>
          <w:tcPr>
            <w:tcW w:w="6804" w:type="dxa"/>
            <w:shd w:val="clear" w:color="auto" w:fill="auto"/>
            <w:vAlign w:val="center"/>
          </w:tcPr>
          <w:p w:rsidR="00751A4A" w:rsidRPr="004474FA" w:rsidRDefault="0019337E" w:rsidP="0010095E">
            <w:pPr>
              <w:pStyle w:val="EPName"/>
            </w:pPr>
            <w:bookmarkStart w:id="0" w:name="_GoBack"/>
            <w:bookmarkEnd w:id="0"/>
            <w:r w:rsidRPr="004474FA">
              <w:t>Ευρωπαϊκό Κοινοβούλιο</w:t>
            </w:r>
          </w:p>
          <w:p w:rsidR="00751A4A" w:rsidRPr="004474FA" w:rsidRDefault="005F1B17" w:rsidP="005F1B17">
            <w:pPr>
              <w:pStyle w:val="EPTerm"/>
              <w:rPr>
                <w:rStyle w:val="HideTWBExt"/>
                <w:noProof w:val="0"/>
                <w:vanish w:val="0"/>
                <w:color w:val="auto"/>
              </w:rPr>
            </w:pPr>
            <w:r w:rsidRPr="004474FA">
              <w:t>2024</w:t>
            </w:r>
            <w:r w:rsidR="00817416" w:rsidRPr="004474FA">
              <w:t>-202</w:t>
            </w:r>
            <w:r w:rsidRPr="004474FA">
              <w:t>9</w:t>
            </w:r>
          </w:p>
        </w:tc>
        <w:tc>
          <w:tcPr>
            <w:tcW w:w="2268" w:type="dxa"/>
            <w:shd w:val="clear" w:color="auto" w:fill="auto"/>
          </w:tcPr>
          <w:p w:rsidR="00751A4A" w:rsidRPr="004474FA" w:rsidRDefault="00187494" w:rsidP="0010095E">
            <w:pPr>
              <w:pStyle w:val="EPLogo"/>
            </w:pPr>
            <w:r w:rsidRPr="004474F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474FA" w:rsidRDefault="00D058B8" w:rsidP="004C5D52">
      <w:pPr>
        <w:pStyle w:val="LineTop"/>
      </w:pPr>
    </w:p>
    <w:p w:rsidR="00680577" w:rsidRPr="004474FA" w:rsidRDefault="0019337E" w:rsidP="00680577">
      <w:pPr>
        <w:pStyle w:val="EPBodyTA1"/>
      </w:pPr>
      <w:r w:rsidRPr="004474FA">
        <w:t>ΚΕΙΜΕΝΑ ΠΟΥ ΕΓΚΡΙΘΗΚΑΝ</w:t>
      </w:r>
    </w:p>
    <w:p w:rsidR="00D058B8" w:rsidRPr="004474FA" w:rsidRDefault="00D058B8" w:rsidP="00D058B8">
      <w:pPr>
        <w:pStyle w:val="LineBottom"/>
      </w:pPr>
    </w:p>
    <w:p w:rsidR="0019337E" w:rsidRPr="00D822C6" w:rsidRDefault="0019337E" w:rsidP="0019337E">
      <w:pPr>
        <w:pStyle w:val="ATHeading1"/>
      </w:pPr>
      <w:bookmarkStart w:id="1" w:name="TANumber"/>
      <w:r w:rsidRPr="004474FA">
        <w:t>P10_TA(2024)00</w:t>
      </w:r>
      <w:r w:rsidR="00D822C6" w:rsidRPr="00D822C6">
        <w:t>39</w:t>
      </w:r>
      <w:bookmarkEnd w:id="1"/>
    </w:p>
    <w:p w:rsidR="0019337E" w:rsidRPr="004474FA" w:rsidRDefault="0019337E" w:rsidP="0019337E">
      <w:pPr>
        <w:pStyle w:val="ATHeading2"/>
      </w:pPr>
      <w:bookmarkStart w:id="2" w:name="title"/>
      <w:r w:rsidRPr="004474FA">
        <w:t>Γενετικώς τροποπ</w:t>
      </w:r>
      <w:r w:rsidR="00A54635">
        <w:t>ο</w:t>
      </w:r>
      <w:r w:rsidRPr="004474FA">
        <w:t>ιημένο βαμβάκι COT102</w:t>
      </w:r>
      <w:bookmarkEnd w:id="2"/>
    </w:p>
    <w:p w:rsidR="0019337E" w:rsidRPr="004474FA" w:rsidRDefault="0019337E" w:rsidP="0019337E">
      <w:pPr>
        <w:rPr>
          <w:i/>
          <w:vanish/>
        </w:rPr>
      </w:pPr>
      <w:r w:rsidRPr="004474FA">
        <w:rPr>
          <w:i/>
        </w:rPr>
        <w:fldChar w:fldCharType="begin"/>
      </w:r>
      <w:r w:rsidRPr="004474FA">
        <w:rPr>
          <w:i/>
        </w:rPr>
        <w:instrText xml:space="preserve"> TC"(</w:instrText>
      </w:r>
      <w:bookmarkStart w:id="3" w:name="DocNumber"/>
      <w:r w:rsidRPr="004474FA">
        <w:rPr>
          <w:i/>
        </w:rPr>
        <w:instrText>B10-0145/2024</w:instrText>
      </w:r>
      <w:bookmarkEnd w:id="3"/>
      <w:r w:rsidRPr="004474FA">
        <w:rPr>
          <w:i/>
        </w:rPr>
        <w:instrText xml:space="preserve">)"\l3 \n&gt; \* MERGEFORMAT </w:instrText>
      </w:r>
      <w:r w:rsidRPr="004474FA">
        <w:rPr>
          <w:i/>
        </w:rPr>
        <w:fldChar w:fldCharType="end"/>
      </w:r>
    </w:p>
    <w:p w:rsidR="0019337E" w:rsidRPr="004474FA" w:rsidRDefault="0019337E" w:rsidP="0019337E">
      <w:pPr>
        <w:rPr>
          <w:vanish/>
        </w:rPr>
      </w:pPr>
      <w:bookmarkStart w:id="4" w:name="PE"/>
      <w:r w:rsidRPr="004474FA">
        <w:rPr>
          <w:vanish/>
        </w:rPr>
        <w:t>PE764.959</w:t>
      </w:r>
      <w:bookmarkEnd w:id="4"/>
    </w:p>
    <w:p w:rsidR="0019337E" w:rsidRPr="004474FA" w:rsidRDefault="0019337E" w:rsidP="0019337E">
      <w:pPr>
        <w:pStyle w:val="ATHeading3"/>
      </w:pPr>
      <w:bookmarkStart w:id="5" w:name="Sujet"/>
      <w:r w:rsidRPr="004474FA">
        <w:t xml:space="preserve">Ψήφισμα του Ευρωπαϊκού Κοινοβουλίου </w:t>
      </w:r>
      <w:r w:rsidR="00652AAC">
        <w:t xml:space="preserve">της </w:t>
      </w:r>
      <w:r w:rsidR="006136CF">
        <w:t>26ης</w:t>
      </w:r>
      <w:r w:rsidR="00652AAC">
        <w:t xml:space="preserve"> Νοεμβρίου 2024 </w:t>
      </w:r>
      <w:r w:rsidRPr="004474FA">
        <w:t xml:space="preserve">σχετικά με </w:t>
      </w:r>
      <w:r w:rsidR="006136CF">
        <w:t>την</w:t>
      </w:r>
      <w:r w:rsidRPr="004474FA">
        <w:t xml:space="preserve"> εκτελεστική απόφαση </w:t>
      </w:r>
      <w:r w:rsidR="006136CF">
        <w:t xml:space="preserve">(ΕΕ) 2024/2627 </w:t>
      </w:r>
      <w:r w:rsidRPr="004474FA">
        <w:t>της Επιτροπής για την έγκριση της διάθεσης στην αγορά προϊόντων που περιέχουν, αποτελούνται ή παράγονται από γενετικώς τροποποιημένο βαμβάκι COT102, σύμφωνα με τον κανονισμό (ΕΚ) αριθ. 1829/2003 του Ευρωπαϊκού Κοινοβουλίου και του Συμβουλίου</w:t>
      </w:r>
      <w:bookmarkEnd w:id="5"/>
      <w:r w:rsidRPr="004474FA">
        <w:t xml:space="preserve"> </w:t>
      </w:r>
      <w:bookmarkStart w:id="6" w:name="References"/>
      <w:r w:rsidRPr="004474FA">
        <w:t>(2024/2835(RSP))</w:t>
      </w:r>
      <w:bookmarkEnd w:id="6"/>
    </w:p>
    <w:p w:rsidR="007450EB" w:rsidRPr="004474FA" w:rsidRDefault="007450EB" w:rsidP="007450EB">
      <w:pPr>
        <w:pStyle w:val="EPComma"/>
      </w:pPr>
      <w:bookmarkStart w:id="7" w:name="TextBodyBegin"/>
      <w:bookmarkEnd w:id="7"/>
      <w:r w:rsidRPr="004474FA">
        <w:rPr>
          <w:i/>
        </w:rPr>
        <w:t>Το Ευρωπαϊκό Κοινοβούλιο</w:t>
      </w:r>
      <w:r w:rsidRPr="004474FA">
        <w:t>,</w:t>
      </w:r>
    </w:p>
    <w:p w:rsidR="007450EB" w:rsidRPr="004474FA" w:rsidRDefault="007450EB" w:rsidP="007450EB">
      <w:pPr>
        <w:pStyle w:val="NormalHanging12a"/>
        <w:rPr>
          <w:szCs w:val="24"/>
        </w:rPr>
      </w:pPr>
      <w:r w:rsidRPr="004474FA">
        <w:t>–</w:t>
      </w:r>
      <w:r w:rsidRPr="004474FA">
        <w:tab/>
        <w:t xml:space="preserve">έχοντας υπόψη </w:t>
      </w:r>
      <w:r w:rsidR="006136CF">
        <w:t>την</w:t>
      </w:r>
      <w:r w:rsidRPr="004474FA">
        <w:t xml:space="preserve"> εκτελεστική απόφαση </w:t>
      </w:r>
      <w:r w:rsidR="006136CF">
        <w:t xml:space="preserve">(ΕΕ) 2024/2627 </w:t>
      </w:r>
      <w:r w:rsidRPr="004474FA">
        <w:t>της Επιτροπής για την έγκριση της διάθεσης στην αγορά προϊόντων που περιέχουν, αποτελούνται ή παράγονται από γενετικώς τροποποιημένο βαμβάκι COT102, σύμφωνα με τον κανονισμό (ΕΚ) αριθ. 1829/2003 του Ευρωπαϊκού Κοινοβουλίου και του Συμβουλίου</w:t>
      </w:r>
      <w:r w:rsidR="006136CF">
        <w:rPr>
          <w:rStyle w:val="FootnoteReference"/>
        </w:rPr>
        <w:footnoteReference w:id="1"/>
      </w:r>
      <w:r w:rsidRPr="004474FA">
        <w:t>,</w:t>
      </w:r>
    </w:p>
    <w:p w:rsidR="007450EB" w:rsidRPr="004474FA" w:rsidRDefault="007450EB" w:rsidP="007450EB">
      <w:pPr>
        <w:pStyle w:val="NormalHanging12a"/>
        <w:rPr>
          <w:szCs w:val="24"/>
        </w:rPr>
      </w:pPr>
      <w:r w:rsidRPr="004474FA">
        <w:t>–</w:t>
      </w:r>
      <w:r w:rsidRPr="004474FA">
        <w:tab/>
        <w:t>έχοντας υπόψη τον κανονισμό (ΕΚ) αριθ. 1829/2003 του Ευρωπαϊκού Κοινοβουλίου και του Συμβουλίου, της 22ας Σεπτεμβρίου 2003, για τα γενετικώς τροποποιημένα τρόφιμα και ζωοτροφές</w:t>
      </w:r>
      <w:r w:rsidRPr="004474FA">
        <w:rPr>
          <w:rStyle w:val="FootnoteReference"/>
          <w:szCs w:val="24"/>
        </w:rPr>
        <w:footnoteReference w:id="2"/>
      </w:r>
      <w:r w:rsidRPr="004474FA">
        <w:t>, και ειδικότερα το άρθρο 7 παράγραφος 3 και το άρθρο 19 παράγραφος 3,</w:t>
      </w:r>
    </w:p>
    <w:p w:rsidR="007450EB" w:rsidRPr="004474FA" w:rsidRDefault="007450EB" w:rsidP="007450EB">
      <w:pPr>
        <w:pStyle w:val="NormalHanging12a"/>
        <w:rPr>
          <w:szCs w:val="24"/>
        </w:rPr>
      </w:pPr>
      <w:r w:rsidRPr="004474FA">
        <w:t>–</w:t>
      </w:r>
      <w:r w:rsidRPr="004474FA">
        <w:tab/>
        <w:t>έχοντας υπόψη την ψ</w:t>
      </w:r>
      <w:r w:rsidRPr="004474FA">
        <w:rPr>
          <w:shd w:val="clear" w:color="auto" w:fill="FFFFFF"/>
        </w:rPr>
        <w:t xml:space="preserve">ηφοφορία στη μόνιμη επιτροπή φυτών, ζώων, τροφίμων και ζωοτροφών, που αναφέρεται στο άρθρο 35 του κανονισμού (ΕΚ) αριθ. 1829/2003, η οποία πραγματοποιήθηκε στις 8 Ιουλίου 2024 και κατά την οποία δεν εκδόθηκε γνωμοδότηση, και την ψηφοφορία στην επιτροπή προσφυγών στις 3 Σεπτεμβρίου 2024, που κατέληξε επίσης σε μη </w:t>
      </w:r>
      <w:r w:rsidRPr="004474FA">
        <w:t>έκδοση γνωμοδότησης,</w:t>
      </w:r>
    </w:p>
    <w:p w:rsidR="007450EB" w:rsidRPr="004474FA" w:rsidRDefault="007450EB" w:rsidP="007450EB">
      <w:pPr>
        <w:pStyle w:val="NormalHanging12a"/>
        <w:rPr>
          <w:szCs w:val="24"/>
        </w:rPr>
      </w:pPr>
      <w:r w:rsidRPr="004474FA">
        <w:t>–</w:t>
      </w:r>
      <w:r w:rsidRPr="004474FA">
        <w:tab/>
        <w:t>έχοντας υπόψη το άρθρο 11 του κανονισμού (ΕE)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w:t>
      </w:r>
      <w:r w:rsidRPr="004474FA">
        <w:rPr>
          <w:rStyle w:val="FootnoteReference"/>
          <w:szCs w:val="24"/>
        </w:rPr>
        <w:footnoteReference w:id="3"/>
      </w:r>
      <w:r w:rsidRPr="004474FA">
        <w:t>,</w:t>
      </w:r>
    </w:p>
    <w:p w:rsidR="007450EB" w:rsidRPr="004474FA" w:rsidRDefault="007450EB" w:rsidP="007450EB">
      <w:pPr>
        <w:pStyle w:val="NormalHanging12a"/>
        <w:rPr>
          <w:szCs w:val="24"/>
        </w:rPr>
      </w:pPr>
      <w:r w:rsidRPr="004474FA">
        <w:t>–</w:t>
      </w:r>
      <w:r w:rsidRPr="004474FA">
        <w:tab/>
        <w:t xml:space="preserve">έχοντας υπόψη τη γνωμοδότηση που εκδόθηκε από την Ευρωπαϊκή Αρχή για την </w:t>
      </w:r>
      <w:r w:rsidRPr="004474FA">
        <w:lastRenderedPageBreak/>
        <w:t>Ασφάλεια των Τροφίμων (EFSA) στις 10 Μαΐου 2023 και δημοσιεύθηκε στις 26 Ιουνίου 2023</w:t>
      </w:r>
      <w:r w:rsidRPr="004474FA">
        <w:rPr>
          <w:rStyle w:val="FootnoteReference"/>
          <w:szCs w:val="24"/>
        </w:rPr>
        <w:footnoteReference w:id="4"/>
      </w:r>
      <w:r w:rsidRPr="004474FA">
        <w:t>,</w:t>
      </w:r>
    </w:p>
    <w:p w:rsidR="007450EB" w:rsidRPr="004474FA" w:rsidRDefault="007450EB" w:rsidP="007450EB">
      <w:pPr>
        <w:pStyle w:val="NormalHanging12a"/>
        <w:rPr>
          <w:szCs w:val="24"/>
          <w:shd w:val="clear" w:color="auto" w:fill="FFFFFF"/>
        </w:rPr>
      </w:pPr>
      <w:r w:rsidRPr="004474FA">
        <w:t>–</w:t>
      </w:r>
      <w:r w:rsidRPr="004474FA">
        <w:rPr>
          <w:shd w:val="clear" w:color="auto" w:fill="FFFFFF"/>
        </w:rPr>
        <w:tab/>
        <w:t>έχοντας υπόψη τα προηγούμενα ψηφίσματά του που διατύπωναν αντίρρηση στην έγκριση γενετικώς τροποποιημένων οργανισμών (ΓΤΟ)</w:t>
      </w:r>
      <w:r w:rsidRPr="004474FA">
        <w:rPr>
          <w:szCs w:val="24"/>
          <w:shd w:val="clear" w:color="auto" w:fill="FFFFFF"/>
          <w:vertAlign w:val="superscript"/>
        </w:rPr>
        <w:footnoteReference w:id="5"/>
      </w:r>
      <w:r w:rsidRPr="004474FA">
        <w:rPr>
          <w:shd w:val="clear" w:color="auto" w:fill="FFFFFF"/>
        </w:rPr>
        <w:t>,</w:t>
      </w:r>
    </w:p>
    <w:p w:rsidR="007450EB" w:rsidRPr="004474FA" w:rsidRDefault="007450EB" w:rsidP="007450EB">
      <w:pPr>
        <w:pStyle w:val="NormalHanging12a"/>
        <w:rPr>
          <w:szCs w:val="24"/>
        </w:rPr>
      </w:pPr>
      <w:r w:rsidRPr="004474FA">
        <w:t>–</w:t>
      </w:r>
      <w:r w:rsidRPr="004474FA">
        <w:tab/>
        <w:t>έχοντας υπόψη το άρθρο 115 παράγραφοι 2 και 3 του Κανονισμού του,</w:t>
      </w:r>
    </w:p>
    <w:p w:rsidR="007450EB" w:rsidRPr="004474FA" w:rsidRDefault="007450EB" w:rsidP="007450EB">
      <w:pPr>
        <w:pStyle w:val="NormalHanging12a"/>
        <w:rPr>
          <w:szCs w:val="24"/>
        </w:rPr>
      </w:pPr>
      <w:r w:rsidRPr="004474FA">
        <w:t>–</w:t>
      </w:r>
      <w:r w:rsidRPr="004474FA">
        <w:tab/>
        <w:t>έχοντας υπόψη την πρόταση ψηφίσματος της Επιτροπής Περιβάλλοντος, Δημόσιας Υγείας και Ασφάλειας των Τροφίμων,</w:t>
      </w:r>
    </w:p>
    <w:p w:rsidR="007450EB" w:rsidRPr="004474FA" w:rsidRDefault="007450EB" w:rsidP="007450EB">
      <w:pPr>
        <w:pStyle w:val="NormalHanging12a"/>
        <w:rPr>
          <w:szCs w:val="24"/>
        </w:rPr>
      </w:pPr>
      <w:r w:rsidRPr="004474FA">
        <w:t>Α.</w:t>
      </w:r>
      <w:r w:rsidRPr="004474FA">
        <w:tab/>
        <w:t xml:space="preserve">λαμβάνοντας υπόψη ότι, στις 31 Μαρτίου 2017, η εταιρεία </w:t>
      </w:r>
      <w:proofErr w:type="spellStart"/>
      <w:r w:rsidRPr="004474FA">
        <w:t>Syngenta</w:t>
      </w:r>
      <w:proofErr w:type="spellEnd"/>
      <w:r w:rsidRPr="004474FA">
        <w:t xml:space="preserve"> </w:t>
      </w:r>
      <w:proofErr w:type="spellStart"/>
      <w:r w:rsidRPr="004474FA">
        <w:t>Crop</w:t>
      </w:r>
      <w:proofErr w:type="spellEnd"/>
      <w:r w:rsidRPr="004474FA">
        <w:t xml:space="preserve"> Protection NV/SA, η οποία εδρεύει στο Βέλγιο, υπέβαλε αίτηση στην αρμόδια εθνική αρχή της Γερμανίας για λογαριασμό της εταιρείας </w:t>
      </w:r>
      <w:proofErr w:type="spellStart"/>
      <w:r w:rsidRPr="004474FA">
        <w:t>Syngenta</w:t>
      </w:r>
      <w:proofErr w:type="spellEnd"/>
      <w:r w:rsidRPr="004474FA">
        <w:t xml:space="preserve"> </w:t>
      </w:r>
      <w:proofErr w:type="spellStart"/>
      <w:r w:rsidRPr="004474FA">
        <w:t>Crop</w:t>
      </w:r>
      <w:proofErr w:type="spellEnd"/>
      <w:r w:rsidRPr="004474FA">
        <w:t xml:space="preserve"> Protection AG, η οποία εδρεύει στην Ελβετία, για τη διάθεση στην αγορά τροφίμων, συστατικών τροφίμων και ζωοτροφών που περιέχουν, αποτελούνται ή παράγονται από γενετικώς τροποποιημένο βαμβάκι COT102 (</w:t>
      </w:r>
      <w:r w:rsidR="00A54635">
        <w:t>«</w:t>
      </w:r>
      <w:r w:rsidRPr="004474FA">
        <w:t>ΓΤ βαμβάκι</w:t>
      </w:r>
      <w:r w:rsidR="00A54635">
        <w:t>»</w:t>
      </w:r>
      <w:r w:rsidRPr="004474FA">
        <w:t xml:space="preserve">), σύμφωνα με τα άρθρα 5 και 17 του κανονισμού (ΕΚ) αριθ. 1829/2003 (στο εξής: αίτηση)· λαμβάνοντας υπόψη ότι η αίτηση κάλυπτε επίσης τη διάθεση στην αγορά προϊόντων που περιέχουν ή αποτελούνται από το ΓΤ βαμβάκι και προορίζονται για χρήσεις διαφορετικές από τη χρήση σε τρόφιμα και ζωοτροφές, εξαιρουμένης της καλλιέργειας· </w:t>
      </w:r>
    </w:p>
    <w:p w:rsidR="007450EB" w:rsidRPr="004474FA" w:rsidRDefault="007450EB" w:rsidP="007450EB">
      <w:pPr>
        <w:pStyle w:val="NormalHanging12a"/>
        <w:rPr>
          <w:szCs w:val="24"/>
        </w:rPr>
      </w:pPr>
      <w:r w:rsidRPr="004474FA">
        <w:t>Β.</w:t>
      </w:r>
      <w:r w:rsidRPr="004474FA">
        <w:tab/>
        <w:t>λαμβάνοντας υπόψη ότι, στις 10 Μαΐου 2023, η EFSA εξέδωσε θετική γνώμη, η οποία δημοσιεύθηκε στις 26 Ιουνίου 2023, στην οποία κατέληγε στο συμπέρασμα ότι το ΓΤ βαμβάκι είναι εξίσου ασφαλές με το μη γενετικώς τροποποιημένο συγκρίσιμο προϊόν και τις δοκιμασμένες μη ΓΤ ποικιλίες βαμβακιού όσον αφορά τις πιθανές επιπτώσεις στην υγεία των ανθρώπων και των ζώων και στο περιβάλλον·</w:t>
      </w:r>
    </w:p>
    <w:p w:rsidR="007450EB" w:rsidRPr="004474FA" w:rsidRDefault="007450EB" w:rsidP="007450EB">
      <w:pPr>
        <w:pStyle w:val="NormalHanging12a"/>
        <w:rPr>
          <w:szCs w:val="24"/>
        </w:rPr>
      </w:pPr>
      <w:r w:rsidRPr="004474FA">
        <w:t>Γ.</w:t>
      </w:r>
      <w:r w:rsidRPr="004474FA">
        <w:tab/>
        <w:t xml:space="preserve">λαμβάνοντας υπόψη ότι το ΓΤ βαμβάκι περιέχει γονίδια που παράγουν </w:t>
      </w:r>
      <w:proofErr w:type="spellStart"/>
      <w:r w:rsidRPr="004474FA">
        <w:t>εντομοκτόνες</w:t>
      </w:r>
      <w:proofErr w:type="spellEnd"/>
      <w:r w:rsidRPr="004474FA">
        <w:t xml:space="preserve"> πρωτεΐνες («τοξίνες </w:t>
      </w:r>
      <w:proofErr w:type="spellStart"/>
      <w:r w:rsidRPr="004474FA">
        <w:t>Bt</w:t>
      </w:r>
      <w:proofErr w:type="spellEnd"/>
      <w:r w:rsidRPr="004474FA">
        <w:t>») και ένα γονίδιο σήμανσης της ανθεκτικότητας στα αντιβιοτικά·</w:t>
      </w:r>
    </w:p>
    <w:p w:rsidR="007450EB" w:rsidRPr="004474FA" w:rsidRDefault="007450EB" w:rsidP="007450EB">
      <w:pPr>
        <w:pStyle w:val="NormalHanging12a"/>
        <w:rPr>
          <w:szCs w:val="24"/>
        </w:rPr>
      </w:pPr>
      <w:r w:rsidRPr="004474FA">
        <w:t>Δ.</w:t>
      </w:r>
      <w:r w:rsidRPr="004474FA">
        <w:tab/>
        <w:t xml:space="preserve">λαμβάνοντας υπόψη ότι το </w:t>
      </w:r>
      <w:proofErr w:type="spellStart"/>
      <w:r w:rsidRPr="004474FA">
        <w:t>βαμβακοσπορέλαιο</w:t>
      </w:r>
      <w:proofErr w:type="spellEnd"/>
      <w:r w:rsidRPr="004474FA">
        <w:t xml:space="preserve"> μπορεί να χρησιμοποιηθεί για την παραγωγή ποικίλων προϊόντων διατροφής, όπως τα </w:t>
      </w:r>
      <w:proofErr w:type="spellStart"/>
      <w:r w:rsidRPr="004474FA">
        <w:t>ντρέσινγκ</w:t>
      </w:r>
      <w:proofErr w:type="spellEnd"/>
      <w:r w:rsidRPr="004474FA">
        <w:t xml:space="preserve">, η μαγιονέζα, τα εκλεκτά αρτοσκευάσματα, οι σοκολάτες για επάλειψη και τα πατατάκια· λαμβάνοντας υπόψη ότι η κατανάλωση αλεύρου βαμβακόσπορου είναι ο πιθανότερος τρόπος με τον οποίο ο άνθρωπος θα μπορούσε να εκτεθεί στις δύο πρωτεΐνες που προκύπτουν από τη γενετική τροποποίηση· λαμβάνοντας υπόψη ότι το βαμβάκι χρησιμοποιείται συνήθως στις ζωοτροφές με τη μορφή σπόρων και αλεύρων με τις ίνες· </w:t>
      </w:r>
    </w:p>
    <w:p w:rsidR="007450EB" w:rsidRPr="004474FA" w:rsidRDefault="007450EB" w:rsidP="007450EB">
      <w:pPr>
        <w:pStyle w:val="NormalHanging12a"/>
        <w:rPr>
          <w:b/>
          <w:i/>
        </w:rPr>
      </w:pPr>
      <w:r w:rsidRPr="004474FA">
        <w:rPr>
          <w:b/>
          <w:i/>
        </w:rPr>
        <w:t xml:space="preserve">Εκκρεμή ζητήματα σχετικά με τις τοξίνες </w:t>
      </w:r>
      <w:proofErr w:type="spellStart"/>
      <w:r w:rsidRPr="004474FA">
        <w:rPr>
          <w:b/>
          <w:i/>
        </w:rPr>
        <w:t>Bt</w:t>
      </w:r>
      <w:proofErr w:type="spellEnd"/>
    </w:p>
    <w:p w:rsidR="007450EB" w:rsidRPr="004474FA" w:rsidRDefault="007450EB" w:rsidP="007450EB">
      <w:pPr>
        <w:pStyle w:val="NormalHanging12a"/>
        <w:rPr>
          <w:szCs w:val="24"/>
        </w:rPr>
      </w:pPr>
      <w:r w:rsidRPr="004474FA">
        <w:t>Ε.</w:t>
      </w:r>
      <w:r w:rsidRPr="004474FA">
        <w:tab/>
        <w:t xml:space="preserve">λαμβάνοντας υπόψη ότι η τοξικότητα των τοξινών </w:t>
      </w:r>
      <w:proofErr w:type="spellStart"/>
      <w:r w:rsidRPr="004474FA">
        <w:t>Bt</w:t>
      </w:r>
      <w:proofErr w:type="spellEnd"/>
      <w:r w:rsidRPr="004474FA">
        <w:t xml:space="preserve"> αξιολογήθηκε βάσει μελετών για τη διατροφή, χρησιμοποιώντας μόνο απομονωμένες πρωτεΐνες </w:t>
      </w:r>
      <w:proofErr w:type="spellStart"/>
      <w:r w:rsidRPr="004474FA">
        <w:t>Bt</w:t>
      </w:r>
      <w:proofErr w:type="spellEnd"/>
      <w:r w:rsidRPr="004474FA">
        <w:t xml:space="preserve"> που παράγονται από </w:t>
      </w:r>
      <w:r w:rsidRPr="004474FA">
        <w:lastRenderedPageBreak/>
        <w:t xml:space="preserve">βακτήρια· λαμβάνοντας υπόψη ότι μικρή σημασία μπορεί να αποδοθεί στις τοξικολογικές δοκιμές που διεξάγονται με πρωτεΐνες μεμονωμένα, λόγω του γεγονότος ότι οι τοξίνες </w:t>
      </w:r>
      <w:proofErr w:type="spellStart"/>
      <w:r w:rsidRPr="004474FA">
        <w:t>Bt</w:t>
      </w:r>
      <w:proofErr w:type="spellEnd"/>
      <w:r w:rsidRPr="004474FA">
        <w:t xml:space="preserve"> σε ΓΤ καλλιέργειες, όπως ο αραβόσιτος, το βαμβάκι και η σόγια, είναι εγγενώς πιο τοξικές από τις απομονωμένες τοξίνες </w:t>
      </w:r>
      <w:proofErr w:type="spellStart"/>
      <w:r w:rsidRPr="004474FA">
        <w:t>Bt</w:t>
      </w:r>
      <w:proofErr w:type="spellEnd"/>
      <w:r w:rsidRPr="004474FA">
        <w:t xml:space="preserve">· λαμβάνοντας υπόψη ότι αυτό οφείλεται στο γεγονός ότι οι αναστολείς </w:t>
      </w:r>
      <w:proofErr w:type="spellStart"/>
      <w:r w:rsidRPr="004474FA">
        <w:t>πρωτεάσης</w:t>
      </w:r>
      <w:proofErr w:type="spellEnd"/>
      <w:r w:rsidRPr="004474FA">
        <w:t xml:space="preserve"> (PI), που υπάρχουν στον φυτικό ιστό, μπορούν να αυξήσουν την τοξικότητα των τοξινών </w:t>
      </w:r>
      <w:proofErr w:type="spellStart"/>
      <w:r w:rsidRPr="004474FA">
        <w:t>Bt</w:t>
      </w:r>
      <w:proofErr w:type="spellEnd"/>
      <w:r w:rsidRPr="004474FA">
        <w:t xml:space="preserve"> καθυστερώντας την αποδόμησή τους· λαμβάνοντας υπόψη ότι το φαινόμενο αυτό έχει καταδειχθεί σε διάφορες επιστημονικές μελέτες, συμπεριλαμβανομένης μιας μελέτης που διενεργήθηκε για τη </w:t>
      </w:r>
      <w:proofErr w:type="spellStart"/>
      <w:r w:rsidRPr="004474FA">
        <w:t>Monsanto</w:t>
      </w:r>
      <w:proofErr w:type="spellEnd"/>
      <w:r w:rsidRPr="004474FA">
        <w:t xml:space="preserve"> και η οποία κατέδειξε ότι ακόμη και η παρουσία εξαιρετικά χαμηλών επιπέδων PI ενίσχυσε την τοξικότητα των τοξινών </w:t>
      </w:r>
      <w:proofErr w:type="spellStart"/>
      <w:r w:rsidRPr="004474FA">
        <w:t>Bt</w:t>
      </w:r>
      <w:proofErr w:type="spellEnd"/>
      <w:r w:rsidRPr="004474FA">
        <w:t xml:space="preserve"> έως και 20 φορές περισσότερο</w:t>
      </w:r>
      <w:r w:rsidRPr="004474FA">
        <w:rPr>
          <w:rStyle w:val="FootnoteReference"/>
          <w:szCs w:val="24"/>
        </w:rPr>
        <w:footnoteReference w:id="6"/>
      </w:r>
      <w:r w:rsidRPr="004474FA">
        <w:t>·</w:t>
      </w:r>
    </w:p>
    <w:p w:rsidR="007450EB" w:rsidRPr="004474FA" w:rsidRDefault="007450EB" w:rsidP="007450EB">
      <w:pPr>
        <w:pStyle w:val="NormalHanging12a"/>
        <w:rPr>
          <w:szCs w:val="24"/>
        </w:rPr>
      </w:pPr>
      <w:r w:rsidRPr="004474FA">
        <w:t>ΣΤ.</w:t>
      </w:r>
      <w:r w:rsidRPr="004474FA">
        <w:tab/>
        <w:t xml:space="preserve">λαμβάνοντας υπόψη ότι αυτή η ενισχυμένη τοξικότητα δεν συνεκτιμάται σε αξιολογήσεις κινδύνου της EFSA, παρόλο που είναι σημαντική για όλα τα φυτά </w:t>
      </w:r>
      <w:proofErr w:type="spellStart"/>
      <w:r w:rsidRPr="004474FA">
        <w:t>Bt</w:t>
      </w:r>
      <w:proofErr w:type="spellEnd"/>
      <w:r w:rsidRPr="004474FA">
        <w:t xml:space="preserve"> που έχουν εγκριθεί για εισαγωγή ή καλλιέργεια στην Ένωση· λαμβάνοντας υπόψη ότι, επομένως, για ανθρώπους και ζώα που καταναλώνουν τρόφιμα και ζωοτροφές που περιέχουν τοξίνες </w:t>
      </w:r>
      <w:proofErr w:type="spellStart"/>
      <w:r w:rsidRPr="004474FA">
        <w:t>Bt</w:t>
      </w:r>
      <w:proofErr w:type="spellEnd"/>
      <w:r w:rsidRPr="004474FA">
        <w:t xml:space="preserve"> δεν μπορούν να αποκλειστούν οι κίνδυνοι από αυτήν την ενισχυμένη τοξικότητα η οποία οφείλεται στην αλληλεπίδραση μεταξύ PI και τοξινών </w:t>
      </w:r>
      <w:proofErr w:type="spellStart"/>
      <w:r w:rsidRPr="004474FA">
        <w:t>Bt</w:t>
      </w:r>
      <w:proofErr w:type="spellEnd"/>
      <w:r w:rsidRPr="004474FA">
        <w:t>·</w:t>
      </w:r>
    </w:p>
    <w:p w:rsidR="007450EB" w:rsidRPr="004474FA" w:rsidRDefault="007450EB" w:rsidP="007450EB">
      <w:pPr>
        <w:pStyle w:val="NormalHanging12a"/>
        <w:rPr>
          <w:szCs w:val="24"/>
        </w:rPr>
      </w:pPr>
      <w:r w:rsidRPr="004474FA">
        <w:t>Ζ.</w:t>
      </w:r>
      <w:r w:rsidRPr="004474FA">
        <w:tab/>
        <w:t xml:space="preserve">λαμβάνοντας υπόψη ότι, σύμφωνα με διάφορες μελέτες, έχουν παρατηρηθεί παρενέργειες που ενδεχομένως επηρεάζουν το ανοσοποιητικό σύστημα έπειτα από έκθεση σε τοξίνες </w:t>
      </w:r>
      <w:proofErr w:type="spellStart"/>
      <w:r w:rsidRPr="004474FA">
        <w:t>Bt</w:t>
      </w:r>
      <w:proofErr w:type="spellEnd"/>
      <w:r w:rsidRPr="004474FA">
        <w:t xml:space="preserve"> και ότι ορισμένες τοξίνες </w:t>
      </w:r>
      <w:proofErr w:type="spellStart"/>
      <w:r w:rsidRPr="004474FA">
        <w:t>Bt</w:t>
      </w:r>
      <w:proofErr w:type="spellEnd"/>
      <w:r w:rsidRPr="004474FA">
        <w:t xml:space="preserve"> ενδέχεται να έχουν ανοσοενισχυτικές ιδιότητες</w:t>
      </w:r>
      <w:r w:rsidRPr="004474FA">
        <w:rPr>
          <w:rStyle w:val="FootnoteReference"/>
          <w:szCs w:val="24"/>
        </w:rPr>
        <w:footnoteReference w:id="7"/>
      </w:r>
      <w:r w:rsidRPr="004474FA">
        <w:t>, δηλαδή να ενισχύουν την αλλεργιογόνο δράση άλλων πρωτεϊνών με τις οποίες έρχονται σε επαφή·</w:t>
      </w:r>
    </w:p>
    <w:p w:rsidR="007450EB" w:rsidRPr="004474FA" w:rsidRDefault="007450EB" w:rsidP="007450EB">
      <w:pPr>
        <w:pStyle w:val="NormalHanging12a"/>
        <w:rPr>
          <w:b/>
          <w:i/>
          <w:szCs w:val="24"/>
        </w:rPr>
      </w:pPr>
      <w:r w:rsidRPr="004474FA">
        <w:rPr>
          <w:b/>
          <w:i/>
        </w:rPr>
        <w:t xml:space="preserve">Καλλιέργειες </w:t>
      </w:r>
      <w:proofErr w:type="spellStart"/>
      <w:r w:rsidRPr="004474FA">
        <w:rPr>
          <w:b/>
          <w:i/>
        </w:rPr>
        <w:t>Bt</w:t>
      </w:r>
      <w:proofErr w:type="spellEnd"/>
      <w:r w:rsidRPr="004474FA">
        <w:rPr>
          <w:b/>
          <w:i/>
        </w:rPr>
        <w:t>: επιδράσεις σε μη στοχευόμενους οργανισμούς</w:t>
      </w:r>
    </w:p>
    <w:p w:rsidR="007450EB" w:rsidRPr="004474FA" w:rsidRDefault="007450EB" w:rsidP="007450EB">
      <w:pPr>
        <w:pStyle w:val="NormalHanging12a"/>
      </w:pPr>
      <w:r w:rsidRPr="004474FA">
        <w:t>Η.</w:t>
      </w:r>
      <w:r w:rsidRPr="004474FA">
        <w:tab/>
        <w:t xml:space="preserve">λαμβάνοντας υπόψη ότι, σε αντίθεση με τη χρήση εντομοκτόνων, όπου η έκθεση πραγματοποιείται κατά τον χρόνο του ψεκασμού και για περιορισμένο χρονικό διάστημα στη συνέχεια, η χρήση γενετικά τροποποιημένων καλλιεργειών </w:t>
      </w:r>
      <w:proofErr w:type="spellStart"/>
      <w:r w:rsidRPr="004474FA">
        <w:t>Bt</w:t>
      </w:r>
      <w:proofErr w:type="spellEnd"/>
      <w:r w:rsidRPr="004474FA">
        <w:t xml:space="preserve"> οδηγεί σε συνεχή έκθεση των στοχευόμενων και μη στοχευόμενων οργανισμών στις τοξίνες </w:t>
      </w:r>
      <w:proofErr w:type="spellStart"/>
      <w:r w:rsidRPr="004474FA">
        <w:t>Bt</w:t>
      </w:r>
      <w:proofErr w:type="spellEnd"/>
      <w:r w:rsidRPr="004474FA">
        <w:t>·</w:t>
      </w:r>
    </w:p>
    <w:p w:rsidR="007450EB" w:rsidRPr="004474FA" w:rsidRDefault="007450EB" w:rsidP="007450EB">
      <w:pPr>
        <w:pStyle w:val="NormalHanging12a"/>
      </w:pPr>
      <w:r w:rsidRPr="004474FA">
        <w:t>Θ.</w:t>
      </w:r>
      <w:r w:rsidRPr="004474FA">
        <w:tab/>
        <w:t xml:space="preserve">λαμβάνοντας υπόψη ότι η υπόθεση ότι οι τοξίνες </w:t>
      </w:r>
      <w:proofErr w:type="spellStart"/>
      <w:r w:rsidRPr="004474FA">
        <w:t>Bt</w:t>
      </w:r>
      <w:proofErr w:type="spellEnd"/>
      <w:r w:rsidRPr="004474FA">
        <w:t xml:space="preserve"> παρουσιάζουν έναν μοναδικό τρόπο δράσης ειδικά για συγκεκριμένο στόχο δεν μπορεί πλέον να θεωρείται ορθή και δεν μπορούν να αποκλειστούν οι επιπτώσεις σε μη στοχευόμενους οργανισμούς</w:t>
      </w:r>
      <w:r w:rsidRPr="004474FA">
        <w:rPr>
          <w:rStyle w:val="FootnoteReference"/>
        </w:rPr>
        <w:footnoteReference w:id="8"/>
      </w:r>
      <w:r w:rsidRPr="004474FA">
        <w:t xml:space="preserve">· </w:t>
      </w:r>
    </w:p>
    <w:p w:rsidR="007450EB" w:rsidRPr="004474FA" w:rsidRDefault="007450EB" w:rsidP="007450EB">
      <w:pPr>
        <w:pStyle w:val="NormalHanging12a"/>
      </w:pPr>
      <w:r w:rsidRPr="004474FA">
        <w:t>Ι.</w:t>
      </w:r>
      <w:r w:rsidRPr="004474FA">
        <w:tab/>
        <w:t xml:space="preserve">λαμβάνοντας υπόψη ότι αναφέρεται ότι όλο και περισσότεροι μη </w:t>
      </w:r>
      <w:proofErr w:type="spellStart"/>
      <w:r w:rsidRPr="004474FA">
        <w:t>στοχευόμενοι</w:t>
      </w:r>
      <w:proofErr w:type="spellEnd"/>
      <w:r w:rsidRPr="004474FA">
        <w:t xml:space="preserve"> οργανισμοί επηρεάζονται με πολλούς τρόπους· λαμβάνοντας υπόψη ότι σε πρόσφατη επισκόπηση αναφέρονται 39 δημοσιεύσεις αξιολογημένες από ομοτίμους, οι οποίες αναφέρουν σημαντικές δυσμενείς επιπτώσεις των τοξινών </w:t>
      </w:r>
      <w:proofErr w:type="spellStart"/>
      <w:r w:rsidRPr="004474FA">
        <w:t>Bt</w:t>
      </w:r>
      <w:proofErr w:type="spellEnd"/>
      <w:r w:rsidRPr="004474FA">
        <w:t xml:space="preserve"> σε πολλά είδη «εκτός πεδίου»</w:t>
      </w:r>
      <w:r w:rsidRPr="004474FA">
        <w:rPr>
          <w:rStyle w:val="FootnoteReference"/>
        </w:rPr>
        <w:footnoteReference w:id="9"/>
      </w:r>
      <w:r w:rsidRPr="004474FA">
        <w:t>·</w:t>
      </w:r>
    </w:p>
    <w:p w:rsidR="007450EB" w:rsidRPr="004474FA" w:rsidRDefault="007450EB" w:rsidP="007450EB">
      <w:pPr>
        <w:pStyle w:val="NormalHanging12a"/>
        <w:rPr>
          <w:b/>
          <w:i/>
        </w:rPr>
      </w:pPr>
      <w:r w:rsidRPr="004474FA">
        <w:rPr>
          <w:b/>
          <w:i/>
        </w:rPr>
        <w:t>Μείωση της εξάρτησης από εισαγόμενες ζωοτροφές</w:t>
      </w:r>
    </w:p>
    <w:p w:rsidR="007450EB" w:rsidRPr="004474FA" w:rsidRDefault="007450EB" w:rsidP="007450EB">
      <w:pPr>
        <w:pStyle w:val="NormalHanging12a"/>
      </w:pPr>
      <w:r w:rsidRPr="004474FA">
        <w:t>ΙΑ.</w:t>
      </w:r>
      <w:r w:rsidRPr="004474FA">
        <w:tab/>
        <w:t xml:space="preserve">λαμβάνοντας υπόψη ότι ένα από τα διδάγματα από την κρίση </w:t>
      </w:r>
      <w:r w:rsidR="009F584C">
        <w:t xml:space="preserve">της </w:t>
      </w:r>
      <w:r w:rsidRPr="004474FA">
        <w:t xml:space="preserve">COVID-19 και τον συνεχιζόμενο πόλεμο στην Ουκρανία είναι η ανάγκη να τερματίσει η Ένωση τις εξαρτήσεις από ορισμένα κρίσιμα υλικά· λαμβάνοντας υπόψη ότι στην επιστολή ανάθεσης καθηκόντων προς τον ορισθέντα Επίτροπο </w:t>
      </w:r>
      <w:proofErr w:type="spellStart"/>
      <w:r w:rsidRPr="004474FA">
        <w:t>Christophe</w:t>
      </w:r>
      <w:proofErr w:type="spellEnd"/>
      <w:r w:rsidRPr="004474FA">
        <w:t xml:space="preserve"> </w:t>
      </w:r>
      <w:proofErr w:type="spellStart"/>
      <w:r w:rsidRPr="004474FA">
        <w:t>Hansen</w:t>
      </w:r>
      <w:proofErr w:type="spellEnd"/>
      <w:r w:rsidRPr="004474FA">
        <w:t xml:space="preserve">, η Πρόεδρος της Επιτροπής </w:t>
      </w:r>
      <w:proofErr w:type="spellStart"/>
      <w:r w:rsidRPr="004474FA">
        <w:t>Ursula</w:t>
      </w:r>
      <w:proofErr w:type="spellEnd"/>
      <w:r w:rsidRPr="004474FA">
        <w:t xml:space="preserve"> </w:t>
      </w:r>
      <w:proofErr w:type="spellStart"/>
      <w:r w:rsidRPr="004474FA">
        <w:t>von</w:t>
      </w:r>
      <w:proofErr w:type="spellEnd"/>
      <w:r w:rsidRPr="004474FA">
        <w:t xml:space="preserve"> </w:t>
      </w:r>
      <w:proofErr w:type="spellStart"/>
      <w:r w:rsidRPr="004474FA">
        <w:t>der</w:t>
      </w:r>
      <w:proofErr w:type="spellEnd"/>
      <w:r w:rsidRPr="004474FA">
        <w:t xml:space="preserve"> </w:t>
      </w:r>
      <w:proofErr w:type="spellStart"/>
      <w:r w:rsidRPr="004474FA">
        <w:t>Leyen</w:t>
      </w:r>
      <w:proofErr w:type="spellEnd"/>
      <w:r w:rsidRPr="004474FA">
        <w:t xml:space="preserve"> του ζητεί να εξετάσει τρόπους μείωσης των εισαγωγών κρίσιμων βασικών προϊόντων</w:t>
      </w:r>
      <w:r w:rsidRPr="004474FA">
        <w:rPr>
          <w:rStyle w:val="FootnoteReference"/>
        </w:rPr>
        <w:footnoteReference w:id="10"/>
      </w:r>
      <w:r w:rsidRPr="004474FA">
        <w:t xml:space="preserve">· </w:t>
      </w:r>
    </w:p>
    <w:p w:rsidR="007450EB" w:rsidRPr="004474FA" w:rsidRDefault="007450EB" w:rsidP="007450EB">
      <w:pPr>
        <w:pStyle w:val="NormalHanging12a"/>
        <w:rPr>
          <w:b/>
          <w:i/>
        </w:rPr>
      </w:pPr>
      <w:r w:rsidRPr="004474FA">
        <w:rPr>
          <w:b/>
          <w:i/>
        </w:rPr>
        <w:t>Συμπερίληψη του γονιδίου σήμανσης της ανθεκτικότητας στα αντιβιοτικά</w:t>
      </w:r>
    </w:p>
    <w:p w:rsidR="007450EB" w:rsidRPr="004474FA" w:rsidRDefault="007450EB" w:rsidP="007450EB">
      <w:pPr>
        <w:pStyle w:val="NormalHanging12a"/>
      </w:pPr>
      <w:r w:rsidRPr="004474FA">
        <w:t>ΙΒ.</w:t>
      </w:r>
      <w:r w:rsidRPr="004474FA">
        <w:tab/>
        <w:t xml:space="preserve">λαμβάνοντας υπόψη ότι το ΓΤ βαμβάκι παράγει την πρωτεΐνη APH4, η οποία χρησιμοποιείται ως γονίδιο σήμανσης της ανθεκτικότητας στα αντιβιοτικά και απενεργοποιεί τη δραστηριότητα του αντιβιοτικού </w:t>
      </w:r>
      <w:proofErr w:type="spellStart"/>
      <w:r w:rsidRPr="004474FA">
        <w:t>υγρομυκίνη</w:t>
      </w:r>
      <w:proofErr w:type="spellEnd"/>
      <w:r w:rsidRPr="004474FA">
        <w:t xml:space="preserve"> Β·</w:t>
      </w:r>
    </w:p>
    <w:p w:rsidR="007450EB" w:rsidRPr="004474FA" w:rsidRDefault="007450EB" w:rsidP="007450EB">
      <w:pPr>
        <w:pStyle w:val="NormalHanging12a"/>
      </w:pPr>
      <w:r w:rsidRPr="004474FA">
        <w:t>ΙΓ.</w:t>
      </w:r>
      <w:r w:rsidRPr="004474FA">
        <w:tab/>
        <w:t>λαμβάνοντας υπόψη ότι το άρθρο 4 παράγραφος  2 της οδηγίας 2001/18/ΕΚ του Ευρωπαϊκού Κοινοβουλίου και του Συμβουλίου</w:t>
      </w:r>
      <w:r w:rsidRPr="004474FA">
        <w:rPr>
          <w:rStyle w:val="FootnoteReference"/>
        </w:rPr>
        <w:footnoteReference w:id="11"/>
      </w:r>
      <w:r w:rsidRPr="004474FA">
        <w:t xml:space="preserve"> απαιτεί «οι ΓΤΟ, που περιέχουν γονίδια τα οποία εκφράζουν αντοχή σε αντιβιοτικά που χρησιμοποιούνται για ιατρική ή κτηνιατρική αγωγή, να λαμβάνονται ιδιαιτέρως υπόψη κατά τη διεξαγωγή της αξιολόγησης περιβαλλοντικού κινδύνου, προκειμένου να εντοπιστούν και να εξαλειφθούν σταδιακά τα γονίδια αντοχής στα αντιβιοτικά των ΓΤΟ, τα οποία ενδέχεται να έχουν αρνητικές επιπτώσεις για την ανθρώπινη υγεία και το περιβάλλον» και θέτει ως προθεσμία το 2004, πέραν της οποίας δεν θα πρέπει να διατίθενται στην αγορά της Ένωσης·</w:t>
      </w:r>
    </w:p>
    <w:p w:rsidR="007450EB" w:rsidRPr="004474FA" w:rsidRDefault="007450EB" w:rsidP="007450EB">
      <w:pPr>
        <w:pStyle w:val="NormalHanging12a"/>
      </w:pPr>
      <w:r w:rsidRPr="004474FA">
        <w:t>ΙΔ.</w:t>
      </w:r>
      <w:r w:rsidRPr="004474FA">
        <w:tab/>
        <w:t>λαμβάνοντας υπόψη ότι ο εκτελεστικός κανονισμός (ΕΕ) αριθ. 503/2013 της Επιτροπής</w:t>
      </w:r>
      <w:r w:rsidRPr="004474FA">
        <w:rPr>
          <w:rStyle w:val="FootnoteReference"/>
        </w:rPr>
        <w:footnoteReference w:id="12"/>
      </w:r>
      <w:r w:rsidRPr="004474FA">
        <w:t xml:space="preserve"> ορίζει ότι «είναι πλέον εφικτό να αναπτυχθούν ΓΤΟ χωρίς τη χρήση γονιδίων σήμανσης της ανθεκτικότητας στα αντιβιοτικά», «ως εκ τούτου [...] ο αιτών θα πρέπει να έχει ως στόχο την ανάπτυξη ΓΤΟ χωρίς τη χρήση γονιδίων σήμανσης της ανθεκτικότητας στα αντιβιοτικά»·</w:t>
      </w:r>
    </w:p>
    <w:p w:rsidR="007450EB" w:rsidRPr="004474FA" w:rsidRDefault="007450EB" w:rsidP="007450EB">
      <w:pPr>
        <w:pStyle w:val="NormalHanging12a"/>
      </w:pPr>
      <w:r w:rsidRPr="004474FA">
        <w:t>ΙΕ.</w:t>
      </w:r>
      <w:r w:rsidRPr="004474FA">
        <w:tab/>
        <w:t>λαμβάνοντας υπόψη ότι αρκετά κράτη μέλη διατύπωσαν επικριτικές παρατηρήσεις σχετικά με τη χρήση γονιδίων σήμανσης της ανθεκτικότητας στα αντιβιοτικά, μεταξύ των οποίων ότι, δεδομένης της τρέχουσας κρίσης όσον αφορά την αντοχή στα αντιβιοτικά, θα ήταν σκόπιμο να εφαρμοστεί η αρχή της προφύλαξης, ιδίως στην παρούσα περίπτωση όπου η χρήση του γονιδίου είναι εντελώς περιττή και η αφαίρεση του από το φυτικό γονιδίωμα είναι δυνατή· λαμβάνοντας υπόψη ότι η αρμόδια αρχή ενός κράτους μέλους εξέδωσε αρνητική γνώμη βάσει της παρουσίας του γονιδίου σήμανσης της ανθεκτικότητας στα αντιβιοτικά στο γονιδίωμα του ΓΤ βαμβακιού·</w:t>
      </w:r>
    </w:p>
    <w:p w:rsidR="007450EB" w:rsidRPr="004474FA" w:rsidRDefault="007450EB" w:rsidP="007450EB">
      <w:pPr>
        <w:pStyle w:val="NormalHanging12a"/>
      </w:pPr>
      <w:r w:rsidRPr="004474FA">
        <w:t>ΙΣΤ.</w:t>
      </w:r>
      <w:r w:rsidRPr="004474FA">
        <w:tab/>
        <w:t xml:space="preserve">λαμβάνοντας υπόψη ότι ο Ευρωπαϊκός Οργανισμός Φαρμάκων έχει επιβεβαιώσει ότι δεν υπάρχουν προϊόντα που περιέχουν </w:t>
      </w:r>
      <w:proofErr w:type="spellStart"/>
      <w:r w:rsidRPr="004474FA">
        <w:t>υγρομυκίνη</w:t>
      </w:r>
      <w:proofErr w:type="spellEnd"/>
      <w:r w:rsidRPr="004474FA">
        <w:t xml:space="preserve"> Β εγκεκριμένα για θεραπευτικές, προφυλακτικές ή άλλες ιατρικές χρήσεις σε ανθρώπους ή ζώα στα κράτη μέλη και ότι δεν υπάρχουν κεντρικές άδειες για ανθρώπινη ή κτηνιατρική χρήση για φάρμακα που περιέχουν </w:t>
      </w:r>
      <w:proofErr w:type="spellStart"/>
      <w:r w:rsidRPr="004474FA">
        <w:t>υγρομυκίνη</w:t>
      </w:r>
      <w:proofErr w:type="spellEnd"/>
      <w:r w:rsidRPr="004474FA">
        <w:t xml:space="preserve"> Β11· λαμβάνοντας υπόψη ότι η γνωμοδότηση της EFSA αναφέρει ότι η ειδική ομάδα για τους ΓΤΟ θεωρεί ότι η αξιολόγηση κινδύνου ενδέχεται να χρειαστεί να επικαιροποιηθεί σε περίπτωση που προϊόντα που περιέχουν </w:t>
      </w:r>
      <w:proofErr w:type="spellStart"/>
      <w:r w:rsidRPr="004474FA">
        <w:t>υγρομυκίνη</w:t>
      </w:r>
      <w:proofErr w:type="spellEnd"/>
      <w:r w:rsidRPr="004474FA">
        <w:t xml:space="preserve"> Β ή άλλα υποστρώματα του ενζύμου APH4 λάβουν στο μέλλον άδεια διάθεσης στην αγορά της ΕΕ· λαμβάνοντας, ωστόσο, υπόψη ότι η </w:t>
      </w:r>
      <w:proofErr w:type="spellStart"/>
      <w:r w:rsidRPr="004474FA">
        <w:t>υγρομυκίνη</w:t>
      </w:r>
      <w:proofErr w:type="spellEnd"/>
      <w:r w:rsidRPr="004474FA">
        <w:t xml:space="preserve"> Β χρησιμοποιείται σε κτηνιατρικά προϊόντα που πωλούνται εκτός της Ένωσης· </w:t>
      </w:r>
    </w:p>
    <w:p w:rsidR="007450EB" w:rsidRPr="004474FA" w:rsidRDefault="007450EB" w:rsidP="007450EB">
      <w:pPr>
        <w:pStyle w:val="NormalHanging12a"/>
      </w:pPr>
      <w:r w:rsidRPr="004474FA">
        <w:t>ΙΖ.</w:t>
      </w:r>
      <w:r w:rsidRPr="004474FA">
        <w:tab/>
        <w:t>λαμβάνοντας υπόψη ότι το Κοινοβούλιο, τουλάχιστον μία προηγούμενη φορά, αντιτάχθηκε στην εισαγωγή ΓΤ καλλιεργειών που περιείχαν γονίδια σήμανσης της ανθεκτικότητας στα αντιβιοτικά</w:t>
      </w:r>
      <w:r w:rsidRPr="004474FA">
        <w:rPr>
          <w:rStyle w:val="FootnoteReference"/>
        </w:rPr>
        <w:footnoteReference w:id="13"/>
      </w:r>
      <w:r w:rsidRPr="004474FA">
        <w:t>·</w:t>
      </w:r>
    </w:p>
    <w:p w:rsidR="007450EB" w:rsidRPr="004474FA" w:rsidRDefault="007450EB" w:rsidP="007450EB">
      <w:pPr>
        <w:pStyle w:val="NormalHanging12a"/>
      </w:pPr>
      <w:r w:rsidRPr="004474FA">
        <w:t>ΙΗ.</w:t>
      </w:r>
      <w:r w:rsidRPr="004474FA">
        <w:tab/>
        <w:t>λαμβάνοντας υπόψη ότι η αντοχή στα αντιμικροβιακά συνιστά απειλή για την παγκόσμια υγεία, την επισιτιστική ασφάλεια και την επίτευξη των Στόχων Βιώσιμης Ανάπτυξης για το 2030, και ότι οι ανθεκτικές στα φάρμακα λοιμώξεις δεν γνωρίζουν σύνορα</w:t>
      </w:r>
      <w:r w:rsidRPr="004474FA">
        <w:rPr>
          <w:rStyle w:val="FootnoteReference"/>
        </w:rPr>
        <w:footnoteReference w:id="14"/>
      </w:r>
      <w:r w:rsidRPr="004474FA">
        <w:t>·</w:t>
      </w:r>
    </w:p>
    <w:p w:rsidR="007450EB" w:rsidRPr="004474FA" w:rsidRDefault="007450EB" w:rsidP="007450EB">
      <w:pPr>
        <w:pStyle w:val="NormalHanging12a"/>
        <w:rPr>
          <w:b/>
          <w:i/>
        </w:rPr>
      </w:pPr>
      <w:r w:rsidRPr="004474FA">
        <w:rPr>
          <w:b/>
          <w:i/>
        </w:rPr>
        <w:t>Παρατηρήσεις αρμόδιων αρχών των κρατών μελών και ενδιαφερόμενων μερών</w:t>
      </w:r>
    </w:p>
    <w:p w:rsidR="007450EB" w:rsidRPr="004474FA" w:rsidRDefault="007450EB" w:rsidP="007450EB">
      <w:pPr>
        <w:pStyle w:val="NormalHanging12a"/>
      </w:pPr>
      <w:r w:rsidRPr="004474FA">
        <w:t>ΙΘ.</w:t>
      </w:r>
      <w:r w:rsidRPr="004474FA">
        <w:tab/>
        <w:t>λαμβάνοντας υπόψη ότι τα κράτη μέλη υπέβαλαν πολλές επικριτικές παρατηρήσεις στην EFSA κατά τη διάρκεια της τρίμηνης περιόδου διαβούλευσης</w:t>
      </w:r>
      <w:r w:rsidRPr="004474FA">
        <w:rPr>
          <w:rStyle w:val="FootnoteReference"/>
        </w:rPr>
        <w:footnoteReference w:id="15"/>
      </w:r>
      <w:r w:rsidRPr="004474FA">
        <w:t>, μεταξύ άλλων ότι η καλλιέργεια ΓΤ βαμβακιού σε γεωργικές εκτάσεις πρέπει να θεωρείται σκόπιμη μόλυνση φυσικών περιβαλλόντων με γονίδια αντοχής στα αντιβιοτικά, καθώς και ότι οι πληροφορίες που παρέχονται σχετικά με τον μοριακό χαρακτηρισμό, τη σύνθεση και την τοξικολογία είναι ανεπαρκείς και, ως εκ τούτου, τα συμπεράσματα της EFSA σχετικά με την ισοδυναμία του ΓΤ βαμβακιού με το συμβατικό βαμβάκι όσον αφορά την ασφάλεια των τροφίμων και των ζωοτροφών είναι πρόωρα·</w:t>
      </w:r>
    </w:p>
    <w:p w:rsidR="007450EB" w:rsidRPr="004474FA" w:rsidRDefault="007450EB" w:rsidP="007450EB">
      <w:pPr>
        <w:pStyle w:val="NormalHanging12a"/>
      </w:pPr>
      <w:r w:rsidRPr="004474FA">
        <w:t>Κ.</w:t>
      </w:r>
      <w:r w:rsidRPr="004474FA">
        <w:tab/>
        <w:t>λαμβάνοντας υπόψη ότι, σύμφωνα με τον κανονισμό (ΕΚ) αριθ. 1829/2003, τα ΓΤ τρόφιμα ή ζωοτροφές δεν πρέπει να έχουν δυσμενείς επιπτώσεις στην υγεία του ανθρώπου, στην υγεία των ζώων ή στο περιβάλλον, και ότι η Επιτροπή, κατά τη σύνταξη της απόφασής της, οφείλει να λαμβάνει υπόψη τυχόν συναφείς διατάξεις της ενωσιακής νομοθεσίας και άλλους κατά νόμο παράγοντες που αφορούν το υπό εξέταση ζήτημα· λαμβάνοντας υπόψη ότι στους εν λόγω κατά νόμο παράγοντες θα πρέπει να περιλαμβάνονται οι δεσμεύσεις της Ένωσης για την αντιμετώπιση της αντοχής στα αντιμικροβιακά·</w:t>
      </w:r>
    </w:p>
    <w:p w:rsidR="007450EB" w:rsidRPr="004474FA" w:rsidRDefault="007450EB" w:rsidP="007450EB">
      <w:pPr>
        <w:pStyle w:val="NormalHanging12a"/>
        <w:rPr>
          <w:b/>
          <w:i/>
        </w:rPr>
      </w:pPr>
      <w:r w:rsidRPr="004474FA">
        <w:rPr>
          <w:b/>
          <w:i/>
        </w:rPr>
        <w:t>Μη δημοκρατική διαδικασία λήψης αποφάσεων</w:t>
      </w:r>
    </w:p>
    <w:p w:rsidR="007450EB" w:rsidRPr="004474FA" w:rsidRDefault="007450EB" w:rsidP="007450EB">
      <w:pPr>
        <w:pStyle w:val="NormalHanging12a"/>
      </w:pPr>
      <w:r w:rsidRPr="004474FA">
        <w:t>ΚΑ.</w:t>
      </w:r>
      <w:r w:rsidRPr="004474FA">
        <w:tab/>
        <w:t>λαμβάνοντας υπόψη ότι, κατά την όγδοη κοινοβουλευτική του περίοδο, το Κοινοβούλιο ενέκρινε συνολικά 36 ψηφίσματα που αντιτίθενται στη διάθεση στην αγορά ΓΤΟ για τρόφιμα και ζωοτροφές (33 ψηφίσματα) και στην καλλιέργεια ΓΤΟ στην Ένωση (τρία ψηφίσματα)· λαμβάνοντας υπόψη ότι, κατά την ένατη κοινοβουλευτική του περίοδο, το Κοινοβούλιο ενέκρινε 38 ενστάσεις για τη διάθεση ΓΤΟ στην αγορά·</w:t>
      </w:r>
    </w:p>
    <w:p w:rsidR="007450EB" w:rsidRPr="004474FA" w:rsidRDefault="007450EB" w:rsidP="007450EB">
      <w:pPr>
        <w:pStyle w:val="NormalHanging12a"/>
      </w:pPr>
      <w:r w:rsidRPr="004474FA">
        <w:t>ΚΒ.</w:t>
      </w:r>
      <w:r w:rsidRPr="004474FA">
        <w:tab/>
        <w:t>λαμβάνοντας υπόψη ότι η Επιτροπή εξακολουθεί να εγκρίνει ΓΤΟ, παρά το γεγονός ότι αναγνωρίζει και η ίδια την ύπαρξη δημοκρατικού ελλείμματος, την έλλειψη στήριξης από την πλευρά των κρατών μελών και τις ενστάσεις του Κοινοβουλίου·</w:t>
      </w:r>
    </w:p>
    <w:p w:rsidR="007450EB" w:rsidRPr="004474FA" w:rsidRDefault="007450EB" w:rsidP="007450EB">
      <w:pPr>
        <w:pStyle w:val="NormalHanging12a"/>
      </w:pPr>
      <w:r w:rsidRPr="004474FA">
        <w:t>ΚΓ.</w:t>
      </w:r>
      <w:r w:rsidRPr="004474FA">
        <w:tab/>
        <w:t>λαμβάνοντας υπόψη ότι δεν απαιτείται καμία τροποποίηση της νομοθεσίας ώστε να είναι σε θέση η Επιτροπή να μην εγκρίνει ΓΤΟ όταν δεν υπάρχει ειδική πλειοψηφία κρατών μελών υπέρ της έγκρισης στην επιτροπή προσφυγών</w:t>
      </w:r>
      <w:r w:rsidRPr="004474FA">
        <w:rPr>
          <w:rStyle w:val="FootnoteReference"/>
        </w:rPr>
        <w:footnoteReference w:id="16"/>
      </w:r>
      <w:r w:rsidRPr="004474FA">
        <w:t>·</w:t>
      </w:r>
    </w:p>
    <w:p w:rsidR="007450EB" w:rsidRPr="004474FA" w:rsidRDefault="007450EB" w:rsidP="007450EB">
      <w:pPr>
        <w:pStyle w:val="NormalHanging12a"/>
      </w:pPr>
      <w:r w:rsidRPr="004474FA">
        <w:t>ΚΔ.</w:t>
      </w:r>
      <w:r w:rsidRPr="004474FA">
        <w:tab/>
      </w:r>
      <w:r w:rsidRPr="004474FA">
        <w:rPr>
          <w:shd w:val="clear" w:color="auto" w:fill="FFFFFF"/>
        </w:rPr>
        <w:t>λαμβάνοντας υπόψη ότι η ψηφοφορία της 8ης Ιουλίου 2024 στη μόνιμη επιτροπή φυτών, ζώων, τροφίμων και ζωοτροφών, που αναφέρεται στο άρθρο 35 του κανονισμού (ΕΚ) αριθ. 1829/2003, δεν οδήγησε σε έκδοση γνωμοδότησης, κάτι που σημαίνει ότι η αδειοδότηση δεν υποστηρίχθηκε από μια ειδική πλειοψηφία των κρατών μελών· λαμβάνοντας υπόψη ότι ούτε η ψηφοφορία της 3ης Σεπτεμβρίου 2024 στην επιτροπή προσφυγών οδήγησε σε γνωμοδότηση·</w:t>
      </w:r>
    </w:p>
    <w:p w:rsidR="007450EB" w:rsidRPr="004474FA" w:rsidRDefault="00D822C6" w:rsidP="00D822C6">
      <w:pPr>
        <w:pStyle w:val="NormalHanging12a"/>
        <w:ind w:hanging="570"/>
      </w:pPr>
      <w:r w:rsidRPr="004474FA">
        <w:t>1.</w:t>
      </w:r>
      <w:r w:rsidRPr="004474FA">
        <w:tab/>
      </w:r>
      <w:r w:rsidR="007450EB" w:rsidRPr="004474FA">
        <w:t xml:space="preserve">θεωρεί ότι </w:t>
      </w:r>
      <w:r w:rsidR="006136CF">
        <w:t>η</w:t>
      </w:r>
      <w:r w:rsidR="007450EB" w:rsidRPr="004474FA">
        <w:t xml:space="preserve"> εκτελεστική απόφαση </w:t>
      </w:r>
      <w:r w:rsidR="006136CF">
        <w:t xml:space="preserve">(ΕΕ) 2024/2627 </w:t>
      </w:r>
      <w:r w:rsidR="007450EB" w:rsidRPr="004474FA">
        <w:t>της Επιτροπής υπερβαίνει τις εκτελεστικές αρμοδιότητες που προβλέπει ο κανονισμός (ΕΚ) αριθ. 1829/2003·</w:t>
      </w:r>
    </w:p>
    <w:p w:rsidR="007450EB" w:rsidRPr="004474FA" w:rsidRDefault="00D822C6" w:rsidP="00D822C6">
      <w:pPr>
        <w:pStyle w:val="NormalHanging12a"/>
        <w:ind w:hanging="570"/>
      </w:pPr>
      <w:r w:rsidRPr="004474FA">
        <w:t>2.</w:t>
      </w:r>
      <w:r w:rsidRPr="004474FA">
        <w:tab/>
      </w:r>
      <w:r w:rsidR="007450EB" w:rsidRPr="004474FA">
        <w:t xml:space="preserve">θεωρεί ότι </w:t>
      </w:r>
      <w:r w:rsidR="006136CF">
        <w:t>η</w:t>
      </w:r>
      <w:r w:rsidR="007450EB" w:rsidRPr="004474FA">
        <w:t xml:space="preserve"> εκτελεστική απόφαση </w:t>
      </w:r>
      <w:r w:rsidR="006136CF">
        <w:t xml:space="preserve">(ΕΕ) 2024/2627 </w:t>
      </w:r>
      <w:r w:rsidR="007450EB" w:rsidRPr="004474FA">
        <w:t>της Επιτροπής δεν είναι σύμφων</w:t>
      </w:r>
      <w:r w:rsidR="006136CF">
        <w:t>η</w:t>
      </w:r>
      <w:r w:rsidR="007450EB" w:rsidRPr="004474FA">
        <w:t xml:space="preserve"> με το δίκαιο της Ένωσης, υπό την έννοια ότι δεν συνάδει με τον σκοπό του κανονισμού (ΕΚ) αριθ. 1829/2003, ο οποίος είναι, σύμφωνα με τις γενικές αρχές που καθορίζονται στον κανονισμό (ΕΚ) αριθ. 178/2002 του Ευρωπαϊκού Κοινοβουλίου και του Συμβουλίου</w:t>
      </w:r>
      <w:r w:rsidR="007450EB" w:rsidRPr="004474FA">
        <w:rPr>
          <w:rStyle w:val="FootnoteReference"/>
        </w:rPr>
        <w:footnoteReference w:id="17"/>
      </w:r>
      <w:r w:rsidR="007450EB" w:rsidRPr="004474FA">
        <w:t>, να προσφέρει τη βάση για τη διασφάλιση υψηλού επιπέδου προστασίας της ζωής και της υγείας του ανθρώπου, της υγείας και της καλής διαβίωσης των ζώων, του περιβάλλοντος και των συμφερόντων των καταναλωτών σε σχέση με τα ΓΤ τρόφιμα και ζωοτροφές, εξασφαλίζοντας παράλληλα την αποτελεσματική λειτουργία της εσωτερικής αγοράς·</w:t>
      </w:r>
    </w:p>
    <w:p w:rsidR="007450EB" w:rsidRPr="004474FA" w:rsidRDefault="00D822C6" w:rsidP="00D822C6">
      <w:pPr>
        <w:pStyle w:val="NormalHanging12a"/>
        <w:ind w:hanging="570"/>
      </w:pPr>
      <w:r w:rsidRPr="004474FA">
        <w:t>3.</w:t>
      </w:r>
      <w:r w:rsidRPr="004474FA">
        <w:tab/>
      </w:r>
      <w:r w:rsidR="007450EB" w:rsidRPr="004474FA">
        <w:t xml:space="preserve">ζητεί από την Επιτροπή να </w:t>
      </w:r>
      <w:r w:rsidR="006136CF">
        <w:t>καταργήσει την</w:t>
      </w:r>
      <w:r w:rsidR="007450EB" w:rsidRPr="004474FA">
        <w:t xml:space="preserve"> εκτελεστική απόφασ</w:t>
      </w:r>
      <w:r w:rsidR="009F584C">
        <w:t>η</w:t>
      </w:r>
      <w:r w:rsidR="007450EB" w:rsidRPr="004474FA">
        <w:t xml:space="preserve"> </w:t>
      </w:r>
      <w:r w:rsidR="00657AB0">
        <w:t xml:space="preserve">(ΕΕ) 2024/2627 </w:t>
      </w:r>
      <w:r w:rsidR="007450EB" w:rsidRPr="004474FA">
        <w:t>και να υποβάλει νέο σχέδιο στην επιτροπή·</w:t>
      </w:r>
    </w:p>
    <w:p w:rsidR="007450EB" w:rsidRPr="004474FA" w:rsidRDefault="00D822C6" w:rsidP="00D822C6">
      <w:pPr>
        <w:pStyle w:val="NormalHanging12a"/>
        <w:ind w:hanging="570"/>
      </w:pPr>
      <w:r w:rsidRPr="004474FA">
        <w:t>4.</w:t>
      </w:r>
      <w:r w:rsidRPr="004474FA">
        <w:tab/>
      </w:r>
      <w:r w:rsidR="007450EB" w:rsidRPr="004474FA">
        <w:t xml:space="preserve">επαναλαμβάνει την έκκλησή του προς την Επιτροπή να μην εγκρίνει τη διάθεση στην αγορά ΓΤ φυτών που περιέχουν γονίδια τα οποία προσδίδουν μικροβιακή αντοχή· σημειώνει ότι η έγκριση θα παραβίαζε το άρθρο 4 παράγραφος 2 της οδηγίας 2001/18/ΕΚ, το οποίο ζητεί τη σταδιακή κατάργηση των γονιδίων σήμανσης της ανθεκτικότητας στα αντιβιοτικά που ενδέχεται να έχουν δυσμενείς επιπτώσεις στην ανθρώπινη υγεία ή στο περιβάλλον· </w:t>
      </w:r>
    </w:p>
    <w:p w:rsidR="007450EB" w:rsidRPr="004474FA" w:rsidRDefault="00D822C6" w:rsidP="00D822C6">
      <w:pPr>
        <w:pStyle w:val="NormalHanging12a"/>
        <w:ind w:hanging="570"/>
      </w:pPr>
      <w:r w:rsidRPr="004474FA">
        <w:t>5.</w:t>
      </w:r>
      <w:r w:rsidRPr="004474FA">
        <w:tab/>
      </w:r>
      <w:r w:rsidR="007450EB" w:rsidRPr="004474FA">
        <w:t>εκφράζει την ικανοποίησή του για το γεγονός ότι η Επιτροπή αναγνώρισε τελικά, σε επιστολή της με ημερομηνία 11 Σεπτεμβρίου 2020 προς τους βουλευτές, την ανάγκη να λαμβάνεται υπόψη η βιωσιμότητα κατά τη λήψη αποφάσεων για την έγκριση ΓΤΟ</w:t>
      </w:r>
      <w:r w:rsidR="007450EB" w:rsidRPr="004474FA">
        <w:rPr>
          <w:rStyle w:val="FootnoteReference"/>
        </w:rPr>
        <w:footnoteReference w:id="18"/>
      </w:r>
      <w:r w:rsidR="007450EB" w:rsidRPr="004474FA">
        <w:t>· εκφράζει, ωστόσο, τη βαθιά απογοήτευσή του καθώς έκτοτε η Επιτροπή συνεχίζει να εγκρίνει ΓΤΟ για εισαγωγή στην Ένωση, παρά τις επανειλημμένες αντιρρήσεις του Κοινοβουλίου και το γεγονός ότι η πλειοψηφία των κρατών μελών ψηφίζει απορριπτικά·</w:t>
      </w:r>
    </w:p>
    <w:p w:rsidR="007450EB" w:rsidRPr="004474FA" w:rsidRDefault="00D822C6" w:rsidP="00D822C6">
      <w:pPr>
        <w:pStyle w:val="NormalHanging12a"/>
        <w:ind w:hanging="570"/>
      </w:pPr>
      <w:r w:rsidRPr="004474FA">
        <w:t>6.</w:t>
      </w:r>
      <w:r w:rsidRPr="004474FA">
        <w:tab/>
      </w:r>
      <w:r w:rsidR="007450EB" w:rsidRPr="004474FA">
        <w:t>παροτρύνει εκ νέου την Επιτροπή να λάβει υπόψη τις υποχρεώσεις της Ένωσης στο πλαίσιο διεθνών συμφωνιών, όπως η Συμφωνία του Παρισιού για το κλίμα, η Σύμβαση των Ηνωμένων Εθνών για τη βιολογική ποικιλότητα και οι Στόχοι Βιώσιμης Ανάπτυξης (ΣΒΑ) των Ηνωμένων Εθνών· επαναλαμβάνει την έκκλησή του να συνοδεύονται τα σχέδια εκτελεστικών πράξεων από αιτιολογική έκθεση στην οποία να εξηγείται πώς τηρούν την αρχή του «μη βλάπτειν»</w:t>
      </w:r>
      <w:r w:rsidR="007450EB" w:rsidRPr="004474FA">
        <w:rPr>
          <w:rStyle w:val="FootnoteReference"/>
        </w:rPr>
        <w:footnoteReference w:id="19"/>
      </w:r>
      <w:r w:rsidR="007450EB" w:rsidRPr="004474FA">
        <w:t>·</w:t>
      </w:r>
    </w:p>
    <w:p w:rsidR="004474FA" w:rsidRPr="004474FA" w:rsidRDefault="00D822C6" w:rsidP="00D822C6">
      <w:pPr>
        <w:widowControl/>
        <w:ind w:left="567" w:hanging="570"/>
      </w:pPr>
      <w:r w:rsidRPr="004474FA">
        <w:t>7.</w:t>
      </w:r>
      <w:r w:rsidRPr="004474FA">
        <w:tab/>
      </w:r>
      <w:r w:rsidR="007450EB" w:rsidRPr="004474FA">
        <w:t xml:space="preserve">αναθέτει στην Πρόεδρό του να διαβιβάσει το παρόν ψήφισμα στο Συμβούλιο και στην Επιτροπή, καθώς και στις κυβερνήσεις και στα κοινοβούλια των κρατών μελών. </w:t>
      </w:r>
    </w:p>
    <w:p w:rsidR="00E365E1" w:rsidRPr="004474FA" w:rsidRDefault="00E365E1" w:rsidP="0019337E"/>
    <w:sectPr w:rsidR="00E365E1" w:rsidRPr="004474FA" w:rsidSect="004474F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37E" w:rsidRPr="004474FA" w:rsidRDefault="0019337E">
      <w:r w:rsidRPr="004474FA">
        <w:separator/>
      </w:r>
    </w:p>
  </w:endnote>
  <w:endnote w:type="continuationSeparator" w:id="0">
    <w:p w:rsidR="0019337E" w:rsidRPr="004474FA" w:rsidRDefault="0019337E">
      <w:r w:rsidRPr="004474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37E" w:rsidRPr="004474FA" w:rsidRDefault="0019337E">
      <w:r w:rsidRPr="004474FA">
        <w:separator/>
      </w:r>
    </w:p>
  </w:footnote>
  <w:footnote w:type="continuationSeparator" w:id="0">
    <w:p w:rsidR="0019337E" w:rsidRPr="004474FA" w:rsidRDefault="0019337E">
      <w:r w:rsidRPr="004474FA">
        <w:continuationSeparator/>
      </w:r>
    </w:p>
  </w:footnote>
  <w:footnote w:id="1">
    <w:p w:rsidR="006136CF" w:rsidRPr="00D822C6" w:rsidRDefault="006136CF" w:rsidP="00D822C6">
      <w:pPr>
        <w:pStyle w:val="FootnoteText"/>
        <w:ind w:left="567" w:hanging="567"/>
        <w:rPr>
          <w:lang w:val="fi-FI"/>
        </w:rPr>
      </w:pPr>
      <w:r w:rsidRPr="00D822C6">
        <w:rPr>
          <w:rStyle w:val="FootnoteReference"/>
          <w:sz w:val="24"/>
          <w:szCs w:val="24"/>
        </w:rPr>
        <w:footnoteRef/>
      </w:r>
      <w:r w:rsidRPr="00D822C6">
        <w:rPr>
          <w:sz w:val="24"/>
          <w:szCs w:val="24"/>
          <w:lang w:val="fi-FI"/>
        </w:rPr>
        <w:t xml:space="preserve"> </w:t>
      </w:r>
      <w:r w:rsidRPr="00D822C6">
        <w:rPr>
          <w:sz w:val="24"/>
          <w:szCs w:val="24"/>
          <w:lang w:val="fi-FI"/>
        </w:rPr>
        <w:tab/>
      </w:r>
      <w:r w:rsidRPr="00D822C6">
        <w:rPr>
          <w:sz w:val="24"/>
          <w:szCs w:val="24"/>
          <w:lang w:val="el-GR"/>
        </w:rPr>
        <w:t>ΕΕ</w:t>
      </w:r>
      <w:r w:rsidRPr="00D822C6">
        <w:rPr>
          <w:sz w:val="24"/>
          <w:szCs w:val="24"/>
          <w:lang w:val="fi-FI"/>
        </w:rPr>
        <w:t xml:space="preserve"> L, 2024/2627, 10.10.2024, ELI: </w:t>
      </w:r>
      <w:hyperlink r:id="rId1" w:history="1">
        <w:r w:rsidRPr="00D822C6">
          <w:rPr>
            <w:rStyle w:val="Hyperlink"/>
            <w:sz w:val="24"/>
            <w:szCs w:val="24"/>
            <w:lang w:val="fi-FI"/>
          </w:rPr>
          <w:t>http://data.europa.eu/eli/dec_impl/2024/2627/oj</w:t>
        </w:r>
      </w:hyperlink>
      <w:r w:rsidRPr="00D822C6">
        <w:rPr>
          <w:sz w:val="24"/>
          <w:szCs w:val="24"/>
          <w:lang w:val="fi-FI"/>
        </w:rPr>
        <w:t xml:space="preserve">. </w:t>
      </w:r>
    </w:p>
  </w:footnote>
  <w:footnote w:id="2">
    <w:p w:rsidR="007450EB" w:rsidRPr="004474FA" w:rsidRDefault="007450EB" w:rsidP="004474FA">
      <w:pPr>
        <w:pStyle w:val="FootnoteText"/>
        <w:ind w:left="567" w:hanging="567"/>
        <w:rPr>
          <w:sz w:val="24"/>
          <w:lang w:val="el-GR"/>
        </w:rPr>
      </w:pPr>
      <w:r w:rsidRPr="004474FA">
        <w:rPr>
          <w:rStyle w:val="FootnoteReference"/>
          <w:sz w:val="24"/>
          <w:lang w:val="el-GR"/>
        </w:rPr>
        <w:footnoteRef/>
      </w:r>
      <w:r w:rsidR="004474FA" w:rsidRPr="004474FA">
        <w:rPr>
          <w:sz w:val="24"/>
          <w:lang w:val="el-GR"/>
        </w:rPr>
        <w:t xml:space="preserve"> </w:t>
      </w:r>
      <w:r w:rsidR="004474FA" w:rsidRPr="004474FA">
        <w:rPr>
          <w:sz w:val="24"/>
          <w:lang w:val="el-GR"/>
        </w:rPr>
        <w:tab/>
      </w:r>
      <w:r w:rsidRPr="004474FA">
        <w:rPr>
          <w:sz w:val="24"/>
          <w:lang w:val="el-GR"/>
        </w:rPr>
        <w:t xml:space="preserve">ΕΕ L 268 της 18.10.2003, σ. </w:t>
      </w:r>
      <w:r w:rsidRPr="004474FA">
        <w:rPr>
          <w:sz w:val="24"/>
          <w:lang w:val="el-GR"/>
        </w:rPr>
        <w:t>1, ELI:</w:t>
      </w:r>
      <w:r w:rsidR="00D822C6">
        <w:rPr>
          <w:sz w:val="24"/>
          <w:lang w:val="el-GR"/>
        </w:rPr>
        <w:t xml:space="preserve"> </w:t>
      </w:r>
      <w:hyperlink r:id="rId2" w:tooltip="Επιτρέπει πρόσβαση στο έγγραφο μέσω του ELI URI." w:history="1">
        <w:r w:rsidRPr="004474FA">
          <w:rPr>
            <w:rStyle w:val="Hyperlink"/>
            <w:sz w:val="24"/>
            <w:lang w:val="el-GR"/>
          </w:rPr>
          <w:t>http://data.europa.eu/eli/reg/2003/1829/oj</w:t>
        </w:r>
      </w:hyperlink>
      <w:r w:rsidRPr="004474FA">
        <w:rPr>
          <w:sz w:val="24"/>
          <w:lang w:val="el-GR"/>
        </w:rPr>
        <w:t>.</w:t>
      </w:r>
    </w:p>
  </w:footnote>
  <w:footnote w:id="3">
    <w:p w:rsidR="007450EB" w:rsidRPr="004474FA" w:rsidRDefault="007450EB" w:rsidP="004474FA">
      <w:pPr>
        <w:pStyle w:val="FootnoteText"/>
        <w:ind w:left="567" w:hanging="567"/>
        <w:rPr>
          <w:sz w:val="24"/>
          <w:lang w:val="el-GR"/>
        </w:rPr>
      </w:pPr>
      <w:r w:rsidRPr="004474FA">
        <w:rPr>
          <w:rStyle w:val="FootnoteReference"/>
          <w:sz w:val="24"/>
          <w:lang w:val="el-GR"/>
        </w:rPr>
        <w:footnoteRef/>
      </w:r>
      <w:r w:rsidR="004474FA" w:rsidRPr="004474FA">
        <w:rPr>
          <w:sz w:val="24"/>
          <w:lang w:val="el-GR"/>
        </w:rPr>
        <w:t xml:space="preserve"> </w:t>
      </w:r>
      <w:r w:rsidR="004474FA" w:rsidRPr="004474FA">
        <w:rPr>
          <w:sz w:val="24"/>
          <w:lang w:val="el-GR"/>
        </w:rPr>
        <w:tab/>
      </w:r>
      <w:r w:rsidRPr="004474FA">
        <w:rPr>
          <w:sz w:val="24"/>
          <w:lang w:val="el-GR"/>
        </w:rPr>
        <w:t xml:space="preserve">ΕΕ L 55 της 28.2.2011, σ. </w:t>
      </w:r>
      <w:r w:rsidRPr="004474FA">
        <w:rPr>
          <w:sz w:val="24"/>
          <w:lang w:val="el-GR"/>
        </w:rPr>
        <w:t xml:space="preserve">13, ELI: </w:t>
      </w:r>
      <w:hyperlink r:id="rId3" w:tooltip="Επιτρέπει πρόσβαση στο έγγραφο μέσω του ELI URI." w:history="1">
        <w:r w:rsidRPr="004474FA">
          <w:rPr>
            <w:rStyle w:val="Hyperlink"/>
            <w:sz w:val="24"/>
            <w:lang w:val="el-GR"/>
          </w:rPr>
          <w:t>http://data.europa.eu/eli/reg/2011/182/oj</w:t>
        </w:r>
      </w:hyperlink>
      <w:r w:rsidRPr="004474FA">
        <w:rPr>
          <w:sz w:val="24"/>
          <w:lang w:val="el-GR"/>
        </w:rPr>
        <w:t>.</w:t>
      </w:r>
    </w:p>
  </w:footnote>
  <w:footnote w:id="4">
    <w:p w:rsidR="007450EB" w:rsidRPr="004474FA" w:rsidRDefault="007450EB" w:rsidP="004474FA">
      <w:pPr>
        <w:pStyle w:val="FootnoteText"/>
        <w:ind w:left="567" w:hanging="567"/>
        <w:rPr>
          <w:sz w:val="24"/>
          <w:lang w:val="el-GR"/>
        </w:rPr>
      </w:pPr>
      <w:r w:rsidRPr="004474FA">
        <w:rPr>
          <w:rStyle w:val="FootnoteReference"/>
          <w:sz w:val="24"/>
          <w:lang w:val="el-GR"/>
        </w:rPr>
        <w:footnoteRef/>
      </w:r>
      <w:r w:rsidR="004474FA" w:rsidRPr="004474FA">
        <w:rPr>
          <w:sz w:val="24"/>
          <w:lang w:val="el-GR"/>
        </w:rPr>
        <w:t xml:space="preserve"> </w:t>
      </w:r>
      <w:r w:rsidR="004474FA" w:rsidRPr="004474FA">
        <w:rPr>
          <w:sz w:val="24"/>
          <w:lang w:val="el-GR"/>
        </w:rPr>
        <w:tab/>
      </w:r>
      <w:r w:rsidRPr="004474FA">
        <w:rPr>
          <w:sz w:val="24"/>
          <w:lang w:val="el-GR"/>
        </w:rPr>
        <w:t xml:space="preserve">Επιστημονική γνώμη της ομάδας της EFSA για τους γενετικώς τροποποιημένους οργανισμούς σχετικά με την αξιολόγηση του γενετικώς τροποποιημένου βαμβακιού COT102 για χρήσεις σε τρόφιμα και ζωοτροφές, βάσει του κανονισμού (ΕΚ) αριθ. </w:t>
      </w:r>
      <w:r w:rsidRPr="004474FA">
        <w:rPr>
          <w:sz w:val="24"/>
          <w:lang w:val="el-GR"/>
        </w:rPr>
        <w:t>1829/2003 (αίτηση EFSA-GMO-DE-2017-141), EFSA Journal, 2023</w:t>
      </w:r>
      <w:r w:rsidR="00A54635">
        <w:rPr>
          <w:sz w:val="24"/>
          <w:lang w:val="el-GR"/>
        </w:rPr>
        <w:t xml:space="preserve">· </w:t>
      </w:r>
      <w:r w:rsidRPr="004474FA">
        <w:rPr>
          <w:sz w:val="24"/>
          <w:lang w:val="el-GR"/>
        </w:rPr>
        <w:t xml:space="preserve">21(6):8031, </w:t>
      </w:r>
      <w:hyperlink r:id="rId4" w:history="1">
        <w:r w:rsidRPr="004474FA">
          <w:rPr>
            <w:rStyle w:val="Hyperlink"/>
            <w:sz w:val="24"/>
            <w:lang w:val="el-GR"/>
          </w:rPr>
          <w:t>https://doi.org/10.2903/j.efsa.2023.8031</w:t>
        </w:r>
      </w:hyperlink>
      <w:r w:rsidRPr="004474FA">
        <w:rPr>
          <w:sz w:val="24"/>
          <w:lang w:val="el-GR"/>
        </w:rPr>
        <w:t>.</w:t>
      </w:r>
    </w:p>
  </w:footnote>
  <w:footnote w:id="5">
    <w:p w:rsidR="007450EB" w:rsidRPr="004474FA" w:rsidRDefault="007450EB" w:rsidP="004474FA">
      <w:pPr>
        <w:pStyle w:val="FootnoteText"/>
        <w:ind w:left="567" w:hanging="567"/>
        <w:rPr>
          <w:sz w:val="24"/>
          <w:lang w:val="el-GR"/>
        </w:rPr>
      </w:pPr>
      <w:r w:rsidRPr="004474FA">
        <w:rPr>
          <w:rStyle w:val="FootnoteReference"/>
          <w:sz w:val="24"/>
          <w:lang w:val="el-GR"/>
        </w:rPr>
        <w:footnoteRef/>
      </w:r>
      <w:r w:rsidR="004474FA" w:rsidRPr="004474FA">
        <w:rPr>
          <w:sz w:val="24"/>
          <w:lang w:val="el-GR"/>
        </w:rPr>
        <w:t xml:space="preserve"> </w:t>
      </w:r>
      <w:r w:rsidR="004474FA" w:rsidRPr="004474FA">
        <w:rPr>
          <w:sz w:val="24"/>
          <w:lang w:val="el-GR"/>
        </w:rPr>
        <w:tab/>
      </w:r>
      <w:r w:rsidRPr="004474FA">
        <w:rPr>
          <w:sz w:val="24"/>
          <w:lang w:val="el-GR"/>
        </w:rPr>
        <w:t>Κατά την όγδοη κοινοβουλευτική περίοδο, το Κοινοβούλιο ενέκρινε 36 ψηφίσματα και, κατά την ένατη κοινοβουλευτική του περίοδο, το Κοινοβούλιο ενέκρινε 38 ψηφίσματα που αντιτίθενται στην έγκριση ΓΤΟ.</w:t>
      </w:r>
    </w:p>
  </w:footnote>
  <w:footnote w:id="6">
    <w:p w:rsidR="007450EB" w:rsidRPr="004474FA" w:rsidRDefault="007450EB" w:rsidP="004474FA">
      <w:pPr>
        <w:pStyle w:val="FootnoteText"/>
        <w:ind w:left="567" w:hanging="567"/>
        <w:rPr>
          <w:sz w:val="24"/>
          <w:lang w:val="el-GR"/>
        </w:rPr>
      </w:pPr>
      <w:r w:rsidRPr="004474FA">
        <w:rPr>
          <w:rStyle w:val="FootnoteReference"/>
          <w:sz w:val="24"/>
          <w:lang w:val="el-GR"/>
        </w:rPr>
        <w:footnoteRef/>
      </w:r>
      <w:r w:rsidR="004474FA" w:rsidRPr="004474FA">
        <w:rPr>
          <w:sz w:val="24"/>
          <w:lang w:val="el-GR"/>
        </w:rPr>
        <w:t xml:space="preserve"> </w:t>
      </w:r>
      <w:r w:rsidR="004474FA" w:rsidRPr="004474FA">
        <w:rPr>
          <w:sz w:val="24"/>
          <w:lang w:val="el-GR"/>
        </w:rPr>
        <w:tab/>
      </w:r>
      <w:proofErr w:type="spellStart"/>
      <w:r w:rsidRPr="004474FA">
        <w:rPr>
          <w:sz w:val="24"/>
          <w:lang w:val="el-GR"/>
        </w:rPr>
        <w:t>MacIntosh</w:t>
      </w:r>
      <w:proofErr w:type="spellEnd"/>
      <w:r w:rsidRPr="004474FA">
        <w:rPr>
          <w:sz w:val="24"/>
          <w:lang w:val="el-GR"/>
        </w:rPr>
        <w:t xml:space="preserve">, S.C., </w:t>
      </w:r>
      <w:proofErr w:type="spellStart"/>
      <w:r w:rsidRPr="004474FA">
        <w:rPr>
          <w:sz w:val="24"/>
          <w:lang w:val="el-GR"/>
        </w:rPr>
        <w:t>Kishore</w:t>
      </w:r>
      <w:proofErr w:type="spellEnd"/>
      <w:r w:rsidRPr="004474FA">
        <w:rPr>
          <w:sz w:val="24"/>
          <w:lang w:val="el-GR"/>
        </w:rPr>
        <w:t xml:space="preserve">, G.M., </w:t>
      </w:r>
      <w:proofErr w:type="spellStart"/>
      <w:r w:rsidRPr="004474FA">
        <w:rPr>
          <w:sz w:val="24"/>
          <w:lang w:val="el-GR"/>
        </w:rPr>
        <w:t>Perlak</w:t>
      </w:r>
      <w:proofErr w:type="spellEnd"/>
      <w:r w:rsidRPr="004474FA">
        <w:rPr>
          <w:sz w:val="24"/>
          <w:lang w:val="el-GR"/>
        </w:rPr>
        <w:t xml:space="preserve">, F.J., </w:t>
      </w:r>
      <w:proofErr w:type="spellStart"/>
      <w:r w:rsidRPr="004474FA">
        <w:rPr>
          <w:sz w:val="24"/>
          <w:lang w:val="el-GR"/>
        </w:rPr>
        <w:t>Marrone</w:t>
      </w:r>
      <w:proofErr w:type="spellEnd"/>
      <w:r w:rsidRPr="004474FA">
        <w:rPr>
          <w:sz w:val="24"/>
          <w:lang w:val="el-GR"/>
        </w:rPr>
        <w:t xml:space="preserve">, P.G., </w:t>
      </w:r>
      <w:proofErr w:type="spellStart"/>
      <w:r w:rsidRPr="004474FA">
        <w:rPr>
          <w:sz w:val="24"/>
          <w:lang w:val="el-GR"/>
        </w:rPr>
        <w:t>Stone</w:t>
      </w:r>
      <w:proofErr w:type="spellEnd"/>
      <w:r w:rsidRPr="004474FA">
        <w:rPr>
          <w:sz w:val="24"/>
          <w:lang w:val="el-GR"/>
        </w:rPr>
        <w:t xml:space="preserve">, T.B., </w:t>
      </w:r>
      <w:proofErr w:type="spellStart"/>
      <w:r w:rsidRPr="004474FA">
        <w:rPr>
          <w:sz w:val="24"/>
          <w:lang w:val="el-GR"/>
        </w:rPr>
        <w:t>Sims</w:t>
      </w:r>
      <w:proofErr w:type="spellEnd"/>
      <w:r w:rsidRPr="004474FA">
        <w:rPr>
          <w:sz w:val="24"/>
          <w:lang w:val="el-GR"/>
        </w:rPr>
        <w:t xml:space="preserve">, S.R., </w:t>
      </w:r>
      <w:proofErr w:type="spellStart"/>
      <w:r w:rsidRPr="004474FA">
        <w:rPr>
          <w:sz w:val="24"/>
          <w:lang w:val="el-GR"/>
        </w:rPr>
        <w:t>Fuchs</w:t>
      </w:r>
      <w:proofErr w:type="spellEnd"/>
      <w:r w:rsidRPr="004474FA">
        <w:rPr>
          <w:sz w:val="24"/>
          <w:lang w:val="el-GR"/>
        </w:rPr>
        <w:t>, R.L., «</w:t>
      </w:r>
      <w:proofErr w:type="spellStart"/>
      <w:r w:rsidRPr="004474FA">
        <w:rPr>
          <w:sz w:val="24"/>
          <w:lang w:val="el-GR"/>
        </w:rPr>
        <w:t>Potentiation</w:t>
      </w:r>
      <w:proofErr w:type="spellEnd"/>
      <w:r w:rsidRPr="004474FA">
        <w:rPr>
          <w:sz w:val="24"/>
          <w:lang w:val="el-GR"/>
        </w:rPr>
        <w:t xml:space="preserve"> of </w:t>
      </w:r>
      <w:proofErr w:type="spellStart"/>
      <w:r w:rsidRPr="004474FA">
        <w:rPr>
          <w:sz w:val="24"/>
          <w:lang w:val="el-GR"/>
        </w:rPr>
        <w:t>Bacillus</w:t>
      </w:r>
      <w:proofErr w:type="spellEnd"/>
      <w:r w:rsidRPr="004474FA">
        <w:rPr>
          <w:sz w:val="24"/>
          <w:lang w:val="el-GR"/>
        </w:rPr>
        <w:t xml:space="preserve"> </w:t>
      </w:r>
      <w:proofErr w:type="spellStart"/>
      <w:r w:rsidRPr="004474FA">
        <w:rPr>
          <w:sz w:val="24"/>
          <w:lang w:val="el-GR"/>
        </w:rPr>
        <w:t>thuringiensis</w:t>
      </w:r>
      <w:proofErr w:type="spellEnd"/>
      <w:r w:rsidRPr="004474FA">
        <w:rPr>
          <w:sz w:val="24"/>
          <w:lang w:val="el-GR"/>
        </w:rPr>
        <w:t xml:space="preserve"> </w:t>
      </w:r>
      <w:proofErr w:type="spellStart"/>
      <w:r w:rsidRPr="004474FA">
        <w:rPr>
          <w:sz w:val="24"/>
          <w:lang w:val="el-GR"/>
        </w:rPr>
        <w:t>insecticidal</w:t>
      </w:r>
      <w:proofErr w:type="spellEnd"/>
      <w:r w:rsidRPr="004474FA">
        <w:rPr>
          <w:sz w:val="24"/>
          <w:lang w:val="el-GR"/>
        </w:rPr>
        <w:t xml:space="preserve"> </w:t>
      </w:r>
      <w:proofErr w:type="spellStart"/>
      <w:r w:rsidRPr="004474FA">
        <w:rPr>
          <w:sz w:val="24"/>
          <w:lang w:val="el-GR"/>
        </w:rPr>
        <w:t>activity</w:t>
      </w:r>
      <w:proofErr w:type="spellEnd"/>
      <w:r w:rsidRPr="004474FA">
        <w:rPr>
          <w:sz w:val="24"/>
          <w:lang w:val="el-GR"/>
        </w:rPr>
        <w:t xml:space="preserve"> </w:t>
      </w:r>
      <w:proofErr w:type="spellStart"/>
      <w:r w:rsidRPr="004474FA">
        <w:rPr>
          <w:sz w:val="24"/>
          <w:lang w:val="el-GR"/>
        </w:rPr>
        <w:t>by</w:t>
      </w:r>
      <w:proofErr w:type="spellEnd"/>
      <w:r w:rsidRPr="004474FA">
        <w:rPr>
          <w:sz w:val="24"/>
          <w:lang w:val="el-GR"/>
        </w:rPr>
        <w:t xml:space="preserve"> </w:t>
      </w:r>
      <w:proofErr w:type="spellStart"/>
      <w:r w:rsidRPr="004474FA">
        <w:rPr>
          <w:sz w:val="24"/>
          <w:lang w:val="el-GR"/>
        </w:rPr>
        <w:t>serine</w:t>
      </w:r>
      <w:proofErr w:type="spellEnd"/>
      <w:r w:rsidRPr="004474FA">
        <w:rPr>
          <w:sz w:val="24"/>
          <w:lang w:val="el-GR"/>
        </w:rPr>
        <w:t xml:space="preserve"> </w:t>
      </w:r>
      <w:proofErr w:type="spellStart"/>
      <w:r w:rsidRPr="004474FA">
        <w:rPr>
          <w:sz w:val="24"/>
          <w:lang w:val="el-GR"/>
        </w:rPr>
        <w:t>protease</w:t>
      </w:r>
      <w:proofErr w:type="spellEnd"/>
      <w:r w:rsidRPr="004474FA">
        <w:rPr>
          <w:sz w:val="24"/>
          <w:lang w:val="el-GR"/>
        </w:rPr>
        <w:t xml:space="preserve"> </w:t>
      </w:r>
      <w:proofErr w:type="spellStart"/>
      <w:r w:rsidRPr="004474FA">
        <w:rPr>
          <w:sz w:val="24"/>
          <w:lang w:val="el-GR"/>
        </w:rPr>
        <w:t>inhibitors</w:t>
      </w:r>
      <w:proofErr w:type="spellEnd"/>
      <w:r w:rsidRPr="004474FA">
        <w:rPr>
          <w:sz w:val="24"/>
          <w:lang w:val="el-GR"/>
        </w:rPr>
        <w:t xml:space="preserve">» [Ενίσχυση της εντομοκτόνου δράσης του </w:t>
      </w:r>
      <w:proofErr w:type="spellStart"/>
      <w:r w:rsidRPr="004474FA">
        <w:rPr>
          <w:sz w:val="24"/>
          <w:lang w:val="el-GR"/>
        </w:rPr>
        <w:t>Bacillus</w:t>
      </w:r>
      <w:proofErr w:type="spellEnd"/>
      <w:r w:rsidRPr="004474FA">
        <w:rPr>
          <w:sz w:val="24"/>
          <w:lang w:val="el-GR"/>
        </w:rPr>
        <w:t xml:space="preserve"> </w:t>
      </w:r>
      <w:proofErr w:type="spellStart"/>
      <w:r w:rsidRPr="004474FA">
        <w:rPr>
          <w:sz w:val="24"/>
          <w:lang w:val="el-GR"/>
        </w:rPr>
        <w:t>thuringiensis</w:t>
      </w:r>
      <w:proofErr w:type="spellEnd"/>
      <w:r w:rsidRPr="004474FA">
        <w:rPr>
          <w:sz w:val="24"/>
          <w:lang w:val="el-GR"/>
        </w:rPr>
        <w:t xml:space="preserve"> από αναστολείς της </w:t>
      </w:r>
      <w:proofErr w:type="spellStart"/>
      <w:r w:rsidRPr="004474FA">
        <w:rPr>
          <w:sz w:val="24"/>
          <w:lang w:val="el-GR"/>
        </w:rPr>
        <w:t>πρωτεάσης</w:t>
      </w:r>
      <w:proofErr w:type="spellEnd"/>
      <w:r w:rsidRPr="004474FA">
        <w:rPr>
          <w:sz w:val="24"/>
          <w:lang w:val="el-GR"/>
        </w:rPr>
        <w:t xml:space="preserve"> </w:t>
      </w:r>
      <w:proofErr w:type="spellStart"/>
      <w:r w:rsidRPr="004474FA">
        <w:rPr>
          <w:sz w:val="24"/>
          <w:lang w:val="el-GR"/>
        </w:rPr>
        <w:t>σερίνης</w:t>
      </w:r>
      <w:proofErr w:type="spellEnd"/>
      <w:r w:rsidRPr="004474FA">
        <w:rPr>
          <w:sz w:val="24"/>
          <w:lang w:val="el-GR"/>
        </w:rPr>
        <w:t xml:space="preserve">], Journal of Agricultural and </w:t>
      </w:r>
      <w:proofErr w:type="spellStart"/>
      <w:r w:rsidRPr="004474FA">
        <w:rPr>
          <w:sz w:val="24"/>
          <w:lang w:val="el-GR"/>
        </w:rPr>
        <w:t>Food</w:t>
      </w:r>
      <w:proofErr w:type="spellEnd"/>
      <w:r w:rsidRPr="004474FA">
        <w:rPr>
          <w:sz w:val="24"/>
          <w:lang w:val="el-GR"/>
        </w:rPr>
        <w:t xml:space="preserve"> </w:t>
      </w:r>
      <w:proofErr w:type="spellStart"/>
      <w:r w:rsidRPr="004474FA">
        <w:rPr>
          <w:sz w:val="24"/>
          <w:lang w:val="el-GR"/>
        </w:rPr>
        <w:t>Chemistry</w:t>
      </w:r>
      <w:proofErr w:type="spellEnd"/>
      <w:r w:rsidRPr="004474FA">
        <w:rPr>
          <w:sz w:val="24"/>
          <w:lang w:val="el-GR"/>
        </w:rPr>
        <w:t>, 1990,</w:t>
      </w:r>
      <w:r w:rsidR="00A54635">
        <w:rPr>
          <w:sz w:val="24"/>
          <w:lang w:val="el-GR"/>
        </w:rPr>
        <w:t xml:space="preserve"> </w:t>
      </w:r>
      <w:r w:rsidRPr="004474FA">
        <w:rPr>
          <w:sz w:val="24"/>
          <w:lang w:val="el-GR"/>
        </w:rPr>
        <w:t xml:space="preserve">38,4, σ. </w:t>
      </w:r>
      <w:r w:rsidRPr="004474FA">
        <w:rPr>
          <w:sz w:val="24"/>
          <w:lang w:val="el-GR"/>
        </w:rPr>
        <w:t xml:space="preserve">1145-1152, </w:t>
      </w:r>
      <w:hyperlink r:id="rId5" w:history="1">
        <w:r w:rsidRPr="004474FA">
          <w:rPr>
            <w:rStyle w:val="Hyperlink"/>
            <w:sz w:val="24"/>
            <w:lang w:val="el-GR"/>
          </w:rPr>
          <w:t>https://pubs.acs.org/doi/abs/10.1021/jf00094a051</w:t>
        </w:r>
      </w:hyperlink>
      <w:r w:rsidRPr="004474FA">
        <w:rPr>
          <w:sz w:val="24"/>
          <w:lang w:val="el-GR"/>
        </w:rPr>
        <w:t>.</w:t>
      </w:r>
    </w:p>
  </w:footnote>
  <w:footnote w:id="7">
    <w:p w:rsidR="007450EB" w:rsidRPr="004474FA" w:rsidRDefault="007450EB" w:rsidP="004474FA">
      <w:pPr>
        <w:pStyle w:val="FootnoteText"/>
        <w:ind w:left="567" w:hanging="567"/>
        <w:rPr>
          <w:sz w:val="24"/>
          <w:lang w:val="el-GR"/>
        </w:rPr>
      </w:pPr>
      <w:r w:rsidRPr="004474FA">
        <w:rPr>
          <w:rStyle w:val="FootnoteReference"/>
          <w:sz w:val="24"/>
          <w:lang w:val="el-GR"/>
        </w:rPr>
        <w:footnoteRef/>
      </w:r>
      <w:r w:rsidR="004474FA" w:rsidRPr="004474FA">
        <w:rPr>
          <w:sz w:val="24"/>
          <w:lang w:val="el-GR"/>
        </w:rPr>
        <w:t xml:space="preserve"> </w:t>
      </w:r>
      <w:r w:rsidR="004474FA" w:rsidRPr="004474FA">
        <w:rPr>
          <w:sz w:val="24"/>
          <w:lang w:val="el-GR"/>
        </w:rPr>
        <w:tab/>
      </w:r>
      <w:r w:rsidRPr="004474FA">
        <w:rPr>
          <w:sz w:val="24"/>
          <w:lang w:val="el-GR"/>
        </w:rPr>
        <w:t xml:space="preserve">Για μια ανασκόπηση, βλ. </w:t>
      </w:r>
      <w:proofErr w:type="spellStart"/>
      <w:r w:rsidRPr="004474FA">
        <w:rPr>
          <w:sz w:val="24"/>
          <w:lang w:val="el-GR"/>
        </w:rPr>
        <w:t>Rubio-Infante</w:t>
      </w:r>
      <w:proofErr w:type="spellEnd"/>
      <w:r w:rsidRPr="004474FA">
        <w:rPr>
          <w:sz w:val="24"/>
          <w:lang w:val="el-GR"/>
        </w:rPr>
        <w:t xml:space="preserve">, N., </w:t>
      </w:r>
      <w:proofErr w:type="spellStart"/>
      <w:r w:rsidRPr="004474FA">
        <w:rPr>
          <w:sz w:val="24"/>
          <w:lang w:val="el-GR"/>
        </w:rPr>
        <w:t>Moreno-Fierros</w:t>
      </w:r>
      <w:proofErr w:type="spellEnd"/>
      <w:r w:rsidRPr="004474FA">
        <w:rPr>
          <w:sz w:val="24"/>
          <w:lang w:val="el-GR"/>
        </w:rPr>
        <w:t>, L., «</w:t>
      </w:r>
      <w:proofErr w:type="spellStart"/>
      <w:r w:rsidRPr="004474FA">
        <w:rPr>
          <w:sz w:val="24"/>
          <w:lang w:val="el-GR"/>
        </w:rPr>
        <w:t>An</w:t>
      </w:r>
      <w:proofErr w:type="spellEnd"/>
      <w:r w:rsidRPr="004474FA">
        <w:rPr>
          <w:sz w:val="24"/>
          <w:lang w:val="el-GR"/>
        </w:rPr>
        <w:t xml:space="preserve"> </w:t>
      </w:r>
      <w:proofErr w:type="spellStart"/>
      <w:r w:rsidRPr="004474FA">
        <w:rPr>
          <w:sz w:val="24"/>
          <w:lang w:val="el-GR"/>
        </w:rPr>
        <w:t>overview</w:t>
      </w:r>
      <w:proofErr w:type="spellEnd"/>
      <w:r w:rsidRPr="004474FA">
        <w:rPr>
          <w:sz w:val="24"/>
          <w:lang w:val="el-GR"/>
        </w:rPr>
        <w:t xml:space="preserve"> of the </w:t>
      </w:r>
      <w:proofErr w:type="spellStart"/>
      <w:r w:rsidRPr="004474FA">
        <w:rPr>
          <w:sz w:val="24"/>
          <w:lang w:val="el-GR"/>
        </w:rPr>
        <w:t>safety</w:t>
      </w:r>
      <w:proofErr w:type="spellEnd"/>
      <w:r w:rsidRPr="004474FA">
        <w:rPr>
          <w:sz w:val="24"/>
          <w:lang w:val="el-GR"/>
        </w:rPr>
        <w:t xml:space="preserve"> and </w:t>
      </w:r>
      <w:proofErr w:type="spellStart"/>
      <w:r w:rsidRPr="004474FA">
        <w:rPr>
          <w:sz w:val="24"/>
          <w:lang w:val="el-GR"/>
        </w:rPr>
        <w:t>biological</w:t>
      </w:r>
      <w:proofErr w:type="spellEnd"/>
      <w:r w:rsidRPr="004474FA">
        <w:rPr>
          <w:sz w:val="24"/>
          <w:lang w:val="el-GR"/>
        </w:rPr>
        <w:t xml:space="preserve"> </w:t>
      </w:r>
      <w:proofErr w:type="spellStart"/>
      <w:r w:rsidRPr="004474FA">
        <w:rPr>
          <w:sz w:val="24"/>
          <w:lang w:val="el-GR"/>
        </w:rPr>
        <w:t>effects</w:t>
      </w:r>
      <w:proofErr w:type="spellEnd"/>
      <w:r w:rsidRPr="004474FA">
        <w:rPr>
          <w:sz w:val="24"/>
          <w:lang w:val="el-GR"/>
        </w:rPr>
        <w:t xml:space="preserve"> of </w:t>
      </w:r>
      <w:proofErr w:type="spellStart"/>
      <w:r w:rsidRPr="004474FA">
        <w:rPr>
          <w:sz w:val="24"/>
          <w:lang w:val="el-GR"/>
        </w:rPr>
        <w:t>Bacillus</w:t>
      </w:r>
      <w:proofErr w:type="spellEnd"/>
      <w:r w:rsidRPr="004474FA">
        <w:rPr>
          <w:sz w:val="24"/>
          <w:lang w:val="el-GR"/>
        </w:rPr>
        <w:t xml:space="preserve"> </w:t>
      </w:r>
      <w:proofErr w:type="spellStart"/>
      <w:r w:rsidRPr="004474FA">
        <w:rPr>
          <w:sz w:val="24"/>
          <w:lang w:val="el-GR"/>
        </w:rPr>
        <w:t>thuringiensis</w:t>
      </w:r>
      <w:proofErr w:type="spellEnd"/>
      <w:r w:rsidRPr="004474FA">
        <w:rPr>
          <w:sz w:val="24"/>
          <w:lang w:val="el-GR"/>
        </w:rPr>
        <w:t xml:space="preserve"> </w:t>
      </w:r>
      <w:proofErr w:type="spellStart"/>
      <w:r w:rsidRPr="004474FA">
        <w:rPr>
          <w:sz w:val="24"/>
          <w:lang w:val="el-GR"/>
        </w:rPr>
        <w:t>Cry</w:t>
      </w:r>
      <w:proofErr w:type="spellEnd"/>
      <w:r w:rsidRPr="004474FA">
        <w:rPr>
          <w:sz w:val="24"/>
          <w:lang w:val="el-GR"/>
        </w:rPr>
        <w:t xml:space="preserve"> </w:t>
      </w:r>
      <w:proofErr w:type="spellStart"/>
      <w:r w:rsidRPr="004474FA">
        <w:rPr>
          <w:sz w:val="24"/>
          <w:lang w:val="el-GR"/>
        </w:rPr>
        <w:t>toxins</w:t>
      </w:r>
      <w:proofErr w:type="spellEnd"/>
      <w:r w:rsidRPr="004474FA">
        <w:rPr>
          <w:sz w:val="24"/>
          <w:lang w:val="el-GR"/>
        </w:rPr>
        <w:t xml:space="preserve"> in </w:t>
      </w:r>
      <w:proofErr w:type="spellStart"/>
      <w:r w:rsidRPr="004474FA">
        <w:rPr>
          <w:sz w:val="24"/>
          <w:lang w:val="el-GR"/>
        </w:rPr>
        <w:t>mammals</w:t>
      </w:r>
      <w:proofErr w:type="spellEnd"/>
      <w:r w:rsidRPr="004474FA">
        <w:rPr>
          <w:sz w:val="24"/>
          <w:lang w:val="el-GR"/>
        </w:rPr>
        <w:t xml:space="preserve">» [Μια ανασκόπηση σχετικά με την ασφάλεια και τις βιολογικές επιπτώσεις των τοξινών </w:t>
      </w:r>
      <w:proofErr w:type="spellStart"/>
      <w:r w:rsidRPr="004474FA">
        <w:rPr>
          <w:sz w:val="24"/>
          <w:lang w:val="el-GR"/>
        </w:rPr>
        <w:t>Cry</w:t>
      </w:r>
      <w:proofErr w:type="spellEnd"/>
      <w:r w:rsidRPr="004474FA">
        <w:rPr>
          <w:sz w:val="24"/>
          <w:lang w:val="el-GR"/>
        </w:rPr>
        <w:t xml:space="preserve"> του </w:t>
      </w:r>
      <w:proofErr w:type="spellStart"/>
      <w:r w:rsidRPr="004474FA">
        <w:rPr>
          <w:sz w:val="24"/>
          <w:lang w:val="el-GR"/>
        </w:rPr>
        <w:t>Bacillus</w:t>
      </w:r>
      <w:proofErr w:type="spellEnd"/>
      <w:r w:rsidRPr="004474FA">
        <w:rPr>
          <w:sz w:val="24"/>
          <w:lang w:val="el-GR"/>
        </w:rPr>
        <w:t xml:space="preserve"> </w:t>
      </w:r>
      <w:proofErr w:type="spellStart"/>
      <w:r w:rsidRPr="004474FA">
        <w:rPr>
          <w:sz w:val="24"/>
          <w:lang w:val="el-GR"/>
        </w:rPr>
        <w:t>thuringiensis</w:t>
      </w:r>
      <w:proofErr w:type="spellEnd"/>
      <w:r w:rsidRPr="004474FA">
        <w:rPr>
          <w:sz w:val="24"/>
          <w:lang w:val="el-GR"/>
        </w:rPr>
        <w:t xml:space="preserve"> στα θηλαστικά], Journal of </w:t>
      </w:r>
      <w:proofErr w:type="spellStart"/>
      <w:r w:rsidRPr="004474FA">
        <w:rPr>
          <w:sz w:val="24"/>
          <w:lang w:val="el-GR"/>
        </w:rPr>
        <w:t>Applied</w:t>
      </w:r>
      <w:proofErr w:type="spellEnd"/>
      <w:r w:rsidRPr="004474FA">
        <w:rPr>
          <w:sz w:val="24"/>
          <w:lang w:val="el-GR"/>
        </w:rPr>
        <w:t xml:space="preserve"> </w:t>
      </w:r>
      <w:proofErr w:type="spellStart"/>
      <w:r w:rsidRPr="004474FA">
        <w:rPr>
          <w:sz w:val="24"/>
          <w:lang w:val="el-GR"/>
        </w:rPr>
        <w:t>Toxicology</w:t>
      </w:r>
      <w:proofErr w:type="spellEnd"/>
      <w:r w:rsidRPr="004474FA">
        <w:rPr>
          <w:sz w:val="24"/>
          <w:lang w:val="el-GR"/>
        </w:rPr>
        <w:t xml:space="preserve">, Μάιος 2016, 36,5, σ. </w:t>
      </w:r>
      <w:r w:rsidRPr="004474FA">
        <w:rPr>
          <w:sz w:val="24"/>
          <w:lang w:val="el-GR"/>
        </w:rPr>
        <w:t xml:space="preserve">630-648, </w:t>
      </w:r>
      <w:hyperlink r:id="rId6" w:history="1">
        <w:r w:rsidRPr="004474FA">
          <w:rPr>
            <w:rStyle w:val="Hyperlink"/>
            <w:sz w:val="24"/>
            <w:lang w:val="el-GR"/>
          </w:rPr>
          <w:t>https://onlinelibrary.wiley.com/doi/full/10.1002/jat.3252</w:t>
        </w:r>
      </w:hyperlink>
      <w:r w:rsidRPr="004474FA">
        <w:rPr>
          <w:sz w:val="24"/>
          <w:lang w:val="el-GR"/>
        </w:rPr>
        <w:t>.</w:t>
      </w:r>
    </w:p>
  </w:footnote>
  <w:footnote w:id="8">
    <w:p w:rsidR="007450EB" w:rsidRPr="004474FA" w:rsidRDefault="007450EB" w:rsidP="004474FA">
      <w:pPr>
        <w:pStyle w:val="FootnoteText"/>
        <w:ind w:left="567" w:hanging="567"/>
        <w:rPr>
          <w:sz w:val="24"/>
          <w:lang w:val="el-GR"/>
        </w:rPr>
      </w:pPr>
      <w:r w:rsidRPr="004474FA">
        <w:rPr>
          <w:rStyle w:val="FootnoteReference"/>
          <w:sz w:val="24"/>
          <w:lang w:val="el-GR"/>
        </w:rPr>
        <w:footnoteRef/>
      </w:r>
      <w:r w:rsidR="004474FA" w:rsidRPr="004474FA">
        <w:rPr>
          <w:sz w:val="24"/>
          <w:lang w:val="el-GR"/>
        </w:rPr>
        <w:t xml:space="preserve"> </w:t>
      </w:r>
      <w:r w:rsidR="004474FA" w:rsidRPr="004474FA">
        <w:rPr>
          <w:sz w:val="24"/>
          <w:lang w:val="el-GR"/>
        </w:rPr>
        <w:tab/>
      </w:r>
      <w:r w:rsidRPr="004474FA">
        <w:rPr>
          <w:sz w:val="24"/>
          <w:lang w:val="el-GR"/>
        </w:rPr>
        <w:t xml:space="preserve">Βλ., για παράδειγμα, </w:t>
      </w:r>
      <w:proofErr w:type="spellStart"/>
      <w:r w:rsidRPr="004474FA">
        <w:rPr>
          <w:sz w:val="24"/>
          <w:lang w:val="el-GR"/>
        </w:rPr>
        <w:t>Hilbeck</w:t>
      </w:r>
      <w:proofErr w:type="spellEnd"/>
      <w:r w:rsidRPr="004474FA">
        <w:rPr>
          <w:sz w:val="24"/>
          <w:lang w:val="el-GR"/>
        </w:rPr>
        <w:t xml:space="preserve">, A., </w:t>
      </w:r>
      <w:proofErr w:type="spellStart"/>
      <w:r w:rsidRPr="004474FA">
        <w:rPr>
          <w:sz w:val="24"/>
          <w:lang w:val="el-GR"/>
        </w:rPr>
        <w:t>Otto</w:t>
      </w:r>
      <w:proofErr w:type="spellEnd"/>
      <w:r w:rsidRPr="004474FA">
        <w:rPr>
          <w:sz w:val="24"/>
          <w:lang w:val="el-GR"/>
        </w:rPr>
        <w:t xml:space="preserve">, M. </w:t>
      </w:r>
      <w:r w:rsidRPr="004474FA">
        <w:rPr>
          <w:sz w:val="24"/>
          <w:lang w:val="el-GR"/>
        </w:rPr>
        <w:t>«</w:t>
      </w:r>
      <w:proofErr w:type="spellStart"/>
      <w:r w:rsidRPr="004474FA">
        <w:rPr>
          <w:sz w:val="24"/>
          <w:lang w:val="el-GR"/>
        </w:rPr>
        <w:t>Specificity</w:t>
      </w:r>
      <w:proofErr w:type="spellEnd"/>
      <w:r w:rsidRPr="004474FA">
        <w:rPr>
          <w:sz w:val="24"/>
          <w:lang w:val="el-GR"/>
        </w:rPr>
        <w:t xml:space="preserve"> and </w:t>
      </w:r>
      <w:proofErr w:type="spellStart"/>
      <w:r w:rsidRPr="004474FA">
        <w:rPr>
          <w:sz w:val="24"/>
          <w:lang w:val="el-GR"/>
        </w:rPr>
        <w:t>combinatorial</w:t>
      </w:r>
      <w:proofErr w:type="spellEnd"/>
      <w:r w:rsidRPr="004474FA">
        <w:rPr>
          <w:sz w:val="24"/>
          <w:lang w:val="el-GR"/>
        </w:rPr>
        <w:t xml:space="preserve"> </w:t>
      </w:r>
      <w:proofErr w:type="spellStart"/>
      <w:r w:rsidRPr="004474FA">
        <w:rPr>
          <w:sz w:val="24"/>
          <w:lang w:val="el-GR"/>
        </w:rPr>
        <w:t>effects</w:t>
      </w:r>
      <w:proofErr w:type="spellEnd"/>
      <w:r w:rsidRPr="004474FA">
        <w:rPr>
          <w:sz w:val="24"/>
          <w:lang w:val="el-GR"/>
        </w:rPr>
        <w:t xml:space="preserve"> of </w:t>
      </w:r>
      <w:proofErr w:type="spellStart"/>
      <w:r w:rsidRPr="004474FA">
        <w:rPr>
          <w:sz w:val="24"/>
          <w:lang w:val="el-GR"/>
        </w:rPr>
        <w:t>Bacillus</w:t>
      </w:r>
      <w:proofErr w:type="spellEnd"/>
      <w:r w:rsidRPr="004474FA">
        <w:rPr>
          <w:sz w:val="24"/>
          <w:lang w:val="el-GR"/>
        </w:rPr>
        <w:t xml:space="preserve"> </w:t>
      </w:r>
      <w:proofErr w:type="spellStart"/>
      <w:r w:rsidRPr="004474FA">
        <w:rPr>
          <w:sz w:val="24"/>
          <w:lang w:val="el-GR"/>
        </w:rPr>
        <w:t>thuringiensis</w:t>
      </w:r>
      <w:proofErr w:type="spellEnd"/>
      <w:r w:rsidRPr="004474FA">
        <w:rPr>
          <w:sz w:val="24"/>
          <w:lang w:val="el-GR"/>
        </w:rPr>
        <w:t xml:space="preserve"> </w:t>
      </w:r>
      <w:proofErr w:type="spellStart"/>
      <w:r w:rsidRPr="004474FA">
        <w:rPr>
          <w:sz w:val="24"/>
          <w:lang w:val="el-GR"/>
        </w:rPr>
        <w:t>Cry</w:t>
      </w:r>
      <w:proofErr w:type="spellEnd"/>
      <w:r w:rsidRPr="004474FA">
        <w:rPr>
          <w:sz w:val="24"/>
          <w:lang w:val="el-GR"/>
        </w:rPr>
        <w:t xml:space="preserve"> </w:t>
      </w:r>
      <w:proofErr w:type="spellStart"/>
      <w:r w:rsidRPr="004474FA">
        <w:rPr>
          <w:sz w:val="24"/>
          <w:lang w:val="el-GR"/>
        </w:rPr>
        <w:t>toxins</w:t>
      </w:r>
      <w:proofErr w:type="spellEnd"/>
      <w:r w:rsidRPr="004474FA">
        <w:rPr>
          <w:sz w:val="24"/>
          <w:lang w:val="el-GR"/>
        </w:rPr>
        <w:t xml:space="preserve"> in the </w:t>
      </w:r>
      <w:proofErr w:type="spellStart"/>
      <w:r w:rsidRPr="004474FA">
        <w:rPr>
          <w:sz w:val="24"/>
          <w:lang w:val="el-GR"/>
        </w:rPr>
        <w:t>context</w:t>
      </w:r>
      <w:proofErr w:type="spellEnd"/>
      <w:r w:rsidRPr="004474FA">
        <w:rPr>
          <w:sz w:val="24"/>
          <w:lang w:val="el-GR"/>
        </w:rPr>
        <w:t xml:space="preserve"> of GMO </w:t>
      </w:r>
      <w:proofErr w:type="spellStart"/>
      <w:r w:rsidRPr="004474FA">
        <w:rPr>
          <w:sz w:val="24"/>
          <w:lang w:val="el-GR"/>
        </w:rPr>
        <w:t>environmental</w:t>
      </w:r>
      <w:proofErr w:type="spellEnd"/>
      <w:r w:rsidRPr="004474FA">
        <w:rPr>
          <w:sz w:val="24"/>
          <w:lang w:val="el-GR"/>
        </w:rPr>
        <w:t xml:space="preserve"> </w:t>
      </w:r>
      <w:proofErr w:type="spellStart"/>
      <w:r w:rsidRPr="004474FA">
        <w:rPr>
          <w:sz w:val="24"/>
          <w:lang w:val="el-GR"/>
        </w:rPr>
        <w:t>risk</w:t>
      </w:r>
      <w:proofErr w:type="spellEnd"/>
      <w:r w:rsidRPr="004474FA">
        <w:rPr>
          <w:sz w:val="24"/>
          <w:lang w:val="el-GR"/>
        </w:rPr>
        <w:t xml:space="preserve"> </w:t>
      </w:r>
      <w:proofErr w:type="spellStart"/>
      <w:r w:rsidRPr="004474FA">
        <w:rPr>
          <w:sz w:val="24"/>
          <w:lang w:val="el-GR"/>
        </w:rPr>
        <w:t>assessment</w:t>
      </w:r>
      <w:proofErr w:type="spellEnd"/>
      <w:r w:rsidRPr="004474FA">
        <w:rPr>
          <w:sz w:val="24"/>
          <w:lang w:val="el-GR"/>
        </w:rPr>
        <w:t xml:space="preserve">» [Ιδιαιτερότητα και συνδυαστικές επιδράσεις τοξινών </w:t>
      </w:r>
      <w:proofErr w:type="spellStart"/>
      <w:r w:rsidRPr="004474FA">
        <w:rPr>
          <w:sz w:val="24"/>
          <w:lang w:val="el-GR"/>
        </w:rPr>
        <w:t>Cry</w:t>
      </w:r>
      <w:proofErr w:type="spellEnd"/>
      <w:r w:rsidRPr="004474FA">
        <w:rPr>
          <w:sz w:val="24"/>
          <w:lang w:val="el-GR"/>
        </w:rPr>
        <w:t xml:space="preserve"> του </w:t>
      </w:r>
      <w:proofErr w:type="spellStart"/>
      <w:r w:rsidRPr="004474FA">
        <w:rPr>
          <w:sz w:val="24"/>
          <w:lang w:val="el-GR"/>
        </w:rPr>
        <w:t>Bacillus</w:t>
      </w:r>
      <w:proofErr w:type="spellEnd"/>
      <w:r w:rsidRPr="004474FA">
        <w:rPr>
          <w:sz w:val="24"/>
          <w:lang w:val="el-GR"/>
        </w:rPr>
        <w:t xml:space="preserve"> </w:t>
      </w:r>
      <w:proofErr w:type="spellStart"/>
      <w:r w:rsidRPr="004474FA">
        <w:rPr>
          <w:sz w:val="24"/>
          <w:lang w:val="el-GR"/>
        </w:rPr>
        <w:t>thuringiensis</w:t>
      </w:r>
      <w:proofErr w:type="spellEnd"/>
      <w:r w:rsidRPr="004474FA">
        <w:rPr>
          <w:sz w:val="24"/>
          <w:lang w:val="el-GR"/>
        </w:rPr>
        <w:t xml:space="preserve"> στο πλαίσιο αξιολόγησης κινδύνου ΓΤΟ], </w:t>
      </w:r>
      <w:proofErr w:type="spellStart"/>
      <w:r w:rsidRPr="004474FA">
        <w:rPr>
          <w:sz w:val="24"/>
          <w:lang w:val="el-GR"/>
        </w:rPr>
        <w:t>Frontiers</w:t>
      </w:r>
      <w:proofErr w:type="spellEnd"/>
      <w:r w:rsidRPr="004474FA">
        <w:rPr>
          <w:sz w:val="24"/>
          <w:lang w:val="el-GR"/>
        </w:rPr>
        <w:t xml:space="preserve"> in </w:t>
      </w:r>
      <w:proofErr w:type="spellStart"/>
      <w:r w:rsidRPr="004474FA">
        <w:rPr>
          <w:sz w:val="24"/>
          <w:lang w:val="el-GR"/>
        </w:rPr>
        <w:t>Environmental</w:t>
      </w:r>
      <w:proofErr w:type="spellEnd"/>
      <w:r w:rsidRPr="004474FA">
        <w:rPr>
          <w:sz w:val="24"/>
          <w:lang w:val="el-GR"/>
        </w:rPr>
        <w:t xml:space="preserve"> </w:t>
      </w:r>
      <w:proofErr w:type="spellStart"/>
      <w:r w:rsidRPr="004474FA">
        <w:rPr>
          <w:sz w:val="24"/>
          <w:lang w:val="el-GR"/>
        </w:rPr>
        <w:t>Science</w:t>
      </w:r>
      <w:proofErr w:type="spellEnd"/>
      <w:r w:rsidRPr="004474FA">
        <w:rPr>
          <w:sz w:val="24"/>
          <w:lang w:val="el-GR"/>
        </w:rPr>
        <w:t xml:space="preserve"> 2015, 3:71, </w:t>
      </w:r>
      <w:hyperlink r:id="rId7" w:history="1">
        <w:r w:rsidRPr="004474FA">
          <w:rPr>
            <w:rStyle w:val="Hyperlink"/>
            <w:sz w:val="24"/>
            <w:lang w:val="el-GR"/>
          </w:rPr>
          <w:t>https://doi.org/10.3389/fenvs.2015.00071</w:t>
        </w:r>
      </w:hyperlink>
      <w:r w:rsidRPr="004474FA">
        <w:rPr>
          <w:rStyle w:val="Hyperlink"/>
          <w:sz w:val="24"/>
          <w:lang w:val="el-GR"/>
        </w:rPr>
        <w:t>.</w:t>
      </w:r>
    </w:p>
  </w:footnote>
  <w:footnote w:id="9">
    <w:p w:rsidR="007450EB" w:rsidRPr="00D822C6" w:rsidRDefault="007450EB" w:rsidP="004474FA">
      <w:pPr>
        <w:pStyle w:val="FootnoteText"/>
        <w:ind w:left="567" w:hanging="567"/>
        <w:rPr>
          <w:sz w:val="24"/>
          <w:lang w:val="en-GB"/>
        </w:rPr>
      </w:pPr>
      <w:r w:rsidRPr="004474FA">
        <w:rPr>
          <w:rStyle w:val="FootnoteReference"/>
          <w:sz w:val="24"/>
          <w:lang w:val="el-GR"/>
        </w:rPr>
        <w:footnoteRef/>
      </w:r>
      <w:r w:rsidR="004474FA" w:rsidRPr="00D822C6">
        <w:rPr>
          <w:sz w:val="24"/>
          <w:lang w:val="en-GB"/>
        </w:rPr>
        <w:t xml:space="preserve"> </w:t>
      </w:r>
      <w:r w:rsidR="004474FA" w:rsidRPr="00D822C6">
        <w:rPr>
          <w:sz w:val="24"/>
          <w:lang w:val="en-GB"/>
        </w:rPr>
        <w:tab/>
      </w:r>
      <w:proofErr w:type="spellStart"/>
      <w:r w:rsidRPr="00D822C6">
        <w:rPr>
          <w:sz w:val="24"/>
          <w:lang w:val="en-GB"/>
        </w:rPr>
        <w:t>Hilbeck</w:t>
      </w:r>
      <w:proofErr w:type="spellEnd"/>
      <w:r w:rsidRPr="00D822C6">
        <w:rPr>
          <w:sz w:val="24"/>
          <w:lang w:val="en-GB"/>
        </w:rPr>
        <w:t xml:space="preserve">, A., </w:t>
      </w:r>
      <w:proofErr w:type="spellStart"/>
      <w:r w:rsidRPr="00D822C6">
        <w:rPr>
          <w:sz w:val="24"/>
          <w:lang w:val="en-GB"/>
        </w:rPr>
        <w:t>Defarge</w:t>
      </w:r>
      <w:proofErr w:type="spellEnd"/>
      <w:r w:rsidRPr="00D822C6">
        <w:rPr>
          <w:sz w:val="24"/>
          <w:lang w:val="en-GB"/>
        </w:rPr>
        <w:t xml:space="preserve">, N., </w:t>
      </w:r>
      <w:proofErr w:type="spellStart"/>
      <w:r w:rsidRPr="00D822C6">
        <w:rPr>
          <w:sz w:val="24"/>
          <w:lang w:val="en-GB"/>
        </w:rPr>
        <w:t>Lebrecht</w:t>
      </w:r>
      <w:proofErr w:type="spellEnd"/>
      <w:r w:rsidRPr="00D822C6">
        <w:rPr>
          <w:sz w:val="24"/>
          <w:lang w:val="en-GB"/>
        </w:rPr>
        <w:t xml:space="preserve">, T., </w:t>
      </w:r>
      <w:proofErr w:type="spellStart"/>
      <w:r w:rsidRPr="00D822C6">
        <w:rPr>
          <w:sz w:val="24"/>
          <w:lang w:val="en-GB"/>
        </w:rPr>
        <w:t>Bøhn</w:t>
      </w:r>
      <w:proofErr w:type="spellEnd"/>
      <w:r w:rsidRPr="00D822C6">
        <w:rPr>
          <w:sz w:val="24"/>
          <w:lang w:val="en-GB"/>
        </w:rPr>
        <w:t xml:space="preserve">, T., «Insecticidal </w:t>
      </w:r>
      <w:proofErr w:type="spellStart"/>
      <w:r w:rsidRPr="00D822C6">
        <w:rPr>
          <w:sz w:val="24"/>
          <w:lang w:val="en-GB"/>
        </w:rPr>
        <w:t>Bt</w:t>
      </w:r>
      <w:proofErr w:type="spellEnd"/>
      <w:r w:rsidRPr="00D822C6">
        <w:rPr>
          <w:sz w:val="24"/>
          <w:lang w:val="en-GB"/>
        </w:rPr>
        <w:t xml:space="preserve"> crops. EFSA’s risk assessment approach for GM </w:t>
      </w:r>
      <w:proofErr w:type="spellStart"/>
      <w:r w:rsidRPr="00D822C6">
        <w:rPr>
          <w:sz w:val="24"/>
          <w:lang w:val="en-GB"/>
        </w:rPr>
        <w:t>Bt</w:t>
      </w:r>
      <w:proofErr w:type="spellEnd"/>
      <w:r w:rsidRPr="00D822C6">
        <w:rPr>
          <w:sz w:val="24"/>
          <w:lang w:val="en-GB"/>
        </w:rPr>
        <w:t xml:space="preserve"> plants fails by design», RAGES, 2020, </w:t>
      </w:r>
      <w:r w:rsidRPr="004474FA">
        <w:rPr>
          <w:sz w:val="24"/>
          <w:lang w:val="el-GR"/>
        </w:rPr>
        <w:t>σ</w:t>
      </w:r>
      <w:r w:rsidRPr="00D822C6">
        <w:rPr>
          <w:sz w:val="24"/>
          <w:lang w:val="en-GB"/>
        </w:rPr>
        <w:t xml:space="preserve">. </w:t>
      </w:r>
      <w:proofErr w:type="gramStart"/>
      <w:r w:rsidRPr="00D822C6">
        <w:rPr>
          <w:sz w:val="24"/>
          <w:lang w:val="en-GB"/>
        </w:rPr>
        <w:t>4</w:t>
      </w:r>
      <w:proofErr w:type="gramEnd"/>
      <w:r w:rsidRPr="00D822C6">
        <w:rPr>
          <w:sz w:val="24"/>
          <w:lang w:val="en-GB"/>
        </w:rPr>
        <w:t xml:space="preserve">, </w:t>
      </w:r>
      <w:hyperlink r:id="rId8" w:history="1">
        <w:r w:rsidRPr="00D822C6">
          <w:rPr>
            <w:rStyle w:val="Hyperlink"/>
            <w:sz w:val="24"/>
            <w:lang w:val="en-GB"/>
          </w:rPr>
          <w:t>https://www.testbiotech.org/wp-content/uploads/2023/12/RAGES_report-Insecticidal-Bt-plants.pdf</w:t>
        </w:r>
      </w:hyperlink>
      <w:r w:rsidRPr="00D822C6">
        <w:rPr>
          <w:rStyle w:val="Hyperlink"/>
          <w:sz w:val="24"/>
          <w:lang w:val="en-GB"/>
        </w:rPr>
        <w:t xml:space="preserve">. </w:t>
      </w:r>
    </w:p>
  </w:footnote>
  <w:footnote w:id="10">
    <w:p w:rsidR="007450EB" w:rsidRPr="00D822C6" w:rsidRDefault="007450EB" w:rsidP="004474FA">
      <w:pPr>
        <w:pStyle w:val="FootnoteText"/>
        <w:ind w:left="567" w:hanging="567"/>
        <w:rPr>
          <w:sz w:val="24"/>
          <w:lang w:val="en-GB"/>
        </w:rPr>
      </w:pPr>
      <w:r w:rsidRPr="004474FA">
        <w:rPr>
          <w:rStyle w:val="FootnoteReference"/>
          <w:sz w:val="24"/>
          <w:lang w:val="el-GR"/>
        </w:rPr>
        <w:footnoteRef/>
      </w:r>
      <w:r w:rsidR="004474FA" w:rsidRPr="00D822C6">
        <w:rPr>
          <w:sz w:val="24"/>
          <w:lang w:val="en-GB"/>
        </w:rPr>
        <w:t xml:space="preserve"> </w:t>
      </w:r>
      <w:r w:rsidR="004474FA" w:rsidRPr="00D822C6">
        <w:rPr>
          <w:sz w:val="24"/>
          <w:lang w:val="en-GB"/>
        </w:rPr>
        <w:tab/>
      </w:r>
      <w:hyperlink r:id="rId9" w:history="1">
        <w:r w:rsidRPr="00D822C6">
          <w:rPr>
            <w:rStyle w:val="Hyperlink"/>
            <w:sz w:val="24"/>
            <w:lang w:val="en-GB"/>
          </w:rPr>
          <w:t>https://commission.europa.eu/document/2c64e540-c07a-4376-a1da-368d289f4afe_en?prefLang=el</w:t>
        </w:r>
      </w:hyperlink>
      <w:r w:rsidR="007E72AD" w:rsidRPr="00D822C6">
        <w:rPr>
          <w:rStyle w:val="Hyperlink"/>
          <w:sz w:val="24"/>
          <w:lang w:val="en-GB"/>
        </w:rPr>
        <w:t>.</w:t>
      </w:r>
    </w:p>
  </w:footnote>
  <w:footnote w:id="11">
    <w:p w:rsidR="007450EB" w:rsidRPr="004474FA" w:rsidRDefault="007450EB" w:rsidP="004474FA">
      <w:pPr>
        <w:pStyle w:val="FootnoteText"/>
        <w:ind w:left="567" w:hanging="567"/>
        <w:rPr>
          <w:sz w:val="24"/>
          <w:lang w:val="el-GR"/>
        </w:rPr>
      </w:pPr>
      <w:r w:rsidRPr="004474FA">
        <w:rPr>
          <w:rStyle w:val="FootnoteReference"/>
          <w:sz w:val="24"/>
          <w:lang w:val="el-GR"/>
        </w:rPr>
        <w:footnoteRef/>
      </w:r>
      <w:r w:rsidR="004474FA" w:rsidRPr="004474FA">
        <w:rPr>
          <w:sz w:val="24"/>
          <w:lang w:val="el-GR"/>
        </w:rPr>
        <w:t xml:space="preserve"> </w:t>
      </w:r>
      <w:r w:rsidR="004474FA" w:rsidRPr="004474FA">
        <w:rPr>
          <w:sz w:val="24"/>
          <w:lang w:val="el-GR"/>
        </w:rPr>
        <w:tab/>
      </w:r>
      <w:r w:rsidRPr="004474FA">
        <w:rPr>
          <w:sz w:val="24"/>
          <w:lang w:val="el-GR"/>
        </w:rPr>
        <w:t>Οδηγία 2001/18/ΕΚ του Ευρωπαϊκού Κοινοβουλίου και του Συμβουλίου, της 12ης Μαρτίου 2001, για τη σκόπιμη ελευθέρωση γενετικώς τροποποιημένων οργανισμών στο περιβάλλον και την κατάργηση της οδηγίας 90/220/ΕΟΚ του Συμβουλίου (ΕΕ L 106 της 17.4.2001, σ. </w:t>
      </w:r>
      <w:r w:rsidRPr="004474FA">
        <w:rPr>
          <w:sz w:val="24"/>
          <w:lang w:val="el-GR"/>
        </w:rPr>
        <w:t>1, ELI: </w:t>
      </w:r>
      <w:hyperlink r:id="rId10" w:tooltip="Επιτρέπει πρόσβαση στο έγγραφο μέσω του ELI URI." w:history="1">
        <w:r w:rsidRPr="004474FA">
          <w:rPr>
            <w:rStyle w:val="Hyperlink"/>
            <w:sz w:val="24"/>
            <w:lang w:val="el-GR"/>
          </w:rPr>
          <w:t>http://data.europa.eu/eli/dir/2001/18/oj</w:t>
        </w:r>
      </w:hyperlink>
      <w:r w:rsidRPr="004474FA">
        <w:rPr>
          <w:sz w:val="24"/>
          <w:lang w:val="el-GR"/>
        </w:rPr>
        <w:t>).</w:t>
      </w:r>
    </w:p>
  </w:footnote>
  <w:footnote w:id="12">
    <w:p w:rsidR="007450EB" w:rsidRPr="004474FA" w:rsidRDefault="007450EB" w:rsidP="004474FA">
      <w:pPr>
        <w:pStyle w:val="FootnoteText"/>
        <w:ind w:left="567" w:hanging="567"/>
        <w:rPr>
          <w:sz w:val="24"/>
          <w:lang w:val="el-GR"/>
        </w:rPr>
      </w:pPr>
      <w:r w:rsidRPr="004474FA">
        <w:rPr>
          <w:rStyle w:val="FootnoteReference"/>
          <w:sz w:val="24"/>
          <w:lang w:val="el-GR"/>
        </w:rPr>
        <w:footnoteRef/>
      </w:r>
      <w:r w:rsidR="004474FA" w:rsidRPr="004474FA">
        <w:rPr>
          <w:sz w:val="24"/>
          <w:lang w:val="el-GR"/>
        </w:rPr>
        <w:t xml:space="preserve"> </w:t>
      </w:r>
      <w:r w:rsidR="004474FA" w:rsidRPr="004474FA">
        <w:rPr>
          <w:sz w:val="24"/>
          <w:lang w:val="el-GR"/>
        </w:rPr>
        <w:tab/>
      </w:r>
      <w:r w:rsidRPr="004474FA">
        <w:rPr>
          <w:sz w:val="24"/>
          <w:lang w:val="el-GR"/>
        </w:rPr>
        <w:t>Εκτελεστικός κανονισμός (ΕΕ) αριθ. 503/2013 της Επιτροπής, της 3ης Απριλίου 2013, σχετικά με τις αιτήσεις έγκρισης γενετικώς τροποποιημένων τροφίμων και ζωοτροφών, σύμφωνα με τον κανονισμό (ΕΚ) αριθ. 1829/2003 του Ευρωπαϊκού Κοινοβουλίου και του Συμβουλίου, και την τροποποίηση των κανονισμών της Επιτροπής (ΕΚ) αριθ. 641/2004 και (ΕΚ) αριθ. 1981/2006 (ΕΕ L 157 της 8.6.2013, σ. </w:t>
      </w:r>
      <w:r w:rsidRPr="004474FA">
        <w:rPr>
          <w:sz w:val="24"/>
          <w:lang w:val="el-GR"/>
        </w:rPr>
        <w:t>1, ELI: </w:t>
      </w:r>
      <w:hyperlink r:id="rId11" w:tooltip="Επιτρέπει πρόσβαση στο έγγραφο μέσω του ELI URI." w:history="1">
        <w:r w:rsidRPr="004474FA">
          <w:rPr>
            <w:rStyle w:val="Hyperlink"/>
            <w:sz w:val="24"/>
            <w:lang w:val="el-GR"/>
          </w:rPr>
          <w:t>http://data.europa.eu/eli/reg_impl/2013/503/oj</w:t>
        </w:r>
      </w:hyperlink>
      <w:r w:rsidRPr="004474FA">
        <w:rPr>
          <w:sz w:val="24"/>
          <w:lang w:val="el-GR"/>
        </w:rPr>
        <w:t>).</w:t>
      </w:r>
    </w:p>
  </w:footnote>
  <w:footnote w:id="13">
    <w:p w:rsidR="007450EB" w:rsidRPr="004474FA" w:rsidRDefault="007450EB" w:rsidP="004474FA">
      <w:pPr>
        <w:pStyle w:val="FootnoteText"/>
        <w:ind w:left="567" w:hanging="567"/>
        <w:rPr>
          <w:sz w:val="24"/>
          <w:lang w:val="el-GR"/>
        </w:rPr>
      </w:pPr>
      <w:r w:rsidRPr="004474FA">
        <w:rPr>
          <w:rStyle w:val="FootnoteReference"/>
          <w:sz w:val="24"/>
          <w:lang w:val="el-GR"/>
        </w:rPr>
        <w:footnoteRef/>
      </w:r>
      <w:r w:rsidR="004474FA" w:rsidRPr="004474FA">
        <w:rPr>
          <w:sz w:val="24"/>
          <w:lang w:val="el-GR"/>
        </w:rPr>
        <w:t xml:space="preserve"> </w:t>
      </w:r>
      <w:r w:rsidR="004474FA" w:rsidRPr="004474FA">
        <w:rPr>
          <w:sz w:val="24"/>
          <w:lang w:val="el-GR"/>
        </w:rPr>
        <w:tab/>
      </w:r>
      <w:r w:rsidRPr="004474FA">
        <w:rPr>
          <w:sz w:val="24"/>
          <w:lang w:val="el-GR"/>
        </w:rPr>
        <w:t xml:space="preserve">Ψήφισμα του Ευρωπαϊκού Κοινοβουλίου της 11ης Νοεμβρίου 2020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87427 × MON 87460 × MON 89034 × MIR162 × NK603, και γενετικώς τροποποιημένο αραβόσιτο που συνδυάζει δύο, τρία ή τέσσερα από τα μονά συμβάντα MON 87427, MON 87460, MON 89034, MIR162 και NK603, σύμφωνα με τον κανονισμό (ΕΚ) αριθ. 1829/2003 του Ευρωπαϊκού Κοινοβουλίου και του Συμβουλίου (ΕΕ C 415 της 13.10.2021, σ. 15). </w:t>
      </w:r>
    </w:p>
  </w:footnote>
  <w:footnote w:id="14">
    <w:p w:rsidR="007450EB" w:rsidRPr="004474FA" w:rsidRDefault="007450EB" w:rsidP="004474FA">
      <w:pPr>
        <w:pStyle w:val="FootnoteText"/>
        <w:ind w:left="567" w:hanging="567"/>
        <w:rPr>
          <w:sz w:val="24"/>
          <w:lang w:val="el-GR"/>
        </w:rPr>
      </w:pPr>
      <w:r w:rsidRPr="004474FA">
        <w:rPr>
          <w:rStyle w:val="FootnoteReference"/>
          <w:sz w:val="24"/>
          <w:lang w:val="el-GR"/>
        </w:rPr>
        <w:footnoteRef/>
      </w:r>
      <w:r w:rsidR="004474FA" w:rsidRPr="004474FA">
        <w:rPr>
          <w:sz w:val="24"/>
          <w:lang w:val="el-GR"/>
        </w:rPr>
        <w:t xml:space="preserve"> </w:t>
      </w:r>
      <w:r w:rsidR="004474FA" w:rsidRPr="004474FA">
        <w:rPr>
          <w:sz w:val="24"/>
          <w:lang w:val="el-GR"/>
        </w:rPr>
        <w:tab/>
      </w:r>
      <w:hyperlink r:id="rId12" w:history="1">
        <w:r w:rsidRPr="004474FA">
          <w:rPr>
            <w:rStyle w:val="Hyperlink"/>
            <w:sz w:val="24"/>
            <w:lang w:val="el-GR"/>
          </w:rPr>
          <w:t>https://www.who.int/campaigns/world-amr-awareness-week/2024/amr-is-invisible-i-am-not</w:t>
        </w:r>
      </w:hyperlink>
      <w:r w:rsidR="007E72AD">
        <w:rPr>
          <w:rStyle w:val="Hyperlink"/>
          <w:sz w:val="24"/>
          <w:lang w:val="el-GR"/>
        </w:rPr>
        <w:t>.</w:t>
      </w:r>
    </w:p>
  </w:footnote>
  <w:footnote w:id="15">
    <w:p w:rsidR="007450EB" w:rsidRPr="004474FA" w:rsidRDefault="007450EB" w:rsidP="004474FA">
      <w:pPr>
        <w:pStyle w:val="FootnoteText"/>
        <w:ind w:left="567" w:hanging="567"/>
        <w:rPr>
          <w:color w:val="1F497D"/>
          <w:sz w:val="24"/>
          <w:szCs w:val="22"/>
          <w:lang w:val="el-GR"/>
        </w:rPr>
      </w:pPr>
      <w:r w:rsidRPr="004474FA">
        <w:rPr>
          <w:rStyle w:val="FootnoteReference"/>
          <w:sz w:val="24"/>
          <w:lang w:val="el-GR"/>
        </w:rPr>
        <w:footnoteRef/>
      </w:r>
      <w:r w:rsidR="004474FA" w:rsidRPr="004474FA">
        <w:rPr>
          <w:sz w:val="24"/>
          <w:lang w:val="el-GR"/>
        </w:rPr>
        <w:t xml:space="preserve"> </w:t>
      </w:r>
      <w:r w:rsidR="004474FA" w:rsidRPr="004474FA">
        <w:rPr>
          <w:sz w:val="24"/>
          <w:lang w:val="el-GR"/>
        </w:rPr>
        <w:tab/>
      </w:r>
      <w:hyperlink r:id="rId13" w:history="1">
        <w:r w:rsidRPr="004474FA">
          <w:rPr>
            <w:rStyle w:val="Hyperlink"/>
            <w:sz w:val="24"/>
            <w:lang w:val="el-GR"/>
          </w:rPr>
          <w:t>https://efsa.onlinelibrary.wiley.com/action/downloadSupplement?</w:t>
        </w:r>
        <w:r w:rsidRPr="004474FA">
          <w:rPr>
            <w:rStyle w:val="Hyperlink"/>
            <w:sz w:val="24"/>
            <w:lang w:val="el-GR"/>
          </w:rPr>
          <w:br/>
          <w:t>doi=10.2903%2Fj.efsa.2023.8031&amp;file=efs28031-sup-0008-Annex8.pdf</w:t>
        </w:r>
      </w:hyperlink>
      <w:r w:rsidR="007E72AD">
        <w:rPr>
          <w:rStyle w:val="Hyperlink"/>
          <w:sz w:val="24"/>
          <w:lang w:val="el-GR"/>
        </w:rPr>
        <w:t>.</w:t>
      </w:r>
    </w:p>
  </w:footnote>
  <w:footnote w:id="16">
    <w:p w:rsidR="007450EB" w:rsidRPr="004474FA" w:rsidRDefault="007450EB" w:rsidP="004474FA">
      <w:pPr>
        <w:pStyle w:val="FootnoteText"/>
        <w:ind w:left="567" w:hanging="567"/>
        <w:rPr>
          <w:sz w:val="24"/>
          <w:lang w:val="el-GR"/>
        </w:rPr>
      </w:pPr>
      <w:r w:rsidRPr="004474FA">
        <w:rPr>
          <w:rStyle w:val="FootnoteReference"/>
          <w:sz w:val="24"/>
          <w:lang w:val="el-GR"/>
        </w:rPr>
        <w:footnoteRef/>
      </w:r>
      <w:r w:rsidR="004474FA" w:rsidRPr="004474FA">
        <w:rPr>
          <w:sz w:val="24"/>
          <w:lang w:val="el-GR"/>
        </w:rPr>
        <w:t xml:space="preserve"> </w:t>
      </w:r>
      <w:r w:rsidR="004474FA" w:rsidRPr="004474FA">
        <w:rPr>
          <w:sz w:val="24"/>
          <w:lang w:val="el-GR"/>
        </w:rPr>
        <w:tab/>
      </w:r>
      <w:r w:rsidRPr="004474FA">
        <w:rPr>
          <w:sz w:val="24"/>
          <w:lang w:val="el-GR"/>
        </w:rPr>
        <w:t>Σύμφωνα με το άρθρο 6 παράγραφος 3 του κανονισμού (ΕΕ) αριθ. 182/2011, εάν στην επιτροπή προσφυγών δεν υπάρχει ειδική πλειοψηφία κρατών μελών υπέρ της έγκρισης, η Επιτροπή «μπορεί» να προχωρήσει στην έγκριση, χωρίς όμως να είναι υποχρεωμένη να το πράξει.</w:t>
      </w:r>
    </w:p>
  </w:footnote>
  <w:footnote w:id="17">
    <w:p w:rsidR="007450EB" w:rsidRPr="004474FA" w:rsidRDefault="007450EB" w:rsidP="004474FA">
      <w:pPr>
        <w:pStyle w:val="FootnoteText"/>
        <w:ind w:left="567" w:hanging="567"/>
        <w:rPr>
          <w:sz w:val="24"/>
          <w:lang w:val="el-GR"/>
        </w:rPr>
      </w:pPr>
      <w:r w:rsidRPr="004474FA">
        <w:rPr>
          <w:rStyle w:val="FootnoteReference"/>
          <w:sz w:val="24"/>
          <w:lang w:val="el-GR"/>
        </w:rPr>
        <w:footnoteRef/>
      </w:r>
      <w:r w:rsidR="004474FA" w:rsidRPr="004474FA">
        <w:rPr>
          <w:sz w:val="24"/>
          <w:lang w:val="el-GR"/>
        </w:rPr>
        <w:t xml:space="preserve"> </w:t>
      </w:r>
      <w:r w:rsidR="004474FA" w:rsidRPr="004474FA">
        <w:rPr>
          <w:sz w:val="24"/>
          <w:lang w:val="el-GR"/>
        </w:rPr>
        <w:tab/>
      </w:r>
      <w:r w:rsidRPr="004474FA">
        <w:rPr>
          <w:sz w:val="24"/>
          <w:lang w:val="el-GR"/>
        </w:rPr>
        <w:t>Κανονισμός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 (ΕΕ L 31 της 1.2.2002, σ. </w:t>
      </w:r>
      <w:r w:rsidRPr="004474FA">
        <w:rPr>
          <w:sz w:val="24"/>
          <w:lang w:val="el-GR"/>
        </w:rPr>
        <w:t>1, ELI: </w:t>
      </w:r>
      <w:hyperlink r:id="rId14" w:tooltip="Επιτρέπει πρόσβαση στο έγγραφο μέσω του ELI URI." w:history="1">
        <w:r w:rsidRPr="004474FA">
          <w:rPr>
            <w:rStyle w:val="Hyperlink"/>
            <w:sz w:val="24"/>
            <w:lang w:val="el-GR"/>
          </w:rPr>
          <w:t>http://data.europa.eu/eli/reg/2002/178/oj</w:t>
        </w:r>
      </w:hyperlink>
      <w:r w:rsidRPr="004474FA">
        <w:rPr>
          <w:sz w:val="24"/>
          <w:lang w:val="el-GR"/>
        </w:rPr>
        <w:t>).</w:t>
      </w:r>
    </w:p>
  </w:footnote>
  <w:footnote w:id="18">
    <w:p w:rsidR="007450EB" w:rsidRPr="004474FA" w:rsidRDefault="007450EB" w:rsidP="004474FA">
      <w:pPr>
        <w:pStyle w:val="FootnoteText"/>
        <w:ind w:left="567" w:hanging="567"/>
        <w:rPr>
          <w:sz w:val="24"/>
          <w:lang w:val="el-GR"/>
        </w:rPr>
      </w:pPr>
      <w:r w:rsidRPr="004474FA">
        <w:rPr>
          <w:rStyle w:val="FootnoteReference"/>
          <w:sz w:val="24"/>
          <w:lang w:val="el-GR"/>
        </w:rPr>
        <w:footnoteRef/>
      </w:r>
      <w:r w:rsidR="004474FA" w:rsidRPr="004474FA">
        <w:rPr>
          <w:sz w:val="24"/>
          <w:lang w:val="el-GR"/>
        </w:rPr>
        <w:t xml:space="preserve"> </w:t>
      </w:r>
      <w:r w:rsidR="004474FA" w:rsidRPr="004474FA">
        <w:rPr>
          <w:sz w:val="24"/>
          <w:lang w:val="el-GR"/>
        </w:rPr>
        <w:tab/>
      </w:r>
      <w:hyperlink r:id="rId15" w:history="1">
        <w:r w:rsidRPr="004474FA">
          <w:rPr>
            <w:rStyle w:val="Hyperlink"/>
            <w:sz w:val="24"/>
            <w:lang w:val="el-GR"/>
          </w:rPr>
          <w:t>https://tillymetz.lu/wp-content/uploads/2020/09/Co-signed-letter-MEP-Metz.pdf</w:t>
        </w:r>
      </w:hyperlink>
      <w:r w:rsidRPr="004474FA">
        <w:rPr>
          <w:rStyle w:val="Hyperlink"/>
          <w:sz w:val="24"/>
          <w:lang w:val="el-GR"/>
        </w:rPr>
        <w:t>.</w:t>
      </w:r>
    </w:p>
  </w:footnote>
  <w:footnote w:id="19">
    <w:p w:rsidR="007450EB" w:rsidRPr="004474FA" w:rsidRDefault="007450EB" w:rsidP="004474FA">
      <w:pPr>
        <w:pStyle w:val="FootnoteText"/>
        <w:ind w:left="567" w:hanging="567"/>
        <w:rPr>
          <w:sz w:val="24"/>
          <w:lang w:val="el-GR"/>
        </w:rPr>
      </w:pPr>
      <w:r w:rsidRPr="004474FA">
        <w:rPr>
          <w:rStyle w:val="FootnoteReference"/>
          <w:sz w:val="24"/>
          <w:lang w:val="el-GR"/>
        </w:rPr>
        <w:footnoteRef/>
      </w:r>
      <w:r w:rsidR="004474FA" w:rsidRPr="004474FA">
        <w:rPr>
          <w:sz w:val="24"/>
          <w:lang w:val="el-GR"/>
        </w:rPr>
        <w:t xml:space="preserve"> </w:t>
      </w:r>
      <w:r w:rsidR="004474FA" w:rsidRPr="004474FA">
        <w:rPr>
          <w:sz w:val="24"/>
          <w:lang w:val="el-GR"/>
        </w:rPr>
        <w:tab/>
      </w:r>
      <w:r w:rsidRPr="004474FA">
        <w:rPr>
          <w:sz w:val="24"/>
          <w:lang w:val="el-GR"/>
        </w:rPr>
        <w:t>Ψήφισμα του Ευρωπαϊκού Κοινοβουλίου της 15ης Ιανουαρίου 2020 σχετικά με την Ευρωπαϊκή Πράσινη Συμφωνία (ΕΕ C 270 της 7.7.2021, σ. 2), παράγραφος 102.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3316D1F"/>
    <w:multiLevelType w:val="hybridMultilevel"/>
    <w:tmpl w:val="03F089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6404AE1"/>
    <w:multiLevelType w:val="hybridMultilevel"/>
    <w:tmpl w:val="81BEDD32"/>
    <w:lvl w:ilvl="0" w:tplc="7C0EA4D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5/2024"/>
    <w:docVar w:name="dvlangue" w:val="EL"/>
    <w:docVar w:name="dvnumam" w:val="0"/>
    <w:docVar w:name="dvpe" w:val="764.959"/>
    <w:docVar w:name="dvtitre" w:val="Ψήφισμα του Ευρωπαϊκού Κοινοβουλίου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βαμβάκι COT102, σύμφωνα με τον κανονισμό (ΕΚ) αριθ. 1829/2003 του Ευρωπαϊκού Κοινοβουλίου και του Συμβουλίου(D098499/04 – 2024/2835(RSP))"/>
  </w:docVars>
  <w:rsids>
    <w:rsidRoot w:val="0019337E"/>
    <w:rsid w:val="00002272"/>
    <w:rsid w:val="00064002"/>
    <w:rsid w:val="000677B9"/>
    <w:rsid w:val="000831BA"/>
    <w:rsid w:val="000A42CC"/>
    <w:rsid w:val="000E7DD9"/>
    <w:rsid w:val="0010095E"/>
    <w:rsid w:val="00125B37"/>
    <w:rsid w:val="00187494"/>
    <w:rsid w:val="0019337E"/>
    <w:rsid w:val="001F32AE"/>
    <w:rsid w:val="002767FF"/>
    <w:rsid w:val="002B18FE"/>
    <w:rsid w:val="002B5493"/>
    <w:rsid w:val="00343214"/>
    <w:rsid w:val="00361C00"/>
    <w:rsid w:val="00395FA1"/>
    <w:rsid w:val="003E15D4"/>
    <w:rsid w:val="00411CCE"/>
    <w:rsid w:val="0041666E"/>
    <w:rsid w:val="00421060"/>
    <w:rsid w:val="004474FA"/>
    <w:rsid w:val="00471C19"/>
    <w:rsid w:val="004867E3"/>
    <w:rsid w:val="00494A28"/>
    <w:rsid w:val="004C0004"/>
    <w:rsid w:val="004C5D52"/>
    <w:rsid w:val="0050519A"/>
    <w:rsid w:val="005072A1"/>
    <w:rsid w:val="00514517"/>
    <w:rsid w:val="00545827"/>
    <w:rsid w:val="00560270"/>
    <w:rsid w:val="005C2568"/>
    <w:rsid w:val="005F1B17"/>
    <w:rsid w:val="006037C0"/>
    <w:rsid w:val="006136CF"/>
    <w:rsid w:val="00652AAC"/>
    <w:rsid w:val="00657AB0"/>
    <w:rsid w:val="006631B6"/>
    <w:rsid w:val="00680577"/>
    <w:rsid w:val="006F74FA"/>
    <w:rsid w:val="00731ADD"/>
    <w:rsid w:val="00734777"/>
    <w:rsid w:val="007450EB"/>
    <w:rsid w:val="00747932"/>
    <w:rsid w:val="00751A4A"/>
    <w:rsid w:val="00756632"/>
    <w:rsid w:val="00762C74"/>
    <w:rsid w:val="00786EC0"/>
    <w:rsid w:val="007D1690"/>
    <w:rsid w:val="007E22AD"/>
    <w:rsid w:val="007E72AD"/>
    <w:rsid w:val="00817416"/>
    <w:rsid w:val="00842779"/>
    <w:rsid w:val="00865F67"/>
    <w:rsid w:val="00881A7B"/>
    <w:rsid w:val="008840E5"/>
    <w:rsid w:val="00887B3E"/>
    <w:rsid w:val="008C2AC6"/>
    <w:rsid w:val="00930C23"/>
    <w:rsid w:val="0093193B"/>
    <w:rsid w:val="009509D8"/>
    <w:rsid w:val="00950B64"/>
    <w:rsid w:val="00981893"/>
    <w:rsid w:val="009F584C"/>
    <w:rsid w:val="00A1687D"/>
    <w:rsid w:val="00A43E52"/>
    <w:rsid w:val="00A4678D"/>
    <w:rsid w:val="00A54635"/>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22C6"/>
    <w:rsid w:val="00D834A0"/>
    <w:rsid w:val="00D872DF"/>
    <w:rsid w:val="00D91E21"/>
    <w:rsid w:val="00DA7FCD"/>
    <w:rsid w:val="00E365E1"/>
    <w:rsid w:val="00E820A4"/>
    <w:rsid w:val="00EA0E31"/>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67F95A"/>
  <w15:chartTrackingRefBased/>
  <w15:docId w15:val="{DC79DE95-331A-4FC6-AD34-F92326DE7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450EB"/>
    <w:pPr>
      <w:spacing w:before="480" w:after="240"/>
    </w:pPr>
  </w:style>
  <w:style w:type="paragraph" w:customStyle="1" w:styleId="NormalBold12a">
    <w:name w:val="NormalBold12a"/>
    <w:basedOn w:val="Normal"/>
    <w:rsid w:val="007450EB"/>
    <w:pPr>
      <w:spacing w:after="240"/>
    </w:pPr>
    <w:rPr>
      <w:b/>
    </w:rPr>
  </w:style>
  <w:style w:type="paragraph" w:customStyle="1" w:styleId="NormalHanging12a">
    <w:name w:val="NormalHanging12a"/>
    <w:basedOn w:val="Normal"/>
    <w:rsid w:val="007450EB"/>
    <w:pPr>
      <w:spacing w:after="240"/>
      <w:ind w:left="567" w:hanging="567"/>
    </w:pPr>
  </w:style>
  <w:style w:type="character" w:styleId="Hyperlink">
    <w:name w:val="Hyperlink"/>
    <w:basedOn w:val="DefaultParagraphFont"/>
    <w:uiPriority w:val="99"/>
    <w:rsid w:val="007450EB"/>
    <w:rPr>
      <w:color w:val="0563C1" w:themeColor="hyperlink"/>
      <w:u w:val="single"/>
    </w:rPr>
  </w:style>
  <w:style w:type="paragraph" w:styleId="Header">
    <w:name w:val="header"/>
    <w:basedOn w:val="Normal"/>
    <w:link w:val="HeaderChar"/>
    <w:rsid w:val="00EA0E31"/>
    <w:pPr>
      <w:tabs>
        <w:tab w:val="center" w:pos="4513"/>
        <w:tab w:val="right" w:pos="9026"/>
      </w:tabs>
    </w:pPr>
  </w:style>
  <w:style w:type="character" w:customStyle="1" w:styleId="HeaderChar">
    <w:name w:val="Header Char"/>
    <w:basedOn w:val="DefaultParagraphFont"/>
    <w:link w:val="Header"/>
    <w:rsid w:val="00EA0E31"/>
    <w:rPr>
      <w:sz w:val="24"/>
      <w:lang w:val="el-GR"/>
    </w:rPr>
  </w:style>
  <w:style w:type="character" w:styleId="FollowedHyperlink">
    <w:name w:val="FollowedHyperlink"/>
    <w:basedOn w:val="DefaultParagraphFont"/>
    <w:rsid w:val="00652AAC"/>
    <w:rPr>
      <w:color w:val="954F72" w:themeColor="followedHyperlink"/>
      <w:u w:val="single"/>
    </w:rPr>
  </w:style>
  <w:style w:type="paragraph" w:styleId="ListParagraph">
    <w:name w:val="List Paragraph"/>
    <w:basedOn w:val="Normal"/>
    <w:uiPriority w:val="34"/>
    <w:qFormat/>
    <w:rsid w:val="00652AAC"/>
    <w:pPr>
      <w:ind w:left="720"/>
      <w:contextualSpacing/>
    </w:pPr>
  </w:style>
  <w:style w:type="paragraph" w:styleId="BalloonText">
    <w:name w:val="Balloon Text"/>
    <w:basedOn w:val="Normal"/>
    <w:link w:val="BalloonTextChar"/>
    <w:rsid w:val="007E72AD"/>
    <w:rPr>
      <w:rFonts w:ascii="Segoe UI" w:hAnsi="Segoe UI" w:cs="Segoe UI"/>
      <w:sz w:val="18"/>
      <w:szCs w:val="18"/>
    </w:rPr>
  </w:style>
  <w:style w:type="character" w:customStyle="1" w:styleId="BalloonTextChar">
    <w:name w:val="Balloon Text Char"/>
    <w:basedOn w:val="DefaultParagraphFont"/>
    <w:link w:val="BalloonText"/>
    <w:rsid w:val="007E72AD"/>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testbiotech.org/wp-content/uploads/2023/12/RAGES_report-Insecticidal-Bt-plants.pdf" TargetMode="External"/><Relationship Id="rId13" Type="http://schemas.openxmlformats.org/officeDocument/2006/relationships/hyperlink" Target="https://efsa.onlinelibrary.wiley.com/action/downloadSupplement?doi=10.2903/j.efsa.2023.8031&amp;file=efs28031-sup-0008-Annex8.pdf" TargetMode="External"/><Relationship Id="rId3" Type="http://schemas.openxmlformats.org/officeDocument/2006/relationships/hyperlink" Target="http://data.europa.eu/eli/reg/2011/182/oj" TargetMode="External"/><Relationship Id="rId7" Type="http://schemas.openxmlformats.org/officeDocument/2006/relationships/hyperlink" Target="https://doi.org/10.3389/fenvs.2015.00071" TargetMode="External"/><Relationship Id="rId12" Type="http://schemas.openxmlformats.org/officeDocument/2006/relationships/hyperlink" Target="https://www.who.int/campaigns/world-amr-awareness-week/2024/amr-is-invisible-i-am-not" TargetMode="External"/><Relationship Id="rId2" Type="http://schemas.openxmlformats.org/officeDocument/2006/relationships/hyperlink" Target="http://data.europa.eu/eli/reg/2003/1829/oj" TargetMode="External"/><Relationship Id="rId1" Type="http://schemas.openxmlformats.org/officeDocument/2006/relationships/hyperlink" Target="http://data.europa.eu/eli/dec_impl/2024/2627/oj" TargetMode="External"/><Relationship Id="rId6" Type="http://schemas.openxmlformats.org/officeDocument/2006/relationships/hyperlink" Target="https://onlinelibrary.wiley.com/doi/full/10.1002/jat.3252" TargetMode="External"/><Relationship Id="rId11" Type="http://schemas.openxmlformats.org/officeDocument/2006/relationships/hyperlink" Target="http://data.europa.eu/eli/reg_impl/2013/503/oj" TargetMode="External"/><Relationship Id="rId5" Type="http://schemas.openxmlformats.org/officeDocument/2006/relationships/hyperlink" Target="https://pubs.acs.org/doi/abs/10.1021/jf00094a051" TargetMode="External"/><Relationship Id="rId15" Type="http://schemas.openxmlformats.org/officeDocument/2006/relationships/hyperlink" Target="https://tillymetz.lu/wp-content/uploads/2020/09/Co-signed-letter-MEP-Metz.pdf" TargetMode="External"/><Relationship Id="rId10" Type="http://schemas.openxmlformats.org/officeDocument/2006/relationships/hyperlink" Target="http://data.europa.eu/eli/dir/2001/18/oj" TargetMode="External"/><Relationship Id="rId4" Type="http://schemas.openxmlformats.org/officeDocument/2006/relationships/hyperlink" Target="https://doi.org/10.2903/j.efsa.2023.8031" TargetMode="External"/><Relationship Id="rId9" Type="http://schemas.openxmlformats.org/officeDocument/2006/relationships/hyperlink" Target="https://commission.europa.eu/document/2c64e540-c07a-4376-a1da-368d289f4afe_en?prefLang=el" TargetMode="External"/><Relationship Id="rId14"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93B24F-2350-4260-971F-D71FDD6E4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2264</Words>
  <Characters>13105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 PE START</cp:lastModifiedBy>
  <cp:revision>2</cp:revision>
  <cp:lastPrinted>2004-11-19T15:42:00Z</cp:lastPrinted>
  <dcterms:created xsi:type="dcterms:W3CDTF">2024-11-26T11:41:00Z</dcterms:created>
  <dcterms:modified xsi:type="dcterms:W3CDTF">2024-11-26T11:41:00Z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B10-0145/2024</vt:lpwstr>
  </property>
  <property fmtid="{D5CDD505-2E9C-101B-9397-08002B2CF9AE}" pid="4" name="&lt;Type&gt;">
    <vt:lpwstr>RR</vt:lpwstr>
  </property>
</Properties>
</file>