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05B6D" w14:paraId="509C0E86" w14:textId="77777777" w:rsidTr="0010095E">
        <w:trPr>
          <w:trHeight w:hRule="exact" w:val="1418"/>
        </w:trPr>
        <w:tc>
          <w:tcPr>
            <w:tcW w:w="6804" w:type="dxa"/>
            <w:shd w:val="clear" w:color="auto" w:fill="auto"/>
            <w:vAlign w:val="center"/>
          </w:tcPr>
          <w:p w14:paraId="40D7724F" w14:textId="77777777" w:rsidR="00751A4A" w:rsidRPr="00805B6D" w:rsidRDefault="009B1005" w:rsidP="003A40FB">
            <w:pPr>
              <w:pStyle w:val="EPName"/>
            </w:pPr>
            <w:r w:rsidRPr="00805B6D">
              <w:t>European Parliament</w:t>
            </w:r>
          </w:p>
          <w:p w14:paraId="24491DC3" w14:textId="77777777" w:rsidR="00751A4A" w:rsidRPr="00805B6D" w:rsidRDefault="005F1B17" w:rsidP="003A40FB">
            <w:pPr>
              <w:pStyle w:val="EPTerm"/>
              <w:rPr>
                <w:rStyle w:val="HideTWBExt"/>
                <w:noProof w:val="0"/>
                <w:vanish w:val="0"/>
                <w:color w:val="auto"/>
              </w:rPr>
            </w:pPr>
            <w:r w:rsidRPr="00805B6D">
              <w:t>2024</w:t>
            </w:r>
            <w:r w:rsidR="00817416" w:rsidRPr="00805B6D">
              <w:t>-202</w:t>
            </w:r>
            <w:r w:rsidRPr="00805B6D">
              <w:t>9</w:t>
            </w:r>
          </w:p>
        </w:tc>
        <w:tc>
          <w:tcPr>
            <w:tcW w:w="2268" w:type="dxa"/>
            <w:shd w:val="clear" w:color="auto" w:fill="auto"/>
          </w:tcPr>
          <w:p w14:paraId="24078C3F" w14:textId="77777777" w:rsidR="00751A4A" w:rsidRPr="00805B6D" w:rsidRDefault="00187494" w:rsidP="003A40FB">
            <w:pPr>
              <w:pStyle w:val="EPLogo"/>
            </w:pPr>
            <w:r w:rsidRPr="00805B6D">
              <w:rPr>
                <w:noProof/>
              </w:rPr>
              <w:drawing>
                <wp:inline distT="0" distB="0" distL="0" distR="0" wp14:anchorId="021E49F5" wp14:editId="5F07F00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DE60905" w14:textId="77777777" w:rsidR="00D058B8" w:rsidRPr="00805B6D" w:rsidRDefault="00D058B8" w:rsidP="003A40FB">
      <w:pPr>
        <w:pStyle w:val="LineTop"/>
      </w:pPr>
    </w:p>
    <w:p w14:paraId="4CF4AC3A" w14:textId="77777777" w:rsidR="00680577" w:rsidRPr="00805B6D" w:rsidRDefault="009B1005" w:rsidP="003A40FB">
      <w:pPr>
        <w:pStyle w:val="EPBodyTA1"/>
      </w:pPr>
      <w:r w:rsidRPr="00805B6D">
        <w:t>TEXTS ADOPTED</w:t>
      </w:r>
    </w:p>
    <w:p w14:paraId="61801BBD" w14:textId="77777777" w:rsidR="00D058B8" w:rsidRPr="00805B6D" w:rsidRDefault="00D058B8" w:rsidP="003A40FB">
      <w:pPr>
        <w:pStyle w:val="LineBottom"/>
      </w:pPr>
    </w:p>
    <w:p w14:paraId="0AB5065E" w14:textId="2675199F" w:rsidR="009B1005" w:rsidRPr="00805B6D" w:rsidRDefault="009B1005" w:rsidP="003A40FB">
      <w:pPr>
        <w:pStyle w:val="ATHeading1"/>
        <w:keepNext w:val="0"/>
        <w:keepLines w:val="0"/>
        <w:widowControl w:val="0"/>
      </w:pPr>
      <w:bookmarkStart w:id="0" w:name="TANumber"/>
      <w:r w:rsidRPr="00805B6D">
        <w:t>P10_TA(2024)00</w:t>
      </w:r>
      <w:bookmarkEnd w:id="0"/>
      <w:r w:rsidR="00067663">
        <w:t>39</w:t>
      </w:r>
      <w:bookmarkStart w:id="1" w:name="_GoBack"/>
      <w:bookmarkEnd w:id="1"/>
    </w:p>
    <w:p w14:paraId="5DC1FC6B" w14:textId="77777777" w:rsidR="009B1005" w:rsidRPr="00805B6D" w:rsidRDefault="003A40FB" w:rsidP="003A40FB">
      <w:pPr>
        <w:pStyle w:val="ATHeading2"/>
        <w:widowControl w:val="0"/>
      </w:pPr>
      <w:bookmarkStart w:id="2" w:name="title"/>
      <w:r w:rsidRPr="00805B6D">
        <w:t>Genetically modified cotton COT102</w:t>
      </w:r>
      <w:bookmarkEnd w:id="2"/>
    </w:p>
    <w:p w14:paraId="75FD7E84" w14:textId="77777777" w:rsidR="009B1005" w:rsidRPr="00805B6D" w:rsidRDefault="009B1005" w:rsidP="003A40FB">
      <w:pPr>
        <w:rPr>
          <w:i/>
          <w:vanish/>
        </w:rPr>
      </w:pPr>
      <w:r w:rsidRPr="00805B6D">
        <w:rPr>
          <w:i/>
        </w:rPr>
        <w:fldChar w:fldCharType="begin"/>
      </w:r>
      <w:r w:rsidRPr="00805B6D">
        <w:rPr>
          <w:i/>
        </w:rPr>
        <w:instrText xml:space="preserve"> TC"(</w:instrText>
      </w:r>
      <w:bookmarkStart w:id="3" w:name="DocNumber"/>
      <w:r w:rsidRPr="00805B6D">
        <w:rPr>
          <w:i/>
        </w:rPr>
        <w:instrText>B10-0145/2024</w:instrText>
      </w:r>
      <w:bookmarkEnd w:id="3"/>
      <w:r w:rsidRPr="00805B6D">
        <w:rPr>
          <w:i/>
        </w:rPr>
        <w:instrText xml:space="preserve">)"\l3 \n&gt; \* MERGEFORMAT </w:instrText>
      </w:r>
      <w:r w:rsidRPr="00805B6D">
        <w:rPr>
          <w:i/>
        </w:rPr>
        <w:fldChar w:fldCharType="end"/>
      </w:r>
    </w:p>
    <w:p w14:paraId="18EB9281" w14:textId="77777777" w:rsidR="009B1005" w:rsidRPr="00805B6D" w:rsidRDefault="009B1005" w:rsidP="003A40FB">
      <w:pPr>
        <w:rPr>
          <w:vanish/>
        </w:rPr>
      </w:pPr>
      <w:bookmarkStart w:id="4" w:name="PE"/>
      <w:r w:rsidRPr="00805B6D">
        <w:rPr>
          <w:vanish/>
        </w:rPr>
        <w:t>PE764.959</w:t>
      </w:r>
      <w:bookmarkEnd w:id="4"/>
    </w:p>
    <w:p w14:paraId="20601EC8" w14:textId="3C41FA0C" w:rsidR="009B1005" w:rsidRPr="00805B6D" w:rsidRDefault="009B1005" w:rsidP="003A40FB">
      <w:pPr>
        <w:pStyle w:val="ATHeading3"/>
        <w:keepNext w:val="0"/>
        <w:keepLines w:val="0"/>
        <w:widowControl w:val="0"/>
      </w:pPr>
      <w:bookmarkStart w:id="5" w:name="Sujet"/>
      <w:r w:rsidRPr="00805B6D">
        <w:t xml:space="preserve">European Parliament resolution of </w:t>
      </w:r>
      <w:r w:rsidR="008076DC" w:rsidRPr="00805B6D">
        <w:t>26</w:t>
      </w:r>
      <w:r w:rsidRPr="00805B6D">
        <w:t xml:space="preserve"> </w:t>
      </w:r>
      <w:r w:rsidR="003A40FB" w:rsidRPr="00805B6D">
        <w:t>November</w:t>
      </w:r>
      <w:r w:rsidRPr="00805B6D">
        <w:t xml:space="preserve"> 2024 on Commission </w:t>
      </w:r>
      <w:r w:rsidR="00D64C28" w:rsidRPr="00805B6D">
        <w:t>I</w:t>
      </w:r>
      <w:r w:rsidRPr="00805B6D">
        <w:t xml:space="preserve">mplementing </w:t>
      </w:r>
      <w:r w:rsidR="00D64C28" w:rsidRPr="00805B6D">
        <w:t>D</w:t>
      </w:r>
      <w:r w:rsidRPr="00805B6D">
        <w:t xml:space="preserve">ecision </w:t>
      </w:r>
      <w:r w:rsidR="00D64C28" w:rsidRPr="00805B6D">
        <w:t xml:space="preserve">(EU) 2024/2627 </w:t>
      </w:r>
      <w:r w:rsidRPr="00805B6D">
        <w:t>authorising the placing on the market of products containing, consisting of or produced from genetically modified cotton COT102 pursuant to Regulation (EC) No 1829/2003 of the European Parliament and of the Council</w:t>
      </w:r>
      <w:bookmarkEnd w:id="5"/>
      <w:r w:rsidRPr="00805B6D">
        <w:t xml:space="preserve"> </w:t>
      </w:r>
      <w:bookmarkStart w:id="6" w:name="References"/>
      <w:r w:rsidRPr="00805B6D">
        <w:t>(2024/2835(RSP))</w:t>
      </w:r>
      <w:bookmarkEnd w:id="6"/>
    </w:p>
    <w:p w14:paraId="22898FD0" w14:textId="77777777" w:rsidR="00274ECB" w:rsidRPr="00805B6D" w:rsidRDefault="00274ECB" w:rsidP="003A40FB">
      <w:pPr>
        <w:pStyle w:val="EPComma"/>
      </w:pPr>
      <w:bookmarkStart w:id="7" w:name="TextBodyBegin"/>
      <w:bookmarkEnd w:id="7"/>
      <w:r w:rsidRPr="00805B6D">
        <w:rPr>
          <w:i/>
        </w:rPr>
        <w:t>The European Parliament</w:t>
      </w:r>
      <w:r w:rsidRPr="00805B6D">
        <w:t>,</w:t>
      </w:r>
    </w:p>
    <w:p w14:paraId="125ED809" w14:textId="3EAA20ED" w:rsidR="00274ECB" w:rsidRPr="00805B6D" w:rsidRDefault="00274ECB" w:rsidP="003A40FB">
      <w:pPr>
        <w:pStyle w:val="NormalHanging12a"/>
        <w:rPr>
          <w:szCs w:val="24"/>
        </w:rPr>
      </w:pPr>
      <w:r w:rsidRPr="00805B6D">
        <w:rPr>
          <w:szCs w:val="24"/>
        </w:rPr>
        <w:t>–</w:t>
      </w:r>
      <w:r w:rsidRPr="00805B6D">
        <w:rPr>
          <w:szCs w:val="24"/>
        </w:rPr>
        <w:tab/>
        <w:t xml:space="preserve">having regard to Commission </w:t>
      </w:r>
      <w:r w:rsidR="00A0205C" w:rsidRPr="00805B6D">
        <w:rPr>
          <w:szCs w:val="24"/>
        </w:rPr>
        <w:t>I</w:t>
      </w:r>
      <w:r w:rsidRPr="00805B6D">
        <w:rPr>
          <w:szCs w:val="24"/>
        </w:rPr>
        <w:t xml:space="preserve">mplementing </w:t>
      </w:r>
      <w:r w:rsidR="00A0205C" w:rsidRPr="00805B6D">
        <w:rPr>
          <w:szCs w:val="24"/>
        </w:rPr>
        <w:t>D</w:t>
      </w:r>
      <w:r w:rsidRPr="00805B6D">
        <w:rPr>
          <w:szCs w:val="24"/>
        </w:rPr>
        <w:t>ecision</w:t>
      </w:r>
      <w:r w:rsidR="00A0205C" w:rsidRPr="00805B6D">
        <w:rPr>
          <w:szCs w:val="24"/>
        </w:rPr>
        <w:t xml:space="preserve"> (EU) 2024/2627</w:t>
      </w:r>
      <w:r w:rsidRPr="00805B6D">
        <w:rPr>
          <w:szCs w:val="24"/>
        </w:rPr>
        <w:t xml:space="preserve"> authorising the placing on the market of products containing, consisting of or produced from genetically modified cotton COT102 pursuant to Regulation (EC) No 1829/2003 of the European Parliament and of the Council</w:t>
      </w:r>
      <w:r w:rsidR="00A0205C" w:rsidRPr="00805B6D">
        <w:rPr>
          <w:rStyle w:val="FootnoteReference"/>
          <w:szCs w:val="24"/>
        </w:rPr>
        <w:footnoteReference w:id="1"/>
      </w:r>
      <w:r w:rsidRPr="00805B6D">
        <w:rPr>
          <w:szCs w:val="24"/>
        </w:rPr>
        <w:t>,</w:t>
      </w:r>
    </w:p>
    <w:p w14:paraId="5B9290F5" w14:textId="77777777" w:rsidR="00274ECB" w:rsidRPr="00805B6D" w:rsidRDefault="00274ECB" w:rsidP="003A40FB">
      <w:pPr>
        <w:pStyle w:val="NormalHanging12a"/>
        <w:rPr>
          <w:szCs w:val="24"/>
        </w:rPr>
      </w:pPr>
      <w:r w:rsidRPr="00805B6D">
        <w:rPr>
          <w:szCs w:val="24"/>
        </w:rPr>
        <w:t>–</w:t>
      </w:r>
      <w:r w:rsidRPr="00805B6D">
        <w:rPr>
          <w:szCs w:val="24"/>
        </w:rPr>
        <w:tab/>
        <w:t>having regard to Regulation (EC) No 1829/2003 of the European Parliament and of the Council of 22 September 2003 on genetically modified food and feed</w:t>
      </w:r>
      <w:r w:rsidRPr="00805B6D">
        <w:rPr>
          <w:rStyle w:val="FootnoteReference"/>
          <w:szCs w:val="24"/>
        </w:rPr>
        <w:footnoteReference w:id="2"/>
      </w:r>
      <w:r w:rsidRPr="00805B6D">
        <w:rPr>
          <w:szCs w:val="24"/>
        </w:rPr>
        <w:t>, and in particular Article 7(3) and Article 19(3) thereof,</w:t>
      </w:r>
    </w:p>
    <w:p w14:paraId="20CFEFFB" w14:textId="77777777" w:rsidR="00274ECB" w:rsidRPr="00805B6D" w:rsidRDefault="00274ECB" w:rsidP="003A40FB">
      <w:pPr>
        <w:pStyle w:val="NormalHanging12a"/>
        <w:rPr>
          <w:szCs w:val="24"/>
        </w:rPr>
      </w:pPr>
      <w:r w:rsidRPr="00805B6D">
        <w:rPr>
          <w:szCs w:val="24"/>
        </w:rPr>
        <w:t>–</w:t>
      </w:r>
      <w:r w:rsidRPr="00805B6D">
        <w:rPr>
          <w:szCs w:val="24"/>
        </w:rPr>
        <w:tab/>
        <w:t>having regard to the vot</w:t>
      </w:r>
      <w:r w:rsidRPr="00805B6D">
        <w:rPr>
          <w:szCs w:val="24"/>
          <w:shd w:val="clear" w:color="auto" w:fill="FFFFFF"/>
        </w:rPr>
        <w:t xml:space="preserve">e of the Standing Committee on Plants, Animals, Food and Feed </w:t>
      </w:r>
      <w:proofErr w:type="gramStart"/>
      <w:r w:rsidRPr="00805B6D">
        <w:rPr>
          <w:szCs w:val="24"/>
          <w:shd w:val="clear" w:color="auto" w:fill="FFFFFF"/>
        </w:rPr>
        <w:t>referred</w:t>
      </w:r>
      <w:proofErr w:type="gramEnd"/>
      <w:r w:rsidRPr="00805B6D">
        <w:rPr>
          <w:szCs w:val="24"/>
          <w:shd w:val="clear" w:color="auto" w:fill="FFFFFF"/>
        </w:rPr>
        <w:t xml:space="preserve"> to in Article 35 of Regulation (EC) No 1829/2003, on 8 July 2024, at which no opinion was delivered, and the vote of the Appeal Committee on 3 September 2024, at which again no </w:t>
      </w:r>
      <w:r w:rsidRPr="00805B6D">
        <w:rPr>
          <w:szCs w:val="24"/>
        </w:rPr>
        <w:t>opinion was delivered,</w:t>
      </w:r>
    </w:p>
    <w:p w14:paraId="64363604" w14:textId="77777777" w:rsidR="00274ECB" w:rsidRPr="00805B6D" w:rsidRDefault="00274ECB" w:rsidP="003A40FB">
      <w:pPr>
        <w:pStyle w:val="NormalHanging12a"/>
        <w:rPr>
          <w:szCs w:val="24"/>
        </w:rPr>
      </w:pPr>
      <w:r w:rsidRPr="00805B6D">
        <w:rPr>
          <w:szCs w:val="24"/>
        </w:rPr>
        <w:t>–</w:t>
      </w:r>
      <w:r w:rsidRPr="00805B6D">
        <w:rPr>
          <w:szCs w:val="24"/>
        </w:rPr>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805B6D">
        <w:rPr>
          <w:rStyle w:val="FootnoteReference"/>
          <w:szCs w:val="24"/>
        </w:rPr>
        <w:footnoteReference w:id="3"/>
      </w:r>
      <w:r w:rsidRPr="00805B6D">
        <w:rPr>
          <w:szCs w:val="24"/>
        </w:rPr>
        <w:t>,</w:t>
      </w:r>
    </w:p>
    <w:p w14:paraId="0EC31C63" w14:textId="77777777" w:rsidR="00274ECB" w:rsidRPr="00805B6D" w:rsidRDefault="00274ECB" w:rsidP="003A40FB">
      <w:pPr>
        <w:pStyle w:val="NormalHanging12a"/>
        <w:rPr>
          <w:szCs w:val="24"/>
        </w:rPr>
      </w:pPr>
      <w:r w:rsidRPr="00805B6D">
        <w:rPr>
          <w:szCs w:val="24"/>
        </w:rPr>
        <w:t>–</w:t>
      </w:r>
      <w:r w:rsidRPr="00805B6D">
        <w:rPr>
          <w:szCs w:val="24"/>
        </w:rPr>
        <w:tab/>
        <w:t>having regard to the opinion adopted by the European Food Safety Authority (EFSA) on 10 May 2023, and published on 26 June 2023</w:t>
      </w:r>
      <w:r w:rsidRPr="00805B6D">
        <w:rPr>
          <w:rStyle w:val="FootnoteReference"/>
          <w:szCs w:val="24"/>
        </w:rPr>
        <w:footnoteReference w:id="4"/>
      </w:r>
      <w:r w:rsidRPr="00805B6D">
        <w:rPr>
          <w:szCs w:val="24"/>
        </w:rPr>
        <w:t>,</w:t>
      </w:r>
    </w:p>
    <w:p w14:paraId="6E24A8C6" w14:textId="77777777" w:rsidR="00274ECB" w:rsidRPr="00805B6D" w:rsidRDefault="00274ECB" w:rsidP="003A40FB">
      <w:pPr>
        <w:pStyle w:val="NormalHanging12a"/>
        <w:rPr>
          <w:szCs w:val="24"/>
          <w:shd w:val="clear" w:color="auto" w:fill="FFFFFF"/>
        </w:rPr>
      </w:pPr>
      <w:r w:rsidRPr="00805B6D">
        <w:rPr>
          <w:szCs w:val="24"/>
        </w:rPr>
        <w:lastRenderedPageBreak/>
        <w:t>–</w:t>
      </w:r>
      <w:r w:rsidRPr="00805B6D">
        <w:rPr>
          <w:szCs w:val="24"/>
          <w:shd w:val="clear" w:color="auto" w:fill="FFFFFF"/>
        </w:rPr>
        <w:tab/>
        <w:t>having regard to its previous resolutions objecting to the authorisation of genetically modified organisms (‘GMOs’)</w:t>
      </w:r>
      <w:r w:rsidRPr="00805B6D">
        <w:rPr>
          <w:szCs w:val="24"/>
          <w:shd w:val="clear" w:color="auto" w:fill="FFFFFF"/>
          <w:vertAlign w:val="superscript"/>
        </w:rPr>
        <w:footnoteReference w:id="5"/>
      </w:r>
      <w:r w:rsidRPr="00805B6D">
        <w:rPr>
          <w:szCs w:val="24"/>
          <w:shd w:val="clear" w:color="auto" w:fill="FFFFFF"/>
        </w:rPr>
        <w:t>,</w:t>
      </w:r>
    </w:p>
    <w:p w14:paraId="0F6BB795" w14:textId="77777777" w:rsidR="00274ECB" w:rsidRPr="00805B6D" w:rsidRDefault="00274ECB" w:rsidP="003A40FB">
      <w:pPr>
        <w:pStyle w:val="NormalHanging12a"/>
        <w:rPr>
          <w:szCs w:val="24"/>
        </w:rPr>
      </w:pPr>
      <w:r w:rsidRPr="00805B6D">
        <w:rPr>
          <w:szCs w:val="24"/>
        </w:rPr>
        <w:t>–</w:t>
      </w:r>
      <w:r w:rsidRPr="00805B6D">
        <w:rPr>
          <w:szCs w:val="24"/>
        </w:rPr>
        <w:tab/>
        <w:t>having regard to Rule 115(2) and (3) of its Rules of Procedure,</w:t>
      </w:r>
    </w:p>
    <w:p w14:paraId="326E8827" w14:textId="77777777" w:rsidR="00274ECB" w:rsidRPr="00805B6D" w:rsidRDefault="00274ECB" w:rsidP="003A40FB">
      <w:pPr>
        <w:pStyle w:val="NormalHanging12a"/>
        <w:rPr>
          <w:szCs w:val="24"/>
        </w:rPr>
      </w:pPr>
      <w:r w:rsidRPr="00805B6D">
        <w:rPr>
          <w:szCs w:val="24"/>
        </w:rPr>
        <w:t>–</w:t>
      </w:r>
      <w:r w:rsidRPr="00805B6D">
        <w:rPr>
          <w:szCs w:val="24"/>
        </w:rPr>
        <w:tab/>
        <w:t>having regard to the motion for a resolution of the Committee on the Environment, Public Health and Food Safety,</w:t>
      </w:r>
    </w:p>
    <w:p w14:paraId="5569FC69" w14:textId="77777777" w:rsidR="00274ECB" w:rsidRPr="00805B6D" w:rsidRDefault="00274ECB" w:rsidP="003A40FB">
      <w:pPr>
        <w:pStyle w:val="NormalHanging12a"/>
        <w:rPr>
          <w:szCs w:val="24"/>
        </w:rPr>
      </w:pPr>
      <w:proofErr w:type="gramStart"/>
      <w:r w:rsidRPr="00805B6D">
        <w:rPr>
          <w:szCs w:val="24"/>
        </w:rPr>
        <w:t>A.</w:t>
      </w:r>
      <w:r w:rsidRPr="00805B6D">
        <w:rPr>
          <w:szCs w:val="24"/>
        </w:rPr>
        <w:tab/>
        <w:t>whereas, on 31 March 2017, Syngenta Crop Protection NV/SA, based in Belgium, submitted, on behalf of Syngenta Crop Protection AG, based in Switzerland, an application to the national competent authority of Germany for the placing on the market of foods, food ingredients and feed containing, consisting of or produced from genetically modified cotton COT102 (the ‘GM cotton’), in accordance with Articles 5 and 17 of Regulation (EC) No 1829/2003 (‘the application’); whereas the application also covered the placing on the market of products containing or consisting of the GM cotton for uses other than food and feed, with the exception of cultivation;</w:t>
      </w:r>
      <w:proofErr w:type="gramEnd"/>
      <w:r w:rsidRPr="00805B6D">
        <w:rPr>
          <w:szCs w:val="24"/>
        </w:rPr>
        <w:t xml:space="preserve"> </w:t>
      </w:r>
    </w:p>
    <w:p w14:paraId="5E05237B" w14:textId="77777777" w:rsidR="00274ECB" w:rsidRPr="00805B6D" w:rsidRDefault="00274ECB" w:rsidP="003A40FB">
      <w:pPr>
        <w:pStyle w:val="NormalHanging12a"/>
        <w:rPr>
          <w:szCs w:val="24"/>
        </w:rPr>
      </w:pPr>
      <w:r w:rsidRPr="00805B6D">
        <w:rPr>
          <w:szCs w:val="24"/>
        </w:rPr>
        <w:t>B.</w:t>
      </w:r>
      <w:r w:rsidRPr="00805B6D">
        <w:rPr>
          <w:szCs w:val="24"/>
        </w:rPr>
        <w:tab/>
        <w:t>whereas, on 10 May 2023, EFSA adopted a favourable opinion, which was published on 26 June 2023, concluding that the GM cotton is as safe as its non-GM comparator and the tested non-GM cotton varieties with respect to potential effects on human and animal health and the environment;</w:t>
      </w:r>
    </w:p>
    <w:p w14:paraId="062F0FA3" w14:textId="77777777" w:rsidR="00274ECB" w:rsidRPr="00805B6D" w:rsidRDefault="00274ECB" w:rsidP="003A40FB">
      <w:pPr>
        <w:pStyle w:val="NormalHanging12a"/>
        <w:rPr>
          <w:szCs w:val="24"/>
        </w:rPr>
      </w:pPr>
      <w:r w:rsidRPr="00805B6D">
        <w:rPr>
          <w:szCs w:val="24"/>
        </w:rPr>
        <w:t>C.</w:t>
      </w:r>
      <w:r w:rsidRPr="00805B6D">
        <w:rPr>
          <w:szCs w:val="24"/>
        </w:rPr>
        <w:tab/>
        <w:t>whereas the GM cotton contains genes producing insecticidal proteins (‘</w:t>
      </w:r>
      <w:proofErr w:type="spellStart"/>
      <w:r w:rsidRPr="00805B6D">
        <w:rPr>
          <w:szCs w:val="24"/>
        </w:rPr>
        <w:t>Bt</w:t>
      </w:r>
      <w:proofErr w:type="spellEnd"/>
      <w:r w:rsidRPr="00805B6D">
        <w:rPr>
          <w:szCs w:val="24"/>
        </w:rPr>
        <w:t xml:space="preserve"> toxins’) and an antibiotic resistance marker gene (‘ARMG’);</w:t>
      </w:r>
    </w:p>
    <w:p w14:paraId="56778D8C" w14:textId="77777777" w:rsidR="00274ECB" w:rsidRPr="00805B6D" w:rsidRDefault="00274ECB" w:rsidP="003A40FB">
      <w:pPr>
        <w:pStyle w:val="NormalHanging12a"/>
        <w:rPr>
          <w:szCs w:val="24"/>
        </w:rPr>
      </w:pPr>
      <w:proofErr w:type="gramStart"/>
      <w:r w:rsidRPr="00805B6D">
        <w:rPr>
          <w:szCs w:val="24"/>
        </w:rPr>
        <w:t>D.</w:t>
      </w:r>
      <w:r w:rsidRPr="00805B6D">
        <w:rPr>
          <w:szCs w:val="24"/>
        </w:rPr>
        <w:tab/>
        <w:t xml:space="preserve">whereas cottonseed oil may be used in the production of a wide variety of food products such as dressings, mayonnaise, fine bakery wares, chocolate spreads and chips; whereas consumption of cottonseed flour is the most likely way in which humans could be exposed to the two proteins resulting from the genetic modification; whereas cotton is commonly used in animal feed in the form of </w:t>
      </w:r>
      <w:proofErr w:type="spellStart"/>
      <w:r w:rsidRPr="00805B6D">
        <w:rPr>
          <w:szCs w:val="24"/>
        </w:rPr>
        <w:t>undelinted</w:t>
      </w:r>
      <w:proofErr w:type="spellEnd"/>
      <w:r w:rsidRPr="00805B6D">
        <w:rPr>
          <w:szCs w:val="24"/>
        </w:rPr>
        <w:t xml:space="preserve"> seeds and meal;</w:t>
      </w:r>
      <w:proofErr w:type="gramEnd"/>
      <w:r w:rsidRPr="00805B6D">
        <w:rPr>
          <w:szCs w:val="24"/>
        </w:rPr>
        <w:t xml:space="preserve"> </w:t>
      </w:r>
    </w:p>
    <w:p w14:paraId="437E0994" w14:textId="77777777" w:rsidR="00274ECB" w:rsidRPr="00805B6D" w:rsidRDefault="00274ECB" w:rsidP="003A40FB">
      <w:pPr>
        <w:pStyle w:val="NormalHanging12a"/>
        <w:rPr>
          <w:b/>
          <w:i/>
        </w:rPr>
      </w:pPr>
      <w:r w:rsidRPr="00805B6D">
        <w:rPr>
          <w:b/>
          <w:i/>
        </w:rPr>
        <w:t xml:space="preserve">Outstanding questions concerning </w:t>
      </w:r>
      <w:proofErr w:type="spellStart"/>
      <w:proofErr w:type="gramStart"/>
      <w:r w:rsidRPr="00805B6D">
        <w:rPr>
          <w:b/>
          <w:i/>
        </w:rPr>
        <w:t>Bt</w:t>
      </w:r>
      <w:proofErr w:type="spellEnd"/>
      <w:proofErr w:type="gramEnd"/>
      <w:r w:rsidRPr="00805B6D">
        <w:rPr>
          <w:b/>
          <w:i/>
        </w:rPr>
        <w:t xml:space="preserve"> toxins</w:t>
      </w:r>
    </w:p>
    <w:p w14:paraId="554244D0" w14:textId="77777777" w:rsidR="00274ECB" w:rsidRPr="00805B6D" w:rsidRDefault="00274ECB" w:rsidP="003A40FB">
      <w:pPr>
        <w:pStyle w:val="NormalHanging12a"/>
        <w:rPr>
          <w:szCs w:val="24"/>
        </w:rPr>
      </w:pPr>
      <w:proofErr w:type="gramStart"/>
      <w:r w:rsidRPr="00805B6D">
        <w:rPr>
          <w:szCs w:val="24"/>
        </w:rPr>
        <w:t>E.</w:t>
      </w:r>
      <w:r w:rsidRPr="00805B6D">
        <w:rPr>
          <w:szCs w:val="24"/>
        </w:rPr>
        <w:tab/>
        <w:t xml:space="preserve">whereas the toxicity of the </w:t>
      </w:r>
      <w:proofErr w:type="spellStart"/>
      <w:r w:rsidRPr="00805B6D">
        <w:rPr>
          <w:szCs w:val="24"/>
        </w:rPr>
        <w:t>Bt</w:t>
      </w:r>
      <w:proofErr w:type="spellEnd"/>
      <w:r w:rsidRPr="00805B6D">
        <w:rPr>
          <w:szCs w:val="24"/>
        </w:rPr>
        <w:t xml:space="preserve"> toxins was assessed on the basis of feeding studies using only isolated </w:t>
      </w:r>
      <w:proofErr w:type="spellStart"/>
      <w:r w:rsidRPr="00805B6D">
        <w:rPr>
          <w:szCs w:val="24"/>
        </w:rPr>
        <w:t>Bt</w:t>
      </w:r>
      <w:proofErr w:type="spellEnd"/>
      <w:r w:rsidRPr="00805B6D">
        <w:rPr>
          <w:szCs w:val="24"/>
        </w:rPr>
        <w:t xml:space="preserve"> proteins produced by bacteria; whereas little significance can be attributed to toxicological tests conducted with proteins in isolation, due to the fact that </w:t>
      </w:r>
      <w:proofErr w:type="spellStart"/>
      <w:r w:rsidRPr="00805B6D">
        <w:rPr>
          <w:szCs w:val="24"/>
        </w:rPr>
        <w:t>Bt</w:t>
      </w:r>
      <w:proofErr w:type="spellEnd"/>
      <w:r w:rsidRPr="00805B6D">
        <w:rPr>
          <w:szCs w:val="24"/>
        </w:rPr>
        <w:t xml:space="preserve"> toxins in GM crops, such as maize, cotton and soybeans, are inherently more toxic than isolated </w:t>
      </w:r>
      <w:proofErr w:type="spellStart"/>
      <w:r w:rsidRPr="00805B6D">
        <w:rPr>
          <w:szCs w:val="24"/>
        </w:rPr>
        <w:t>Bt</w:t>
      </w:r>
      <w:proofErr w:type="spellEnd"/>
      <w:r w:rsidRPr="00805B6D">
        <w:rPr>
          <w:szCs w:val="24"/>
        </w:rPr>
        <w:t xml:space="preserve"> toxins; whereas this is because protease inhibitors (PI), present in the plant tissue, can increase the toxicity of the </w:t>
      </w:r>
      <w:proofErr w:type="spellStart"/>
      <w:r w:rsidRPr="00805B6D">
        <w:rPr>
          <w:szCs w:val="24"/>
        </w:rPr>
        <w:t>Bt</w:t>
      </w:r>
      <w:proofErr w:type="spellEnd"/>
      <w:r w:rsidRPr="00805B6D">
        <w:rPr>
          <w:szCs w:val="24"/>
        </w:rPr>
        <w:t xml:space="preserve"> toxins by delaying their degradation; whereas this phenomenon has been demonstrated in a number of scientific studies, including one conducted for Monsanto which showed that even the presence of extremely low levels of PI enhanced the toxicity of </w:t>
      </w:r>
      <w:proofErr w:type="spellStart"/>
      <w:r w:rsidRPr="00805B6D">
        <w:rPr>
          <w:szCs w:val="24"/>
        </w:rPr>
        <w:t>Bt</w:t>
      </w:r>
      <w:proofErr w:type="spellEnd"/>
      <w:r w:rsidRPr="00805B6D">
        <w:rPr>
          <w:szCs w:val="24"/>
        </w:rPr>
        <w:t xml:space="preserve"> toxins up to 20-fold</w:t>
      </w:r>
      <w:r w:rsidRPr="00805B6D">
        <w:rPr>
          <w:rStyle w:val="FootnoteReference"/>
          <w:szCs w:val="24"/>
        </w:rPr>
        <w:footnoteReference w:id="6"/>
      </w:r>
      <w:r w:rsidRPr="00805B6D">
        <w:rPr>
          <w:szCs w:val="24"/>
        </w:rPr>
        <w:t>;</w:t>
      </w:r>
      <w:proofErr w:type="gramEnd"/>
    </w:p>
    <w:p w14:paraId="6A56B56E" w14:textId="77777777" w:rsidR="00274ECB" w:rsidRPr="00805B6D" w:rsidRDefault="00274ECB" w:rsidP="003A40FB">
      <w:pPr>
        <w:pStyle w:val="NormalHanging12a"/>
        <w:rPr>
          <w:szCs w:val="24"/>
        </w:rPr>
      </w:pPr>
      <w:proofErr w:type="gramStart"/>
      <w:r w:rsidRPr="00805B6D">
        <w:rPr>
          <w:szCs w:val="24"/>
        </w:rPr>
        <w:t>F.</w:t>
      </w:r>
      <w:r w:rsidRPr="00805B6D">
        <w:rPr>
          <w:szCs w:val="24"/>
        </w:rPr>
        <w:tab/>
        <w:t xml:space="preserve">whereas this enhanced toxicity is not taken into account in EFSA risk assessments, even though it is relevant for all </w:t>
      </w:r>
      <w:proofErr w:type="spellStart"/>
      <w:r w:rsidRPr="00805B6D">
        <w:rPr>
          <w:szCs w:val="24"/>
        </w:rPr>
        <w:t>Bt</w:t>
      </w:r>
      <w:proofErr w:type="spellEnd"/>
      <w:r w:rsidRPr="00805B6D">
        <w:rPr>
          <w:szCs w:val="24"/>
        </w:rPr>
        <w:t xml:space="preserve"> plants approved for import or cultivation in the Union; </w:t>
      </w:r>
      <w:r w:rsidRPr="00805B6D">
        <w:rPr>
          <w:szCs w:val="24"/>
        </w:rPr>
        <w:lastRenderedPageBreak/>
        <w:t xml:space="preserve">whereas risks to humans and animals that consume food and feed containing </w:t>
      </w:r>
      <w:proofErr w:type="spellStart"/>
      <w:r w:rsidRPr="00805B6D">
        <w:rPr>
          <w:szCs w:val="24"/>
        </w:rPr>
        <w:t>Bt</w:t>
      </w:r>
      <w:proofErr w:type="spellEnd"/>
      <w:r w:rsidRPr="00805B6D">
        <w:rPr>
          <w:szCs w:val="24"/>
        </w:rPr>
        <w:t xml:space="preserve"> toxins and which arise from this enhanced toxicity due to the interaction between PI and </w:t>
      </w:r>
      <w:proofErr w:type="spellStart"/>
      <w:r w:rsidRPr="00805B6D">
        <w:rPr>
          <w:szCs w:val="24"/>
        </w:rPr>
        <w:t>Bt</w:t>
      </w:r>
      <w:proofErr w:type="spellEnd"/>
      <w:r w:rsidRPr="00805B6D">
        <w:rPr>
          <w:szCs w:val="24"/>
        </w:rPr>
        <w:t xml:space="preserve"> toxins cannot, therefore, be ruled out;</w:t>
      </w:r>
      <w:proofErr w:type="gramEnd"/>
    </w:p>
    <w:p w14:paraId="1B7B1CF2" w14:textId="77777777" w:rsidR="00274ECB" w:rsidRPr="00805B6D" w:rsidRDefault="00274ECB" w:rsidP="003A40FB">
      <w:pPr>
        <w:pStyle w:val="NormalHanging12a"/>
        <w:rPr>
          <w:szCs w:val="24"/>
        </w:rPr>
      </w:pPr>
      <w:r w:rsidRPr="00805B6D">
        <w:rPr>
          <w:szCs w:val="24"/>
        </w:rPr>
        <w:t>G.</w:t>
      </w:r>
      <w:r w:rsidRPr="00805B6D">
        <w:rPr>
          <w:szCs w:val="24"/>
        </w:rPr>
        <w:tab/>
        <w:t xml:space="preserve">whereas a number of studies show that side effects have been observed that may affect the immune system following exposure to </w:t>
      </w:r>
      <w:proofErr w:type="spellStart"/>
      <w:r w:rsidRPr="00805B6D">
        <w:rPr>
          <w:szCs w:val="24"/>
        </w:rPr>
        <w:t>Bt</w:t>
      </w:r>
      <w:proofErr w:type="spellEnd"/>
      <w:r w:rsidRPr="00805B6D">
        <w:rPr>
          <w:szCs w:val="24"/>
        </w:rPr>
        <w:t xml:space="preserve"> toxins and that some </w:t>
      </w:r>
      <w:proofErr w:type="spellStart"/>
      <w:r w:rsidRPr="00805B6D">
        <w:rPr>
          <w:szCs w:val="24"/>
        </w:rPr>
        <w:t>Bt</w:t>
      </w:r>
      <w:proofErr w:type="spellEnd"/>
      <w:r w:rsidRPr="00805B6D">
        <w:rPr>
          <w:szCs w:val="24"/>
        </w:rPr>
        <w:t xml:space="preserve"> toxins may have adjuvant properties</w:t>
      </w:r>
      <w:r w:rsidRPr="00805B6D">
        <w:rPr>
          <w:rStyle w:val="FootnoteReference"/>
          <w:szCs w:val="24"/>
        </w:rPr>
        <w:footnoteReference w:id="7"/>
      </w:r>
      <w:r w:rsidRPr="00805B6D">
        <w:rPr>
          <w:szCs w:val="24"/>
        </w:rPr>
        <w:t xml:space="preserve">, meaning that they can increase the </w:t>
      </w:r>
      <w:proofErr w:type="spellStart"/>
      <w:r w:rsidRPr="00805B6D">
        <w:rPr>
          <w:szCs w:val="24"/>
        </w:rPr>
        <w:t>allergenicity</w:t>
      </w:r>
      <w:proofErr w:type="spellEnd"/>
      <w:r w:rsidRPr="00805B6D">
        <w:rPr>
          <w:szCs w:val="24"/>
        </w:rPr>
        <w:t xml:space="preserve"> of other proteins with which they come into contact;</w:t>
      </w:r>
    </w:p>
    <w:p w14:paraId="5D123D8A" w14:textId="77777777" w:rsidR="00274ECB" w:rsidRPr="00805B6D" w:rsidRDefault="00274ECB" w:rsidP="003A40FB">
      <w:pPr>
        <w:pStyle w:val="NormalHanging12a"/>
        <w:rPr>
          <w:b/>
          <w:i/>
          <w:szCs w:val="24"/>
        </w:rPr>
      </w:pPr>
      <w:proofErr w:type="spellStart"/>
      <w:proofErr w:type="gramStart"/>
      <w:r w:rsidRPr="00805B6D">
        <w:rPr>
          <w:b/>
          <w:i/>
          <w:szCs w:val="24"/>
        </w:rPr>
        <w:t>Bt</w:t>
      </w:r>
      <w:proofErr w:type="spellEnd"/>
      <w:proofErr w:type="gramEnd"/>
      <w:r w:rsidRPr="00805B6D">
        <w:rPr>
          <w:b/>
          <w:i/>
          <w:szCs w:val="24"/>
        </w:rPr>
        <w:t xml:space="preserve"> crops: effects on non-target organisms</w:t>
      </w:r>
    </w:p>
    <w:p w14:paraId="1FCFB7DE" w14:textId="77777777" w:rsidR="00274ECB" w:rsidRPr="00805B6D" w:rsidRDefault="00274ECB" w:rsidP="003A40FB">
      <w:pPr>
        <w:pStyle w:val="NormalHanging12a"/>
      </w:pPr>
      <w:r w:rsidRPr="00805B6D">
        <w:t>H.</w:t>
      </w:r>
      <w:r w:rsidRPr="00805B6D">
        <w:tab/>
        <w:t xml:space="preserve">whereas, unlike the use of insecticides, where exposure is at the time of spraying and for a limited time afterwards, the use of </w:t>
      </w:r>
      <w:proofErr w:type="spellStart"/>
      <w:r w:rsidRPr="00805B6D">
        <w:t>Bt</w:t>
      </w:r>
      <w:proofErr w:type="spellEnd"/>
      <w:r w:rsidRPr="00805B6D">
        <w:t xml:space="preserve"> GM crops leads to continuous exposure of the target and non-target organisms to </w:t>
      </w:r>
      <w:proofErr w:type="spellStart"/>
      <w:r w:rsidRPr="00805B6D">
        <w:t>Bt</w:t>
      </w:r>
      <w:proofErr w:type="spellEnd"/>
      <w:r w:rsidRPr="00805B6D">
        <w:t xml:space="preserve"> toxins;</w:t>
      </w:r>
    </w:p>
    <w:p w14:paraId="7ECD863A" w14:textId="77777777" w:rsidR="00274ECB" w:rsidRPr="00805B6D" w:rsidRDefault="00274ECB" w:rsidP="003A40FB">
      <w:pPr>
        <w:pStyle w:val="NormalHanging12a"/>
      </w:pPr>
      <w:r w:rsidRPr="00805B6D">
        <w:t>I.</w:t>
      </w:r>
      <w:r w:rsidRPr="00805B6D">
        <w:tab/>
        <w:t xml:space="preserve">whereas the assumption that </w:t>
      </w:r>
      <w:proofErr w:type="spellStart"/>
      <w:proofErr w:type="gramStart"/>
      <w:r w:rsidRPr="00805B6D">
        <w:t>Bt</w:t>
      </w:r>
      <w:proofErr w:type="spellEnd"/>
      <w:proofErr w:type="gramEnd"/>
      <w:r w:rsidRPr="00805B6D">
        <w:t xml:space="preserve"> toxins exhibit a single target-specific mode-of-action can no longer be considered correct and effects on non-target organisms cannot be excluded</w:t>
      </w:r>
      <w:r w:rsidRPr="00805B6D">
        <w:rPr>
          <w:rStyle w:val="FootnoteReference"/>
        </w:rPr>
        <w:footnoteReference w:id="8"/>
      </w:r>
      <w:r w:rsidRPr="00805B6D">
        <w:t xml:space="preserve">; </w:t>
      </w:r>
    </w:p>
    <w:p w14:paraId="2DA36352" w14:textId="77777777" w:rsidR="00274ECB" w:rsidRPr="00805B6D" w:rsidRDefault="00274ECB" w:rsidP="003A40FB">
      <w:pPr>
        <w:pStyle w:val="NormalHanging12a"/>
      </w:pPr>
      <w:r w:rsidRPr="00805B6D">
        <w:t>J.</w:t>
      </w:r>
      <w:r w:rsidRPr="00805B6D">
        <w:tab/>
        <w:t xml:space="preserve">whereas an increasing number of non-target organisms are reported to be affected in many ways; whereas 39 peer-reviewed publications that report significant adverse effects of </w:t>
      </w:r>
      <w:proofErr w:type="spellStart"/>
      <w:r w:rsidRPr="00805B6D">
        <w:t>Bt</w:t>
      </w:r>
      <w:proofErr w:type="spellEnd"/>
      <w:r w:rsidRPr="00805B6D">
        <w:t xml:space="preserve"> toxins on many ‘out-of-range’ species are mentioned in a recent overview</w:t>
      </w:r>
      <w:r w:rsidRPr="00805B6D">
        <w:rPr>
          <w:rStyle w:val="FootnoteReference"/>
        </w:rPr>
        <w:footnoteReference w:id="9"/>
      </w:r>
      <w:r w:rsidRPr="00805B6D">
        <w:t>;</w:t>
      </w:r>
    </w:p>
    <w:p w14:paraId="70260B31" w14:textId="77777777" w:rsidR="00274ECB" w:rsidRPr="00805B6D" w:rsidRDefault="00274ECB" w:rsidP="003A40FB">
      <w:pPr>
        <w:pStyle w:val="NormalHanging12a"/>
        <w:rPr>
          <w:b/>
          <w:i/>
        </w:rPr>
      </w:pPr>
      <w:r w:rsidRPr="00805B6D">
        <w:rPr>
          <w:b/>
          <w:i/>
        </w:rPr>
        <w:t>Reducing dependency on imported feed</w:t>
      </w:r>
    </w:p>
    <w:p w14:paraId="7E883ECC" w14:textId="77777777" w:rsidR="00274ECB" w:rsidRPr="00805B6D" w:rsidRDefault="00274ECB" w:rsidP="003A40FB">
      <w:pPr>
        <w:pStyle w:val="NormalHanging12a"/>
      </w:pPr>
      <w:r w:rsidRPr="00805B6D">
        <w:t>K.</w:t>
      </w:r>
      <w:r w:rsidRPr="00805B6D">
        <w:tab/>
        <w:t xml:space="preserve">whereas one of the lessons from the COVID-19 crisis and the still ongoing war in Ukraine is the need for the Union to end the dependencies on some critical materials; whereas in the mission letter to Commissioner-designate Christophe Hansen, Commission President Ursula von der </w:t>
      </w:r>
      <w:proofErr w:type="spellStart"/>
      <w:r w:rsidRPr="00805B6D">
        <w:t>Leyen</w:t>
      </w:r>
      <w:proofErr w:type="spellEnd"/>
      <w:r w:rsidRPr="00805B6D">
        <w:t xml:space="preserve"> asks him to look at ways to reduce imports of critical commodities</w:t>
      </w:r>
      <w:r w:rsidRPr="00805B6D">
        <w:rPr>
          <w:rStyle w:val="FootnoteReference"/>
        </w:rPr>
        <w:footnoteReference w:id="10"/>
      </w:r>
      <w:r w:rsidRPr="00805B6D">
        <w:t xml:space="preserve">; </w:t>
      </w:r>
    </w:p>
    <w:p w14:paraId="4BDE1CCF" w14:textId="77777777" w:rsidR="00274ECB" w:rsidRPr="00805B6D" w:rsidRDefault="00274ECB" w:rsidP="003A40FB">
      <w:pPr>
        <w:pStyle w:val="NormalHanging12a"/>
        <w:rPr>
          <w:b/>
          <w:i/>
        </w:rPr>
      </w:pPr>
      <w:r w:rsidRPr="00805B6D">
        <w:rPr>
          <w:b/>
          <w:i/>
        </w:rPr>
        <w:t>Inclusion of ARMG</w:t>
      </w:r>
    </w:p>
    <w:p w14:paraId="2303FF0D" w14:textId="77777777" w:rsidR="00274ECB" w:rsidRPr="00805B6D" w:rsidRDefault="00274ECB" w:rsidP="003A40FB">
      <w:pPr>
        <w:pStyle w:val="NormalHanging12a"/>
      </w:pPr>
      <w:r w:rsidRPr="00805B6D">
        <w:t>L.</w:t>
      </w:r>
      <w:r w:rsidRPr="00805B6D">
        <w:tab/>
        <w:t xml:space="preserve">whereas the GM cotton produces the APH4 protein, which is used as an ARMG and which deactivates the activity of the antibiotic </w:t>
      </w:r>
      <w:proofErr w:type="spellStart"/>
      <w:r w:rsidRPr="00805B6D">
        <w:t>hygromycin</w:t>
      </w:r>
      <w:proofErr w:type="spellEnd"/>
      <w:r w:rsidRPr="00805B6D">
        <w:t xml:space="preserve"> B;</w:t>
      </w:r>
    </w:p>
    <w:p w14:paraId="6B5C64FF" w14:textId="77777777" w:rsidR="00274ECB" w:rsidRPr="00805B6D" w:rsidRDefault="00274ECB" w:rsidP="003A40FB">
      <w:pPr>
        <w:pStyle w:val="NormalHanging12a"/>
      </w:pPr>
      <w:proofErr w:type="gramStart"/>
      <w:r w:rsidRPr="00805B6D">
        <w:t>M.</w:t>
      </w:r>
      <w:r w:rsidRPr="00805B6D">
        <w:tab/>
        <w:t xml:space="preserve">whereas Article 4(2) of Directive 2001/18/EC of the European Parliament and of the </w:t>
      </w:r>
      <w:r w:rsidRPr="00805B6D">
        <w:lastRenderedPageBreak/>
        <w:t>Council</w:t>
      </w:r>
      <w:r w:rsidRPr="00805B6D">
        <w:rPr>
          <w:rStyle w:val="FootnoteReference"/>
        </w:rPr>
        <w:footnoteReference w:id="11"/>
      </w:r>
      <w:r w:rsidRPr="00805B6D">
        <w:t xml:space="preserve"> requires that ‘GMOs which contain genes expressing resistance to antibiotics in use for medical or veterinary treatment are taken into particular consideration when carrying out an environmental risk assessment, with a view to identifying and phasing out antibiotic resistance markers in GMOs which may have adverse effects on human health and the environment’ and sets a deadline of 2004, beyond which they should not be placed on the Union market;</w:t>
      </w:r>
      <w:proofErr w:type="gramEnd"/>
    </w:p>
    <w:p w14:paraId="529B6B38" w14:textId="77777777" w:rsidR="00274ECB" w:rsidRPr="00805B6D" w:rsidRDefault="00274ECB" w:rsidP="003A40FB">
      <w:pPr>
        <w:pStyle w:val="NormalHanging12a"/>
      </w:pPr>
      <w:r w:rsidRPr="00805B6D">
        <w:t>N.</w:t>
      </w:r>
      <w:r w:rsidRPr="00805B6D">
        <w:tab/>
        <w:t>whereas Commission Implementing Regulation (EU) No 503/2013</w:t>
      </w:r>
      <w:r w:rsidRPr="00805B6D">
        <w:rPr>
          <w:rStyle w:val="FootnoteReference"/>
        </w:rPr>
        <w:footnoteReference w:id="12"/>
      </w:r>
      <w:r w:rsidRPr="00805B6D">
        <w:t xml:space="preserve"> states that it is now possible to develop GMOs without the use of ARMGs [...] the applicant should therefore aim to develop GMOs without the use of ARMGs</w:t>
      </w:r>
      <w:proofErr w:type="gramStart"/>
      <w:r w:rsidRPr="00805B6D">
        <w:t>;</w:t>
      </w:r>
      <w:proofErr w:type="gramEnd"/>
    </w:p>
    <w:p w14:paraId="2F6D226E" w14:textId="77777777" w:rsidR="00274ECB" w:rsidRPr="00805B6D" w:rsidRDefault="00274ECB" w:rsidP="003A40FB">
      <w:pPr>
        <w:pStyle w:val="NormalHanging12a"/>
      </w:pPr>
      <w:proofErr w:type="gramStart"/>
      <w:r w:rsidRPr="00805B6D">
        <w:t>O.</w:t>
      </w:r>
      <w:r w:rsidRPr="00805B6D">
        <w:tab/>
        <w:t>whereas several Member States raised critical comments regarding the use of ARMGs, including that, in the face of the current crisis concerning antibiotic resistance, it would be wise to implement the precautionary principle, especially in the present case where the application of the ARMG is completely unnecessary and the removal of the ARMG from the plant genome possible; whereas one Member State’s competent authority gave the authorisation an unfavourable opinion based on the presence of the ARMG in the genome of the GM cotton;</w:t>
      </w:r>
      <w:proofErr w:type="gramEnd"/>
    </w:p>
    <w:p w14:paraId="08CE9CB2" w14:textId="77777777" w:rsidR="00274ECB" w:rsidRPr="00805B6D" w:rsidRDefault="00274ECB" w:rsidP="003A40FB">
      <w:pPr>
        <w:pStyle w:val="NormalHanging12a"/>
      </w:pPr>
      <w:proofErr w:type="gramStart"/>
      <w:r w:rsidRPr="00805B6D">
        <w:t>P.</w:t>
      </w:r>
      <w:r w:rsidRPr="00805B6D">
        <w:tab/>
        <w:t>whereas the European Medicine</w:t>
      </w:r>
      <w:r w:rsidR="004802B9" w:rsidRPr="00805B6D">
        <w:t>s</w:t>
      </w:r>
      <w:r w:rsidRPr="00805B6D">
        <w:t xml:space="preserve"> Agency has confirmed there are no products containing </w:t>
      </w:r>
      <w:proofErr w:type="spellStart"/>
      <w:r w:rsidRPr="00805B6D">
        <w:t>hygromycin</w:t>
      </w:r>
      <w:proofErr w:type="spellEnd"/>
      <w:r w:rsidRPr="00805B6D">
        <w:t xml:space="preserve"> B authorised for therapeutic, prophylactic or any other medical uses in humans or animals in the Member States and there are no central authorisations for human or veterinary use for medicinal products that contain </w:t>
      </w:r>
      <w:proofErr w:type="spellStart"/>
      <w:r w:rsidRPr="00805B6D">
        <w:t>hygromycin</w:t>
      </w:r>
      <w:proofErr w:type="spellEnd"/>
      <w:r w:rsidRPr="00805B6D">
        <w:t xml:space="preserve"> B11; whereas the EFSA opinion states that ‘the GMO Panel considers that the risk assessment may need to be updated in case products containing </w:t>
      </w:r>
      <w:proofErr w:type="spellStart"/>
      <w:r w:rsidRPr="00805B6D">
        <w:t>hygromycin</w:t>
      </w:r>
      <w:proofErr w:type="spellEnd"/>
      <w:r w:rsidRPr="00805B6D">
        <w:t xml:space="preserve"> B or other substrates of the APH4 enzyme obtain future market approval in the EU’; whereas, however, </w:t>
      </w:r>
      <w:proofErr w:type="spellStart"/>
      <w:r w:rsidRPr="00805B6D">
        <w:t>hygromycin</w:t>
      </w:r>
      <w:proofErr w:type="spellEnd"/>
      <w:r w:rsidRPr="00805B6D">
        <w:t xml:space="preserve"> B is used in veterinary products which are sold outside the Union;</w:t>
      </w:r>
      <w:proofErr w:type="gramEnd"/>
      <w:r w:rsidRPr="00805B6D">
        <w:t xml:space="preserve"> </w:t>
      </w:r>
    </w:p>
    <w:p w14:paraId="795E1E1F" w14:textId="77777777" w:rsidR="00274ECB" w:rsidRPr="00805B6D" w:rsidRDefault="00274ECB" w:rsidP="003A40FB">
      <w:pPr>
        <w:pStyle w:val="NormalHanging12a"/>
      </w:pPr>
      <w:r w:rsidRPr="00805B6D">
        <w:t>Q.</w:t>
      </w:r>
      <w:r w:rsidRPr="00805B6D">
        <w:tab/>
        <w:t xml:space="preserve">whereas the Parliament has, on at least one previous occasion, objected to the import of GM </w:t>
      </w:r>
      <w:proofErr w:type="gramStart"/>
      <w:r w:rsidRPr="00805B6D">
        <w:t>crops which</w:t>
      </w:r>
      <w:proofErr w:type="gramEnd"/>
      <w:r w:rsidRPr="00805B6D">
        <w:t xml:space="preserve"> contained ARMGs</w:t>
      </w:r>
      <w:r w:rsidRPr="00805B6D">
        <w:rPr>
          <w:rStyle w:val="FootnoteReference"/>
        </w:rPr>
        <w:footnoteReference w:id="13"/>
      </w:r>
      <w:r w:rsidRPr="00805B6D">
        <w:t>;</w:t>
      </w:r>
    </w:p>
    <w:p w14:paraId="2AB673B7" w14:textId="77777777" w:rsidR="00274ECB" w:rsidRPr="00805B6D" w:rsidRDefault="00274ECB" w:rsidP="003A40FB">
      <w:pPr>
        <w:pStyle w:val="NormalHanging12a"/>
      </w:pPr>
      <w:r w:rsidRPr="00805B6D">
        <w:t>R.</w:t>
      </w:r>
      <w:r w:rsidRPr="00805B6D">
        <w:tab/>
        <w:t xml:space="preserve">whereas antimicrobial resistance poses a threat to global health, food security, and achieving the 2030 Sustainable Development Goals, and drug-resistant infections know </w:t>
      </w:r>
      <w:r w:rsidRPr="00805B6D">
        <w:lastRenderedPageBreak/>
        <w:t>no borders</w:t>
      </w:r>
      <w:r w:rsidRPr="00805B6D">
        <w:rPr>
          <w:rStyle w:val="FootnoteReference"/>
        </w:rPr>
        <w:footnoteReference w:id="14"/>
      </w:r>
      <w:r w:rsidRPr="00805B6D">
        <w:t>;</w:t>
      </w:r>
    </w:p>
    <w:p w14:paraId="3481EF0D" w14:textId="77777777" w:rsidR="00274ECB" w:rsidRPr="00805B6D" w:rsidRDefault="00274ECB" w:rsidP="003A40FB">
      <w:pPr>
        <w:pStyle w:val="NormalHanging12a"/>
        <w:rPr>
          <w:b/>
          <w:i/>
        </w:rPr>
      </w:pPr>
      <w:r w:rsidRPr="00805B6D">
        <w:rPr>
          <w:b/>
          <w:i/>
        </w:rPr>
        <w:t>Member State competent authority and stakeholder comments</w:t>
      </w:r>
    </w:p>
    <w:p w14:paraId="77BC88B5" w14:textId="77777777" w:rsidR="00274ECB" w:rsidRPr="00805B6D" w:rsidRDefault="00274ECB" w:rsidP="003A40FB">
      <w:pPr>
        <w:pStyle w:val="NormalHanging12a"/>
      </w:pPr>
      <w:proofErr w:type="gramStart"/>
      <w:r w:rsidRPr="00805B6D">
        <w:t>S.</w:t>
      </w:r>
      <w:r w:rsidRPr="00805B6D">
        <w:tab/>
        <w:t>whereas Member States submitted many critical comments to EFSA during the three-month consultation period</w:t>
      </w:r>
      <w:r w:rsidRPr="00805B6D">
        <w:rPr>
          <w:rStyle w:val="FootnoteReference"/>
        </w:rPr>
        <w:footnoteReference w:id="15"/>
      </w:r>
      <w:r w:rsidRPr="00805B6D">
        <w:t xml:space="preserve"> including that cultivation of the GM cotton on agricultural fields is to be considered as deliberate contamination of natural environments with antibiotic resistance genes, as well as that the information provided on molecular characterisation, composition and toxicology is insufficient and therefore EFSA’s conclusions of equivalence of the GM cotton with conventional cotton in terms of food and feed safety is premature;</w:t>
      </w:r>
      <w:proofErr w:type="gramEnd"/>
    </w:p>
    <w:p w14:paraId="16D5706E" w14:textId="77777777" w:rsidR="00274ECB" w:rsidRPr="00805B6D" w:rsidRDefault="00274ECB" w:rsidP="003A40FB">
      <w:pPr>
        <w:pStyle w:val="NormalHanging12a"/>
      </w:pPr>
      <w:proofErr w:type="gramStart"/>
      <w:r w:rsidRPr="00805B6D">
        <w:t>T.</w:t>
      </w:r>
      <w:r w:rsidRPr="00805B6D">
        <w:tab/>
        <w:t>whereas Regulation (EC) No 1829/2003 states that GM food or feed must not have adverse effects on human health, animal health or the environment, and requires the Commission to take into account any relevant provisions of Union law and other legitimate factors relevant to the matter under consideration when drafting its decision; whereas such legitimate factors should include the Union’s commitments to tackle antimicrobial resistance;</w:t>
      </w:r>
      <w:proofErr w:type="gramEnd"/>
    </w:p>
    <w:p w14:paraId="1546FC5D" w14:textId="77777777" w:rsidR="00274ECB" w:rsidRPr="00805B6D" w:rsidRDefault="00274ECB" w:rsidP="003A40FB">
      <w:pPr>
        <w:pStyle w:val="NormalHanging12a"/>
        <w:rPr>
          <w:b/>
          <w:i/>
        </w:rPr>
      </w:pPr>
      <w:r w:rsidRPr="00805B6D">
        <w:rPr>
          <w:b/>
          <w:i/>
        </w:rPr>
        <w:t>Undemocratic decision-making</w:t>
      </w:r>
    </w:p>
    <w:p w14:paraId="5F4C2B70" w14:textId="77777777" w:rsidR="00274ECB" w:rsidRPr="00805B6D" w:rsidRDefault="00274ECB" w:rsidP="003A40FB">
      <w:pPr>
        <w:pStyle w:val="NormalHanging12a"/>
      </w:pPr>
      <w:r w:rsidRPr="00805B6D">
        <w:t>U.</w:t>
      </w:r>
      <w:r w:rsidRPr="00805B6D">
        <w:tab/>
        <w:t>whereas, in its eighth term, Parliament adopted a total of 36 resolutions objecting to the placing on the market of GMOs for food and feed (33 resolutions) and to the cultivation of GMOs in the Union (three resolutions); whereas, in its ninth term, Parliament adopted 38 objections to the placing GMOs on the market;</w:t>
      </w:r>
    </w:p>
    <w:p w14:paraId="082B559C" w14:textId="77777777" w:rsidR="00274ECB" w:rsidRPr="00805B6D" w:rsidRDefault="00274ECB" w:rsidP="003A40FB">
      <w:pPr>
        <w:pStyle w:val="NormalHanging12a"/>
      </w:pPr>
      <w:r w:rsidRPr="00805B6D">
        <w:t>V.</w:t>
      </w:r>
      <w:r w:rsidRPr="00805B6D">
        <w:tab/>
        <w:t>whereas despite its own acknowledgement of the democratic shortcomings, the lack of support from Member States and the objections of Parliament, the Commission continues to authorise GMOs</w:t>
      </w:r>
      <w:proofErr w:type="gramStart"/>
      <w:r w:rsidRPr="00805B6D">
        <w:t>;</w:t>
      </w:r>
      <w:proofErr w:type="gramEnd"/>
    </w:p>
    <w:p w14:paraId="0180070F" w14:textId="77777777" w:rsidR="00274ECB" w:rsidRPr="00805B6D" w:rsidRDefault="00274ECB" w:rsidP="003A40FB">
      <w:pPr>
        <w:pStyle w:val="NormalHanging12a"/>
      </w:pPr>
      <w:r w:rsidRPr="00805B6D">
        <w:t>W.</w:t>
      </w:r>
      <w:r w:rsidRPr="00805B6D">
        <w:tab/>
        <w:t>whereas no change of law is required for the Commission to be able not to authorise GMOs when there is no qualified majority of Member States in favour in the Appeal Committee</w:t>
      </w:r>
      <w:r w:rsidRPr="00805B6D">
        <w:rPr>
          <w:rStyle w:val="FootnoteReference"/>
        </w:rPr>
        <w:footnoteReference w:id="16"/>
      </w:r>
      <w:proofErr w:type="gramStart"/>
      <w:r w:rsidRPr="00805B6D">
        <w:t>;</w:t>
      </w:r>
      <w:proofErr w:type="gramEnd"/>
    </w:p>
    <w:p w14:paraId="279B8592" w14:textId="77777777" w:rsidR="00274ECB" w:rsidRPr="00805B6D" w:rsidRDefault="00274ECB" w:rsidP="003A40FB">
      <w:pPr>
        <w:pStyle w:val="NormalHanging12a"/>
      </w:pPr>
      <w:proofErr w:type="gramStart"/>
      <w:r w:rsidRPr="00805B6D">
        <w:t>X.</w:t>
      </w:r>
      <w:r w:rsidRPr="00805B6D">
        <w:tab/>
      </w:r>
      <w:r w:rsidRPr="00805B6D">
        <w:rPr>
          <w:szCs w:val="24"/>
          <w:shd w:val="clear" w:color="auto" w:fill="FFFFFF"/>
        </w:rPr>
        <w:t>whereas the vote on 8 July 2024 of the Standing Committee on Plants, Animals, Food and Feed referred to in Article 35 of Regulation (EC) No 1829/2003 delivered no opinion, meaning that the authorisation was not supported by a qualified majority of Member States; whereas the vote on 3 September 2024 of the Appeal Committee again delivered no opinion;</w:t>
      </w:r>
      <w:proofErr w:type="gramEnd"/>
    </w:p>
    <w:p w14:paraId="145FF195" w14:textId="66FD3140" w:rsidR="00274ECB" w:rsidRPr="00805B6D" w:rsidRDefault="00274ECB" w:rsidP="003A40FB">
      <w:pPr>
        <w:pStyle w:val="NormalHanging12a"/>
      </w:pPr>
      <w:r w:rsidRPr="00805B6D">
        <w:t>1.</w:t>
      </w:r>
      <w:r w:rsidRPr="00805B6D">
        <w:tab/>
      </w:r>
      <w:proofErr w:type="gramStart"/>
      <w:r w:rsidRPr="00805B6D">
        <w:t>Considers</w:t>
      </w:r>
      <w:proofErr w:type="gramEnd"/>
      <w:r w:rsidRPr="00805B6D">
        <w:t xml:space="preserve"> that </w:t>
      </w:r>
      <w:r w:rsidR="00FA48D2" w:rsidRPr="00805B6D">
        <w:t>I</w:t>
      </w:r>
      <w:r w:rsidRPr="00805B6D">
        <w:t xml:space="preserve">mplementing </w:t>
      </w:r>
      <w:r w:rsidR="00FA48D2" w:rsidRPr="00805B6D">
        <w:t>D</w:t>
      </w:r>
      <w:r w:rsidRPr="00805B6D">
        <w:t xml:space="preserve">ecision </w:t>
      </w:r>
      <w:r w:rsidR="00FA48D2" w:rsidRPr="00805B6D">
        <w:t xml:space="preserve">(EU) 2024/2627 </w:t>
      </w:r>
      <w:r w:rsidRPr="00805B6D">
        <w:t>exceeds the implementing powers provided for in Regulation (EC) No 1829/2003;</w:t>
      </w:r>
    </w:p>
    <w:p w14:paraId="3FC3A14E" w14:textId="20BF00FA" w:rsidR="00274ECB" w:rsidRPr="00805B6D" w:rsidRDefault="00274ECB" w:rsidP="003A40FB">
      <w:pPr>
        <w:pStyle w:val="NormalHanging12a"/>
      </w:pPr>
      <w:proofErr w:type="gramStart"/>
      <w:r w:rsidRPr="00805B6D">
        <w:t>2.</w:t>
      </w:r>
      <w:r w:rsidRPr="00805B6D">
        <w:tab/>
        <w:t xml:space="preserve">Considers that </w:t>
      </w:r>
      <w:r w:rsidR="006A6745" w:rsidRPr="00805B6D">
        <w:t>I</w:t>
      </w:r>
      <w:r w:rsidRPr="00805B6D">
        <w:t xml:space="preserve">mplementing </w:t>
      </w:r>
      <w:r w:rsidR="006A6745" w:rsidRPr="00805B6D">
        <w:t>D</w:t>
      </w:r>
      <w:r w:rsidRPr="00805B6D">
        <w:t>ecision</w:t>
      </w:r>
      <w:r w:rsidR="00FA48D2" w:rsidRPr="00805B6D">
        <w:t xml:space="preserve"> (EU) 2024/2627</w:t>
      </w:r>
      <w:r w:rsidRPr="00805B6D">
        <w:t xml:space="preserve"> is not consistent with Union </w:t>
      </w:r>
      <w:r w:rsidRPr="00805B6D">
        <w:lastRenderedPageBreak/>
        <w:t>law, in that it is not compatible with the aim of Regulation (EC) No 1829/2003, which is, in accordance with the general principles laid down in Regulation (EC) No 178/2002 of the European Parliament and of the Council</w:t>
      </w:r>
      <w:r w:rsidRPr="00805B6D">
        <w:rPr>
          <w:rStyle w:val="FootnoteReference"/>
        </w:rPr>
        <w:footnoteReference w:id="17"/>
      </w:r>
      <w:r w:rsidRPr="00805B6D">
        <w:t>, to provide the basis for ensuring a high level of protection of human life and health, animal health and welfare, and environmental and consumer interests, in relation to GM food and feed, while ensuring the effective functioning of the internal market;</w:t>
      </w:r>
      <w:proofErr w:type="gramEnd"/>
    </w:p>
    <w:p w14:paraId="4F100A0F" w14:textId="28519FC0" w:rsidR="00274ECB" w:rsidRPr="00805B6D" w:rsidRDefault="00274ECB" w:rsidP="003A40FB">
      <w:pPr>
        <w:pStyle w:val="NormalHanging12a"/>
      </w:pPr>
      <w:r w:rsidRPr="00805B6D">
        <w:t>3.</w:t>
      </w:r>
      <w:r w:rsidRPr="00805B6D">
        <w:tab/>
        <w:t xml:space="preserve">Calls on the Commission to </w:t>
      </w:r>
      <w:r w:rsidR="00FA48D2" w:rsidRPr="00805B6D">
        <w:t>repeal</w:t>
      </w:r>
      <w:r w:rsidRPr="00805B6D">
        <w:t xml:space="preserve"> </w:t>
      </w:r>
      <w:r w:rsidR="00FA48D2" w:rsidRPr="00805B6D">
        <w:t>I</w:t>
      </w:r>
      <w:r w:rsidRPr="00805B6D">
        <w:t xml:space="preserve">mplementing </w:t>
      </w:r>
      <w:r w:rsidR="00FA48D2" w:rsidRPr="00805B6D">
        <w:t>D</w:t>
      </w:r>
      <w:r w:rsidRPr="00805B6D">
        <w:t xml:space="preserve">ecision </w:t>
      </w:r>
      <w:r w:rsidR="00FA48D2" w:rsidRPr="00805B6D">
        <w:t xml:space="preserve">(EU) 2024/2627 </w:t>
      </w:r>
      <w:r w:rsidRPr="00805B6D">
        <w:t>and to submit a new draft to the committee</w:t>
      </w:r>
      <w:proofErr w:type="gramStart"/>
      <w:r w:rsidRPr="00805B6D">
        <w:t>;</w:t>
      </w:r>
      <w:proofErr w:type="gramEnd"/>
    </w:p>
    <w:p w14:paraId="355EC601" w14:textId="77777777" w:rsidR="00274ECB" w:rsidRPr="00805B6D" w:rsidRDefault="00274ECB" w:rsidP="003A40FB">
      <w:pPr>
        <w:pStyle w:val="NormalHanging12a"/>
      </w:pPr>
      <w:proofErr w:type="gramStart"/>
      <w:r w:rsidRPr="00805B6D">
        <w:t>4.</w:t>
      </w:r>
      <w:r w:rsidRPr="00805B6D">
        <w:tab/>
        <w:t>Reiterates its call on the Commission not to authorise the placing on the market of any GM plants containing genes which confer antimicrobial resistance; notes that authorisation would be in violation of Article 4(2) of Directive 2001/18/EC which calls for a phase out of ARMGs which may have adverse effects on human health or on the environment;</w:t>
      </w:r>
      <w:proofErr w:type="gramEnd"/>
      <w:r w:rsidRPr="00805B6D">
        <w:t xml:space="preserve"> </w:t>
      </w:r>
    </w:p>
    <w:p w14:paraId="0FDEE510" w14:textId="77777777" w:rsidR="00274ECB" w:rsidRPr="00805B6D" w:rsidRDefault="00274ECB" w:rsidP="003A40FB">
      <w:pPr>
        <w:pStyle w:val="NormalHanging12a"/>
      </w:pPr>
      <w:proofErr w:type="gramStart"/>
      <w:r w:rsidRPr="00805B6D">
        <w:t>5.</w:t>
      </w:r>
      <w:r w:rsidRPr="00805B6D">
        <w:tab/>
        <w:t>Welcomes the fact that the Commission finally recognised, in a letter of 11 September 2020 to Members, the need to take sustainability into account when it comes to authorisation decisions on GMOs</w:t>
      </w:r>
      <w:r w:rsidRPr="00805B6D">
        <w:rPr>
          <w:rStyle w:val="FootnoteReference"/>
        </w:rPr>
        <w:footnoteReference w:id="18"/>
      </w:r>
      <w:r w:rsidRPr="00805B6D">
        <w:t>; expresses its deep disappointment, however, that, since then the Commission has continued to authorise GMOs for import into the Union, despite ongoing objections by Parliament and a majority of Member States voting against;</w:t>
      </w:r>
      <w:proofErr w:type="gramEnd"/>
    </w:p>
    <w:p w14:paraId="75066256" w14:textId="77777777" w:rsidR="00274ECB" w:rsidRPr="00805B6D" w:rsidRDefault="00274ECB" w:rsidP="003A40FB">
      <w:pPr>
        <w:pStyle w:val="NormalHanging12a"/>
      </w:pPr>
      <w:r w:rsidRPr="00805B6D">
        <w:t>6.</w:t>
      </w:r>
      <w:r w:rsidRPr="00805B6D">
        <w:tab/>
        <w:t>Urges the Commission, again, to take into account the Union’s obligations under international agreements, such as the Paris Climate Agreement, the United Nations Convention on Biological Diversity and the United Nations Sustainable Development Goals; reiterates its call for draft implementing acts to be accompanied by an explanatory memorandum explaining how they uphold the principle of ‘do no harm’</w:t>
      </w:r>
      <w:r w:rsidRPr="00805B6D">
        <w:rPr>
          <w:rStyle w:val="FootnoteReference"/>
        </w:rPr>
        <w:footnoteReference w:id="19"/>
      </w:r>
      <w:r w:rsidRPr="00805B6D">
        <w:t>;</w:t>
      </w:r>
    </w:p>
    <w:p w14:paraId="10F7810B" w14:textId="77777777" w:rsidR="00E365E1" w:rsidRPr="00194284" w:rsidRDefault="00274ECB" w:rsidP="002E68C7">
      <w:pPr>
        <w:pStyle w:val="NormalHanging12a"/>
      </w:pPr>
      <w:r w:rsidRPr="00805B6D">
        <w:t>7.</w:t>
      </w:r>
      <w:r w:rsidRPr="00805B6D">
        <w:tab/>
        <w:t>Instructs its President to forward this resolution to the Council and the Commission, and to the governments and parliaments of the Member States.</w:t>
      </w:r>
      <w:r w:rsidRPr="00194284">
        <w:rPr>
          <w:szCs w:val="24"/>
        </w:rPr>
        <w:t xml:space="preserve"> </w:t>
      </w:r>
    </w:p>
    <w:sectPr w:rsidR="00E365E1" w:rsidRPr="00194284" w:rsidSect="0019428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38D2FA" w14:textId="77777777" w:rsidR="009B1005" w:rsidRPr="00194284" w:rsidRDefault="009B1005">
      <w:r w:rsidRPr="00194284">
        <w:separator/>
      </w:r>
    </w:p>
  </w:endnote>
  <w:endnote w:type="continuationSeparator" w:id="0">
    <w:p w14:paraId="454D079F" w14:textId="77777777" w:rsidR="009B1005" w:rsidRPr="00194284" w:rsidRDefault="009B1005">
      <w:r w:rsidRPr="001942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ED331" w14:textId="77777777" w:rsidR="00064002" w:rsidRPr="0019428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FF00B" w14:textId="77777777" w:rsidR="00064002" w:rsidRPr="0019428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6FBFB" w14:textId="77777777" w:rsidR="00064002" w:rsidRPr="0019428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74275" w14:textId="77777777" w:rsidR="009B1005" w:rsidRPr="00194284" w:rsidRDefault="009B1005">
      <w:r w:rsidRPr="00194284">
        <w:separator/>
      </w:r>
    </w:p>
  </w:footnote>
  <w:footnote w:type="continuationSeparator" w:id="0">
    <w:p w14:paraId="639A104C" w14:textId="77777777" w:rsidR="009B1005" w:rsidRPr="00194284" w:rsidRDefault="009B1005">
      <w:r w:rsidRPr="00194284">
        <w:continuationSeparator/>
      </w:r>
    </w:p>
  </w:footnote>
  <w:footnote w:id="1">
    <w:p w14:paraId="158D48DF" w14:textId="77777777" w:rsidR="00A0205C" w:rsidRPr="00805B6D" w:rsidRDefault="00A0205C" w:rsidP="00805B6D">
      <w:pPr>
        <w:pStyle w:val="FootnoteText"/>
        <w:ind w:left="567" w:hanging="567"/>
        <w:rPr>
          <w:lang w:val="fi-FI"/>
        </w:rPr>
      </w:pPr>
      <w:r w:rsidRPr="00805B6D">
        <w:rPr>
          <w:rStyle w:val="FootnoteReference"/>
        </w:rPr>
        <w:footnoteRef/>
      </w:r>
      <w:r w:rsidRPr="00805B6D">
        <w:rPr>
          <w:lang w:val="fi-FI"/>
        </w:rPr>
        <w:t xml:space="preserve"> </w:t>
      </w:r>
      <w:r w:rsidRPr="00805B6D">
        <w:rPr>
          <w:sz w:val="24"/>
          <w:lang w:val="fi-FI"/>
        </w:rPr>
        <w:tab/>
        <w:t>OJ L, 2024/2627, 10.10.2024, ELI: http://data.europa.eu/eli/dec_impl/2024/2627/oj.</w:t>
      </w:r>
    </w:p>
  </w:footnote>
  <w:footnote w:id="2">
    <w:p w14:paraId="68315492" w14:textId="77777777" w:rsidR="00274ECB" w:rsidRPr="00805B6D" w:rsidRDefault="00274ECB" w:rsidP="00194284">
      <w:pPr>
        <w:pStyle w:val="FootnoteText"/>
        <w:ind w:left="567" w:hanging="567"/>
        <w:rPr>
          <w:sz w:val="24"/>
          <w:lang w:val="pl-PL"/>
        </w:rPr>
      </w:pPr>
      <w:r w:rsidRPr="00805B6D">
        <w:rPr>
          <w:rStyle w:val="FootnoteReference"/>
          <w:sz w:val="24"/>
          <w:lang w:val="en-GB"/>
        </w:rPr>
        <w:footnoteRef/>
      </w:r>
      <w:r w:rsidR="00194284" w:rsidRPr="00805B6D">
        <w:rPr>
          <w:sz w:val="24"/>
          <w:lang w:val="pl-PL"/>
        </w:rPr>
        <w:t xml:space="preserve"> </w:t>
      </w:r>
      <w:r w:rsidR="00194284" w:rsidRPr="00805B6D">
        <w:rPr>
          <w:sz w:val="24"/>
          <w:lang w:val="pl-PL"/>
        </w:rPr>
        <w:tab/>
      </w:r>
      <w:r w:rsidRPr="00805B6D">
        <w:rPr>
          <w:sz w:val="24"/>
          <w:lang w:val="pl-PL"/>
        </w:rPr>
        <w:t>OJ L 268, 18.10.2003, p. 1, ELI</w:t>
      </w:r>
      <w:proofErr w:type="gramStart"/>
      <w:r w:rsidRPr="00805B6D">
        <w:rPr>
          <w:sz w:val="24"/>
          <w:lang w:val="pl-PL"/>
        </w:rPr>
        <w:t>: </w:t>
      </w:r>
      <w:r w:rsidR="00067663">
        <w:fldChar w:fldCharType="begin"/>
      </w:r>
      <w:r w:rsidR="00067663" w:rsidRPr="00067663">
        <w:rPr>
          <w:lang w:val="pl-PL"/>
        </w:rPr>
        <w:instrText xml:space="preserve"> HYPERLINK "http://data.europa.eu/eli/reg/2003/1829/oj" \o "Gives access to this document through its ELI URI." </w:instrText>
      </w:r>
      <w:r w:rsidR="00067663">
        <w:fldChar w:fldCharType="separate"/>
      </w:r>
      <w:proofErr w:type="gramEnd"/>
      <w:r w:rsidRPr="00805B6D">
        <w:rPr>
          <w:rStyle w:val="Hyperlink"/>
          <w:sz w:val="24"/>
          <w:lang w:val="pl-PL"/>
        </w:rPr>
        <w:t>http://data.europa.eu/eli/reg/2003/1829/oj</w:t>
      </w:r>
      <w:r w:rsidR="00067663">
        <w:rPr>
          <w:rStyle w:val="Hyperlink"/>
          <w:sz w:val="24"/>
          <w:lang w:val="pl-PL"/>
        </w:rPr>
        <w:fldChar w:fldCharType="end"/>
      </w:r>
      <w:r w:rsidRPr="00805B6D">
        <w:rPr>
          <w:sz w:val="24"/>
          <w:lang w:val="pl-PL"/>
        </w:rPr>
        <w:t>.</w:t>
      </w:r>
    </w:p>
  </w:footnote>
  <w:footnote w:id="3">
    <w:p w14:paraId="478662C5" w14:textId="77777777" w:rsidR="00274ECB" w:rsidRPr="00805B6D" w:rsidRDefault="00274ECB" w:rsidP="00194284">
      <w:pPr>
        <w:pStyle w:val="FootnoteText"/>
        <w:ind w:left="567" w:hanging="567"/>
        <w:rPr>
          <w:sz w:val="24"/>
          <w:lang w:val="fi-FI"/>
        </w:rPr>
      </w:pPr>
      <w:r w:rsidRPr="00805B6D">
        <w:rPr>
          <w:rStyle w:val="FootnoteReference"/>
          <w:sz w:val="24"/>
          <w:lang w:val="en-GB"/>
        </w:rPr>
        <w:footnoteRef/>
      </w:r>
      <w:r w:rsidR="00194284" w:rsidRPr="00805B6D">
        <w:rPr>
          <w:sz w:val="24"/>
          <w:lang w:val="fi-FI"/>
        </w:rPr>
        <w:t xml:space="preserve"> </w:t>
      </w:r>
      <w:r w:rsidR="00194284" w:rsidRPr="00805B6D">
        <w:rPr>
          <w:sz w:val="24"/>
          <w:lang w:val="fi-FI"/>
        </w:rPr>
        <w:tab/>
      </w:r>
      <w:r w:rsidRPr="00805B6D">
        <w:rPr>
          <w:sz w:val="24"/>
          <w:lang w:val="fi-FI"/>
        </w:rPr>
        <w:t xml:space="preserve">OJ L 55, 28.2.2011, p. 13, ELI: </w:t>
      </w:r>
      <w:r w:rsidR="00067663">
        <w:fldChar w:fldCharType="begin"/>
      </w:r>
      <w:r w:rsidR="00067663" w:rsidRPr="00067663">
        <w:rPr>
          <w:lang w:val="fi-FI"/>
        </w:rPr>
        <w:instrText xml:space="preserve"> HYPERLINK "http://data.europa.eu/eli/reg/2011/182/oj" \o "Giv</w:instrText>
      </w:r>
      <w:r w:rsidR="00067663" w:rsidRPr="00067663">
        <w:rPr>
          <w:lang w:val="fi-FI"/>
        </w:rPr>
        <w:instrText xml:space="preserve">es access to this document through its ELI URI." </w:instrText>
      </w:r>
      <w:r w:rsidR="00067663">
        <w:fldChar w:fldCharType="separate"/>
      </w:r>
      <w:r w:rsidRPr="00805B6D">
        <w:rPr>
          <w:rStyle w:val="Hyperlink"/>
          <w:sz w:val="24"/>
          <w:lang w:val="fi-FI"/>
        </w:rPr>
        <w:t>http://data.europa.eu/eli/reg/2011/182/oj</w:t>
      </w:r>
      <w:r w:rsidR="00067663">
        <w:rPr>
          <w:rStyle w:val="Hyperlink"/>
          <w:sz w:val="24"/>
          <w:lang w:val="fi-FI"/>
        </w:rPr>
        <w:fldChar w:fldCharType="end"/>
      </w:r>
      <w:r w:rsidRPr="00805B6D">
        <w:rPr>
          <w:sz w:val="24"/>
          <w:lang w:val="fi-FI"/>
        </w:rPr>
        <w:t>.</w:t>
      </w:r>
    </w:p>
  </w:footnote>
  <w:footnote w:id="4">
    <w:p w14:paraId="0987F177" w14:textId="77777777" w:rsidR="00274ECB" w:rsidRPr="00805B6D" w:rsidRDefault="00274ECB" w:rsidP="00194284">
      <w:pPr>
        <w:pStyle w:val="FootnoteText"/>
        <w:ind w:left="567" w:hanging="567"/>
        <w:rPr>
          <w:sz w:val="24"/>
          <w:lang w:val="en-GB"/>
        </w:rPr>
      </w:pPr>
      <w:r w:rsidRPr="00805B6D">
        <w:rPr>
          <w:rStyle w:val="FootnoteReference"/>
          <w:sz w:val="24"/>
          <w:lang w:val="en-GB"/>
        </w:rPr>
        <w:footnoteRef/>
      </w:r>
      <w:r w:rsidR="00194284" w:rsidRPr="00805B6D">
        <w:rPr>
          <w:sz w:val="24"/>
          <w:lang w:val="en-GB"/>
        </w:rPr>
        <w:t xml:space="preserve"> </w:t>
      </w:r>
      <w:r w:rsidR="00194284" w:rsidRPr="00805B6D">
        <w:rPr>
          <w:sz w:val="24"/>
          <w:lang w:val="en-GB"/>
        </w:rPr>
        <w:tab/>
      </w:r>
      <w:r w:rsidRPr="00805B6D">
        <w:rPr>
          <w:sz w:val="24"/>
          <w:lang w:val="en-GB"/>
        </w:rPr>
        <w:t xml:space="preserve">EFSA Panel on Genetically Modified Organisms scientific opinion on the assessment of genetically modified cotton COT102 for food and feed uses under Regulation (EC) No 1829/2003 (application EFSA-GMO-DE-2017-141), EFSA Journal, 2023;21(6):8031, </w:t>
      </w:r>
      <w:r w:rsidR="00067663">
        <w:fldChar w:fldCharType="begin"/>
      </w:r>
      <w:r w:rsidR="00067663" w:rsidRPr="00067663">
        <w:rPr>
          <w:lang w:val="en-GB"/>
        </w:rPr>
        <w:instrText xml:space="preserve"> HYPERLIN</w:instrText>
      </w:r>
      <w:r w:rsidR="00067663" w:rsidRPr="00067663">
        <w:rPr>
          <w:lang w:val="en-GB"/>
        </w:rPr>
        <w:instrText xml:space="preserve">K "https://doi.org/10.2903/j.efsa.2023.8031" </w:instrText>
      </w:r>
      <w:r w:rsidR="00067663">
        <w:fldChar w:fldCharType="separate"/>
      </w:r>
      <w:r w:rsidRPr="00805B6D">
        <w:rPr>
          <w:rStyle w:val="Hyperlink"/>
          <w:sz w:val="24"/>
          <w:lang w:val="en-GB"/>
        </w:rPr>
        <w:t>https://doi.org/10.2903/j.efsa.2023.8031</w:t>
      </w:r>
      <w:r w:rsidR="00067663">
        <w:rPr>
          <w:rStyle w:val="Hyperlink"/>
          <w:sz w:val="24"/>
          <w:lang w:val="en-GB"/>
        </w:rPr>
        <w:fldChar w:fldCharType="end"/>
      </w:r>
      <w:r w:rsidRPr="00805B6D">
        <w:rPr>
          <w:sz w:val="24"/>
          <w:lang w:val="en-GB"/>
        </w:rPr>
        <w:t>.</w:t>
      </w:r>
    </w:p>
  </w:footnote>
  <w:footnote w:id="5">
    <w:p w14:paraId="3F472A29" w14:textId="77777777" w:rsidR="00274ECB" w:rsidRPr="00805B6D" w:rsidRDefault="00274ECB" w:rsidP="00194284">
      <w:pPr>
        <w:pStyle w:val="FootnoteText"/>
        <w:ind w:left="567" w:hanging="567"/>
        <w:rPr>
          <w:sz w:val="24"/>
          <w:lang w:val="en-GB"/>
        </w:rPr>
      </w:pPr>
      <w:r w:rsidRPr="00805B6D">
        <w:rPr>
          <w:rStyle w:val="FootnoteReference"/>
          <w:sz w:val="24"/>
          <w:lang w:val="en-GB"/>
        </w:rPr>
        <w:footnoteRef/>
      </w:r>
      <w:r w:rsidR="00194284" w:rsidRPr="00805B6D">
        <w:rPr>
          <w:color w:val="000000" w:themeColor="text1"/>
          <w:sz w:val="24"/>
          <w:lang w:val="en-GB"/>
        </w:rPr>
        <w:t xml:space="preserve"> </w:t>
      </w:r>
      <w:r w:rsidR="00194284" w:rsidRPr="00805B6D">
        <w:rPr>
          <w:color w:val="000000" w:themeColor="text1"/>
          <w:sz w:val="24"/>
          <w:lang w:val="en-GB"/>
        </w:rPr>
        <w:tab/>
      </w:r>
      <w:r w:rsidRPr="00805B6D">
        <w:rPr>
          <w:color w:val="000000" w:themeColor="text1"/>
          <w:sz w:val="24"/>
          <w:lang w:val="en-GB"/>
        </w:rPr>
        <w:t>In its eighth term, Parliament adopted 36 resolutions and, in its ninth term, Parliament adopted 38 resolutions objecting to the authorisation of GMOs.</w:t>
      </w:r>
    </w:p>
  </w:footnote>
  <w:footnote w:id="6">
    <w:p w14:paraId="28294F1F" w14:textId="77777777" w:rsidR="00274ECB" w:rsidRPr="00805B6D" w:rsidRDefault="00274ECB" w:rsidP="00194284">
      <w:pPr>
        <w:pStyle w:val="FootnoteText"/>
        <w:ind w:left="567" w:hanging="567"/>
        <w:rPr>
          <w:sz w:val="24"/>
          <w:lang w:val="en-GB"/>
        </w:rPr>
      </w:pPr>
      <w:r w:rsidRPr="00805B6D">
        <w:rPr>
          <w:rStyle w:val="FootnoteReference"/>
          <w:sz w:val="24"/>
          <w:lang w:val="en-GB"/>
        </w:rPr>
        <w:footnoteRef/>
      </w:r>
      <w:r w:rsidR="00194284" w:rsidRPr="00805B6D">
        <w:rPr>
          <w:sz w:val="24"/>
          <w:lang w:val="en-GB"/>
        </w:rPr>
        <w:t xml:space="preserve"> </w:t>
      </w:r>
      <w:r w:rsidR="00194284" w:rsidRPr="00805B6D">
        <w:rPr>
          <w:sz w:val="24"/>
          <w:lang w:val="en-GB"/>
        </w:rPr>
        <w:tab/>
      </w:r>
      <w:proofErr w:type="spellStart"/>
      <w:r w:rsidRPr="00805B6D">
        <w:rPr>
          <w:sz w:val="24"/>
          <w:lang w:val="en-GB"/>
        </w:rPr>
        <w:t>MacIntosh</w:t>
      </w:r>
      <w:proofErr w:type="spellEnd"/>
      <w:r w:rsidRPr="00805B6D">
        <w:rPr>
          <w:sz w:val="24"/>
          <w:lang w:val="en-GB"/>
        </w:rPr>
        <w:t xml:space="preserve">, S.C., Kishore, G.M., </w:t>
      </w:r>
      <w:proofErr w:type="spellStart"/>
      <w:r w:rsidRPr="00805B6D">
        <w:rPr>
          <w:sz w:val="24"/>
          <w:lang w:val="en-GB"/>
        </w:rPr>
        <w:t>Perlak</w:t>
      </w:r>
      <w:proofErr w:type="spellEnd"/>
      <w:r w:rsidRPr="00805B6D">
        <w:rPr>
          <w:sz w:val="24"/>
          <w:lang w:val="en-GB"/>
        </w:rPr>
        <w:t xml:space="preserve">, F.J., </w:t>
      </w:r>
      <w:proofErr w:type="spellStart"/>
      <w:r w:rsidRPr="00805B6D">
        <w:rPr>
          <w:sz w:val="24"/>
          <w:lang w:val="en-GB"/>
        </w:rPr>
        <w:t>Marrone</w:t>
      </w:r>
      <w:proofErr w:type="spellEnd"/>
      <w:r w:rsidRPr="00805B6D">
        <w:rPr>
          <w:sz w:val="24"/>
          <w:lang w:val="en-GB"/>
        </w:rPr>
        <w:t>, P.G., Stone, T.B., Sims, S.R., Fuchs, R.L., ‘Potentiation of </w:t>
      </w:r>
      <w:r w:rsidRPr="00805B6D">
        <w:rPr>
          <w:i/>
          <w:sz w:val="24"/>
          <w:lang w:val="en-GB"/>
        </w:rPr>
        <w:t xml:space="preserve">Bacillus </w:t>
      </w:r>
      <w:proofErr w:type="spellStart"/>
      <w:r w:rsidRPr="00805B6D">
        <w:rPr>
          <w:i/>
          <w:sz w:val="24"/>
          <w:lang w:val="en-GB"/>
        </w:rPr>
        <w:t>thuringiensis</w:t>
      </w:r>
      <w:proofErr w:type="spellEnd"/>
      <w:r w:rsidRPr="00805B6D">
        <w:rPr>
          <w:sz w:val="24"/>
          <w:lang w:val="en-GB"/>
        </w:rPr>
        <w:t xml:space="preserve"> insecticidal activity by serine protease inhibitors’, Journal of Agricultural and Food Chemistry, 1990,38,4, pp. 1145-1152, </w:t>
      </w:r>
      <w:r w:rsidR="00067663">
        <w:fldChar w:fldCharType="begin"/>
      </w:r>
      <w:r w:rsidR="00067663" w:rsidRPr="00067663">
        <w:rPr>
          <w:lang w:val="en-GB"/>
        </w:rPr>
        <w:instrText xml:space="preserve"> </w:instrText>
      </w:r>
      <w:r w:rsidR="00067663" w:rsidRPr="00067663">
        <w:rPr>
          <w:lang w:val="en-GB"/>
        </w:rPr>
        <w:instrText xml:space="preserve">HYPERLINK "https://pubs.acs.org/doi/abs/10.1021/jf00094a051" </w:instrText>
      </w:r>
      <w:r w:rsidR="00067663">
        <w:fldChar w:fldCharType="separate"/>
      </w:r>
      <w:r w:rsidRPr="00805B6D">
        <w:rPr>
          <w:rStyle w:val="Hyperlink"/>
          <w:sz w:val="24"/>
          <w:lang w:val="en-GB"/>
        </w:rPr>
        <w:t>https://pubs.acs.org/doi/abs/10.1021/jf00094a051</w:t>
      </w:r>
      <w:r w:rsidR="00067663">
        <w:rPr>
          <w:rStyle w:val="Hyperlink"/>
          <w:sz w:val="24"/>
          <w:lang w:val="en-GB"/>
        </w:rPr>
        <w:fldChar w:fldCharType="end"/>
      </w:r>
      <w:r w:rsidRPr="00805B6D">
        <w:rPr>
          <w:sz w:val="24"/>
          <w:lang w:val="en-GB"/>
        </w:rPr>
        <w:t>.</w:t>
      </w:r>
    </w:p>
  </w:footnote>
  <w:footnote w:id="7">
    <w:p w14:paraId="53CD2523" w14:textId="77777777" w:rsidR="00274ECB" w:rsidRPr="00805B6D" w:rsidRDefault="00274ECB" w:rsidP="00194284">
      <w:pPr>
        <w:pStyle w:val="FootnoteText"/>
        <w:ind w:left="567" w:hanging="567"/>
        <w:rPr>
          <w:sz w:val="24"/>
          <w:lang w:val="en-GB"/>
        </w:rPr>
      </w:pPr>
      <w:r w:rsidRPr="00805B6D">
        <w:rPr>
          <w:rStyle w:val="FootnoteReference"/>
          <w:sz w:val="24"/>
          <w:lang w:val="en-GB"/>
        </w:rPr>
        <w:footnoteRef/>
      </w:r>
      <w:r w:rsidR="00194284" w:rsidRPr="00805B6D">
        <w:rPr>
          <w:sz w:val="24"/>
          <w:lang w:val="en-GB"/>
        </w:rPr>
        <w:t xml:space="preserve"> </w:t>
      </w:r>
      <w:r w:rsidR="00194284" w:rsidRPr="00805B6D">
        <w:rPr>
          <w:sz w:val="24"/>
          <w:lang w:val="en-GB"/>
        </w:rPr>
        <w:tab/>
      </w:r>
      <w:r w:rsidRPr="00805B6D">
        <w:rPr>
          <w:sz w:val="24"/>
          <w:lang w:val="en-GB"/>
        </w:rPr>
        <w:t>For a review, see Rubio-</w:t>
      </w:r>
      <w:proofErr w:type="spellStart"/>
      <w:r w:rsidRPr="00805B6D">
        <w:rPr>
          <w:sz w:val="24"/>
          <w:lang w:val="en-GB"/>
        </w:rPr>
        <w:t>Infante</w:t>
      </w:r>
      <w:proofErr w:type="spellEnd"/>
      <w:r w:rsidRPr="00805B6D">
        <w:rPr>
          <w:sz w:val="24"/>
          <w:lang w:val="en-GB"/>
        </w:rPr>
        <w:t>, N., Moreno-</w:t>
      </w:r>
      <w:proofErr w:type="spellStart"/>
      <w:r w:rsidRPr="00805B6D">
        <w:rPr>
          <w:sz w:val="24"/>
          <w:lang w:val="en-GB"/>
        </w:rPr>
        <w:t>Fierros</w:t>
      </w:r>
      <w:proofErr w:type="spellEnd"/>
      <w:r w:rsidRPr="00805B6D">
        <w:rPr>
          <w:sz w:val="24"/>
          <w:lang w:val="en-GB"/>
        </w:rPr>
        <w:t>, L., ‘An overview of the safety and biological effects of </w:t>
      </w:r>
      <w:r w:rsidRPr="00805B6D">
        <w:rPr>
          <w:i/>
          <w:sz w:val="24"/>
          <w:lang w:val="en-GB"/>
        </w:rPr>
        <w:t xml:space="preserve">Bacillus </w:t>
      </w:r>
      <w:proofErr w:type="spellStart"/>
      <w:r w:rsidRPr="00805B6D">
        <w:rPr>
          <w:i/>
          <w:sz w:val="24"/>
          <w:lang w:val="en-GB"/>
        </w:rPr>
        <w:t>thuringiensis</w:t>
      </w:r>
      <w:proofErr w:type="spellEnd"/>
      <w:r w:rsidRPr="00805B6D">
        <w:rPr>
          <w:sz w:val="24"/>
          <w:lang w:val="en-GB"/>
        </w:rPr>
        <w:t xml:space="preserve"> Cry toxins in mammals’, Journal of Applied Toxicology, May 2016, 36,5, pp. 630-648, </w:t>
      </w:r>
      <w:r w:rsidR="00067663">
        <w:fldChar w:fldCharType="begin"/>
      </w:r>
      <w:r w:rsidR="00067663" w:rsidRPr="00067663">
        <w:rPr>
          <w:lang w:val="en-GB"/>
        </w:rPr>
        <w:instrText xml:space="preserve"> HYPERLINK "https://onlinelibrary.wiley.com/doi/full/10.1002/jat.3252" </w:instrText>
      </w:r>
      <w:r w:rsidR="00067663">
        <w:fldChar w:fldCharType="separate"/>
      </w:r>
      <w:r w:rsidRPr="00805B6D">
        <w:rPr>
          <w:rStyle w:val="Hyperlink"/>
          <w:sz w:val="24"/>
          <w:lang w:val="en-GB"/>
        </w:rPr>
        <w:t>https://onlinelibrary.wiley.com/doi/full/10.1002/jat.3252</w:t>
      </w:r>
      <w:r w:rsidR="00067663">
        <w:rPr>
          <w:rStyle w:val="Hyperlink"/>
          <w:sz w:val="24"/>
          <w:lang w:val="en-GB"/>
        </w:rPr>
        <w:fldChar w:fldCharType="end"/>
      </w:r>
      <w:r w:rsidRPr="00805B6D">
        <w:rPr>
          <w:sz w:val="24"/>
          <w:lang w:val="en-GB"/>
        </w:rPr>
        <w:t>.</w:t>
      </w:r>
    </w:p>
  </w:footnote>
  <w:footnote w:id="8">
    <w:p w14:paraId="0016977F" w14:textId="77777777" w:rsidR="00274ECB" w:rsidRPr="00805B6D" w:rsidRDefault="00274ECB" w:rsidP="00194284">
      <w:pPr>
        <w:pStyle w:val="FootnoteText"/>
        <w:ind w:left="567" w:hanging="567"/>
        <w:rPr>
          <w:sz w:val="24"/>
          <w:lang w:val="en-GB"/>
        </w:rPr>
      </w:pPr>
      <w:r w:rsidRPr="00805B6D">
        <w:rPr>
          <w:rStyle w:val="FootnoteReference"/>
          <w:sz w:val="24"/>
          <w:lang w:val="en-GB"/>
        </w:rPr>
        <w:footnoteRef/>
      </w:r>
      <w:r w:rsidR="00194284" w:rsidRPr="00805B6D">
        <w:rPr>
          <w:sz w:val="24"/>
          <w:lang w:val="en-GB"/>
        </w:rPr>
        <w:t xml:space="preserve"> </w:t>
      </w:r>
      <w:r w:rsidR="00194284" w:rsidRPr="00805B6D">
        <w:rPr>
          <w:sz w:val="24"/>
          <w:lang w:val="en-GB"/>
        </w:rPr>
        <w:tab/>
      </w:r>
      <w:r w:rsidRPr="00805B6D">
        <w:rPr>
          <w:sz w:val="24"/>
          <w:lang w:val="en-GB"/>
        </w:rPr>
        <w:t xml:space="preserve">See, for example, </w:t>
      </w:r>
      <w:proofErr w:type="spellStart"/>
      <w:r w:rsidRPr="00805B6D">
        <w:rPr>
          <w:sz w:val="24"/>
          <w:lang w:val="en-GB"/>
        </w:rPr>
        <w:t>Hilbeck</w:t>
      </w:r>
      <w:proofErr w:type="spellEnd"/>
      <w:r w:rsidRPr="00805B6D">
        <w:rPr>
          <w:sz w:val="24"/>
          <w:lang w:val="en-GB"/>
        </w:rPr>
        <w:t>, A., Otto, M., ‘Specificity and combinatorial effects of </w:t>
      </w:r>
      <w:r w:rsidRPr="00805B6D">
        <w:rPr>
          <w:i/>
          <w:sz w:val="24"/>
          <w:lang w:val="en-GB"/>
        </w:rPr>
        <w:t xml:space="preserve">Bacillus </w:t>
      </w:r>
      <w:proofErr w:type="spellStart"/>
      <w:r w:rsidRPr="00805B6D">
        <w:rPr>
          <w:i/>
          <w:sz w:val="24"/>
          <w:lang w:val="en-GB"/>
        </w:rPr>
        <w:t>thuringiensis</w:t>
      </w:r>
      <w:proofErr w:type="spellEnd"/>
      <w:r w:rsidRPr="00805B6D">
        <w:rPr>
          <w:sz w:val="24"/>
          <w:lang w:val="en-GB"/>
        </w:rPr>
        <w:t xml:space="preserve"> Cry toxins in the context of GMO environmental risk assessment’, Frontiers in Environmental Science 2015, 3:71, </w:t>
      </w:r>
      <w:r w:rsidR="00067663">
        <w:fldChar w:fldCharType="begin"/>
      </w:r>
      <w:r w:rsidR="00067663" w:rsidRPr="00067663">
        <w:rPr>
          <w:lang w:val="en-GB"/>
        </w:rPr>
        <w:instrText xml:space="preserve"> HYPERLINK "https://doi.org/10.3389/fenvs.2015.00071" </w:instrText>
      </w:r>
      <w:r w:rsidR="00067663">
        <w:fldChar w:fldCharType="separate"/>
      </w:r>
      <w:r w:rsidRPr="00805B6D">
        <w:rPr>
          <w:rStyle w:val="Hyperlink"/>
          <w:sz w:val="24"/>
          <w:lang w:val="en-GB"/>
        </w:rPr>
        <w:t>https://doi.org/10.3389/fenvs.2015.00071</w:t>
      </w:r>
      <w:r w:rsidR="00067663">
        <w:rPr>
          <w:rStyle w:val="Hyperlink"/>
          <w:sz w:val="24"/>
          <w:lang w:val="en-GB"/>
        </w:rPr>
        <w:fldChar w:fldCharType="end"/>
      </w:r>
      <w:r w:rsidRPr="00805B6D">
        <w:rPr>
          <w:rStyle w:val="Hyperlink"/>
          <w:sz w:val="24"/>
          <w:lang w:val="en-GB"/>
        </w:rPr>
        <w:t>.</w:t>
      </w:r>
    </w:p>
  </w:footnote>
  <w:footnote w:id="9">
    <w:p w14:paraId="7DBE8633" w14:textId="77777777" w:rsidR="00274ECB" w:rsidRPr="00805B6D" w:rsidRDefault="00274ECB" w:rsidP="00194284">
      <w:pPr>
        <w:pStyle w:val="FootnoteText"/>
        <w:ind w:left="567" w:hanging="567"/>
        <w:rPr>
          <w:sz w:val="24"/>
          <w:lang w:val="en-GB"/>
        </w:rPr>
      </w:pPr>
      <w:r w:rsidRPr="00805B6D">
        <w:rPr>
          <w:rStyle w:val="FootnoteReference"/>
          <w:sz w:val="24"/>
          <w:lang w:val="en-GB"/>
        </w:rPr>
        <w:footnoteRef/>
      </w:r>
      <w:r w:rsidR="00194284" w:rsidRPr="00805B6D">
        <w:rPr>
          <w:sz w:val="24"/>
          <w:lang w:val="en-GB"/>
        </w:rPr>
        <w:t xml:space="preserve"> </w:t>
      </w:r>
      <w:r w:rsidR="00194284" w:rsidRPr="00805B6D">
        <w:rPr>
          <w:sz w:val="24"/>
          <w:lang w:val="en-GB"/>
        </w:rPr>
        <w:tab/>
      </w:r>
      <w:proofErr w:type="spellStart"/>
      <w:r w:rsidRPr="00805B6D">
        <w:rPr>
          <w:sz w:val="24"/>
          <w:lang w:val="en-GB"/>
        </w:rPr>
        <w:t>Hilbeck</w:t>
      </w:r>
      <w:proofErr w:type="spellEnd"/>
      <w:r w:rsidRPr="00805B6D">
        <w:rPr>
          <w:sz w:val="24"/>
          <w:lang w:val="en-GB"/>
        </w:rPr>
        <w:t xml:space="preserve">, A., </w:t>
      </w:r>
      <w:proofErr w:type="spellStart"/>
      <w:r w:rsidRPr="00805B6D">
        <w:rPr>
          <w:sz w:val="24"/>
          <w:lang w:val="en-GB"/>
        </w:rPr>
        <w:t>Defarge</w:t>
      </w:r>
      <w:proofErr w:type="spellEnd"/>
      <w:r w:rsidRPr="00805B6D">
        <w:rPr>
          <w:sz w:val="24"/>
          <w:lang w:val="en-GB"/>
        </w:rPr>
        <w:t xml:space="preserve">, N., </w:t>
      </w:r>
      <w:proofErr w:type="spellStart"/>
      <w:r w:rsidRPr="00805B6D">
        <w:rPr>
          <w:sz w:val="24"/>
          <w:lang w:val="en-GB"/>
        </w:rPr>
        <w:t>Lebrecht</w:t>
      </w:r>
      <w:proofErr w:type="spellEnd"/>
      <w:r w:rsidRPr="00805B6D">
        <w:rPr>
          <w:sz w:val="24"/>
          <w:lang w:val="en-GB"/>
        </w:rPr>
        <w:t xml:space="preserve">, T., </w:t>
      </w:r>
      <w:proofErr w:type="spellStart"/>
      <w:r w:rsidRPr="00805B6D">
        <w:rPr>
          <w:sz w:val="24"/>
          <w:lang w:val="en-GB"/>
        </w:rPr>
        <w:t>Bøhn</w:t>
      </w:r>
      <w:proofErr w:type="spellEnd"/>
      <w:r w:rsidRPr="00805B6D">
        <w:rPr>
          <w:sz w:val="24"/>
          <w:lang w:val="en-GB"/>
        </w:rPr>
        <w:t xml:space="preserve">, T., ‘Insecticidal </w:t>
      </w:r>
      <w:proofErr w:type="spellStart"/>
      <w:r w:rsidRPr="00805B6D">
        <w:rPr>
          <w:sz w:val="24"/>
          <w:lang w:val="en-GB"/>
        </w:rPr>
        <w:t>Bt</w:t>
      </w:r>
      <w:proofErr w:type="spellEnd"/>
      <w:r w:rsidRPr="00805B6D">
        <w:rPr>
          <w:sz w:val="24"/>
          <w:lang w:val="en-GB"/>
        </w:rPr>
        <w:t xml:space="preserve"> crops. EFSA’s risk assessment approach for GM </w:t>
      </w:r>
      <w:proofErr w:type="spellStart"/>
      <w:r w:rsidRPr="00805B6D">
        <w:rPr>
          <w:sz w:val="24"/>
          <w:lang w:val="en-GB"/>
        </w:rPr>
        <w:t>Bt</w:t>
      </w:r>
      <w:proofErr w:type="spellEnd"/>
      <w:r w:rsidRPr="00805B6D">
        <w:rPr>
          <w:sz w:val="24"/>
          <w:lang w:val="en-GB"/>
        </w:rPr>
        <w:t xml:space="preserve"> plants fails by design’, RAGES 2020, p. 4, </w:t>
      </w:r>
      <w:r w:rsidR="00067663">
        <w:fldChar w:fldCharType="begin"/>
      </w:r>
      <w:r w:rsidR="00067663" w:rsidRPr="00067663">
        <w:rPr>
          <w:lang w:val="en-GB"/>
        </w:rPr>
        <w:instrText xml:space="preserve"> HYPERLINK "https://www.testbiotech.org/wp-content/uploads/2023/12/RAGES_re</w:instrText>
      </w:r>
      <w:r w:rsidR="00067663" w:rsidRPr="00067663">
        <w:rPr>
          <w:lang w:val="en-GB"/>
        </w:rPr>
        <w:instrText xml:space="preserve">port-Insecticidal-Bt-plants.pdf" </w:instrText>
      </w:r>
      <w:r w:rsidR="00067663">
        <w:fldChar w:fldCharType="separate"/>
      </w:r>
      <w:r w:rsidRPr="00805B6D">
        <w:rPr>
          <w:rStyle w:val="Hyperlink"/>
          <w:sz w:val="24"/>
          <w:lang w:val="en-GB"/>
        </w:rPr>
        <w:t>https://www.testbiotech.org/wp-content/uploads/2023/12/RAGES_report-Insecticidal-Bt-plants.pdf</w:t>
      </w:r>
      <w:r w:rsidR="00067663">
        <w:rPr>
          <w:rStyle w:val="Hyperlink"/>
          <w:sz w:val="24"/>
          <w:lang w:val="en-GB"/>
        </w:rPr>
        <w:fldChar w:fldCharType="end"/>
      </w:r>
      <w:r w:rsidRPr="00805B6D">
        <w:rPr>
          <w:rStyle w:val="Hyperlink"/>
          <w:sz w:val="24"/>
          <w:lang w:val="en-GB"/>
        </w:rPr>
        <w:t xml:space="preserve">. </w:t>
      </w:r>
    </w:p>
  </w:footnote>
  <w:footnote w:id="10">
    <w:p w14:paraId="112F5309" w14:textId="77777777" w:rsidR="00274ECB" w:rsidRPr="00805B6D" w:rsidRDefault="00274ECB" w:rsidP="00194284">
      <w:pPr>
        <w:pStyle w:val="FootnoteText"/>
        <w:ind w:left="567" w:hanging="567"/>
        <w:rPr>
          <w:sz w:val="24"/>
          <w:lang w:val="en-GB"/>
        </w:rPr>
      </w:pPr>
      <w:r w:rsidRPr="00805B6D">
        <w:rPr>
          <w:rStyle w:val="FootnoteReference"/>
          <w:sz w:val="24"/>
          <w:lang w:val="en-GB"/>
        </w:rPr>
        <w:footnoteRef/>
      </w:r>
      <w:r w:rsidR="00194284" w:rsidRPr="00805B6D">
        <w:rPr>
          <w:sz w:val="24"/>
          <w:lang w:val="en-GB"/>
        </w:rPr>
        <w:t xml:space="preserve"> </w:t>
      </w:r>
      <w:r w:rsidR="00194284" w:rsidRPr="00805B6D">
        <w:rPr>
          <w:sz w:val="24"/>
          <w:lang w:val="en-GB"/>
        </w:rPr>
        <w:tab/>
      </w:r>
      <w:r w:rsidR="00067663">
        <w:fldChar w:fldCharType="begin"/>
      </w:r>
      <w:r w:rsidR="00067663" w:rsidRPr="00067663">
        <w:rPr>
          <w:lang w:val="en-GB"/>
        </w:rPr>
        <w:instrText xml:space="preserve"> HYPERLINK "https://commission.europa.eu/document/2c64e540-c07a-4376-a1da-368d289f4afe_en" </w:instrText>
      </w:r>
      <w:r w:rsidR="00067663">
        <w:fldChar w:fldCharType="separate"/>
      </w:r>
      <w:r w:rsidRPr="00805B6D">
        <w:rPr>
          <w:rStyle w:val="Hyperlink"/>
          <w:sz w:val="24"/>
          <w:lang w:val="en-GB"/>
        </w:rPr>
        <w:t>https://commission.europa.eu/document/2c64e540-c07a-4376-a1da-368d289f4afe_en</w:t>
      </w:r>
      <w:r w:rsidR="00067663">
        <w:rPr>
          <w:rStyle w:val="Hyperlink"/>
          <w:sz w:val="24"/>
          <w:lang w:val="en-GB"/>
        </w:rPr>
        <w:fldChar w:fldCharType="end"/>
      </w:r>
    </w:p>
  </w:footnote>
  <w:footnote w:id="11">
    <w:p w14:paraId="5F912ECC" w14:textId="77777777" w:rsidR="00274ECB" w:rsidRPr="00805B6D" w:rsidRDefault="00274ECB" w:rsidP="00194284">
      <w:pPr>
        <w:pStyle w:val="FootnoteText"/>
        <w:ind w:left="567" w:hanging="567"/>
        <w:rPr>
          <w:sz w:val="24"/>
          <w:lang w:val="en-GB"/>
        </w:rPr>
      </w:pPr>
      <w:r w:rsidRPr="00805B6D">
        <w:rPr>
          <w:rStyle w:val="FootnoteReference"/>
          <w:sz w:val="24"/>
          <w:lang w:val="en-GB"/>
        </w:rPr>
        <w:footnoteRef/>
      </w:r>
      <w:r w:rsidR="00194284" w:rsidRPr="00805B6D">
        <w:rPr>
          <w:sz w:val="24"/>
          <w:lang w:val="en-GB"/>
        </w:rPr>
        <w:t xml:space="preserve"> </w:t>
      </w:r>
      <w:r w:rsidR="00194284" w:rsidRPr="00805B6D">
        <w:rPr>
          <w:sz w:val="24"/>
          <w:lang w:val="en-GB"/>
        </w:rPr>
        <w:tab/>
      </w:r>
      <w:r w:rsidRPr="00805B6D">
        <w:rPr>
          <w:sz w:val="24"/>
          <w:lang w:val="en-GB"/>
        </w:rPr>
        <w:t>Directive 2001/18/EC of the European Parliament and of the Council of 12 March 2001 on the deliberate release into the environment of genetically modified organisms and repealing Council Directive 90/220/EEC (OJ L 106, 17.4.2001, p. 1, ELI: </w:t>
      </w:r>
      <w:r w:rsidR="00067663">
        <w:fldChar w:fldCharType="begin"/>
      </w:r>
      <w:r w:rsidR="00067663" w:rsidRPr="00067663">
        <w:rPr>
          <w:lang w:val="en-GB"/>
        </w:rPr>
        <w:instrText xml:space="preserve"> HYPERLINK "http://data.europa.eu/eli/dir/2001/18/oj" \o "Gives access to this document through its ELI URI." </w:instrText>
      </w:r>
      <w:r w:rsidR="00067663">
        <w:fldChar w:fldCharType="separate"/>
      </w:r>
      <w:r w:rsidRPr="00805B6D">
        <w:rPr>
          <w:rStyle w:val="Hyperlink"/>
          <w:sz w:val="24"/>
          <w:lang w:val="en-GB"/>
        </w:rPr>
        <w:t>http://data.europa.eu/eli/dir/2001/18/oj</w:t>
      </w:r>
      <w:r w:rsidR="00067663">
        <w:rPr>
          <w:rStyle w:val="Hyperlink"/>
          <w:sz w:val="24"/>
          <w:lang w:val="en-GB"/>
        </w:rPr>
        <w:fldChar w:fldCharType="end"/>
      </w:r>
      <w:r w:rsidRPr="00805B6D">
        <w:rPr>
          <w:sz w:val="24"/>
          <w:lang w:val="en-GB"/>
        </w:rPr>
        <w:t>).</w:t>
      </w:r>
    </w:p>
  </w:footnote>
  <w:footnote w:id="12">
    <w:p w14:paraId="5FBD4098" w14:textId="77777777" w:rsidR="00274ECB" w:rsidRPr="00805B6D" w:rsidRDefault="00274ECB" w:rsidP="00194284">
      <w:pPr>
        <w:pStyle w:val="FootnoteText"/>
        <w:ind w:left="567" w:hanging="567"/>
        <w:rPr>
          <w:sz w:val="24"/>
          <w:lang w:val="en-GB"/>
        </w:rPr>
      </w:pPr>
      <w:r w:rsidRPr="00805B6D">
        <w:rPr>
          <w:rStyle w:val="FootnoteReference"/>
          <w:sz w:val="24"/>
          <w:lang w:val="en-GB"/>
        </w:rPr>
        <w:footnoteRef/>
      </w:r>
      <w:r w:rsidR="00194284" w:rsidRPr="00805B6D">
        <w:rPr>
          <w:sz w:val="24"/>
          <w:lang w:val="en-GB"/>
        </w:rPr>
        <w:t xml:space="preserve"> </w:t>
      </w:r>
      <w:r w:rsidR="00194284" w:rsidRPr="00805B6D">
        <w:rPr>
          <w:sz w:val="24"/>
          <w:lang w:val="en-GB"/>
        </w:rPr>
        <w:tab/>
      </w:r>
      <w:proofErr w:type="gramStart"/>
      <w:r w:rsidRPr="00805B6D">
        <w:rPr>
          <w:sz w:val="24"/>
          <w:lang w:val="en-GB"/>
        </w:rPr>
        <w:t>Commission Implementing Regulation (EU) No 503/2013 of 3 April 2013 on applications for authorisation of genetically modified food and feed in accordance with Regulation (EC) No 1829/2003 of the European Parliament and of the Council and amending Commission Regulations (EC) No 641/2004 and (EC) No 1981/2006 (OJ L 157, 8.6.2013, p. 1, ELI: </w:t>
      </w:r>
      <w:r w:rsidR="00067663">
        <w:fldChar w:fldCharType="begin"/>
      </w:r>
      <w:r w:rsidR="00067663" w:rsidRPr="00067663">
        <w:rPr>
          <w:lang w:val="en-GB"/>
        </w:rPr>
        <w:instrText xml:space="preserve"> HYPERLINK "http://data.europa.eu/eli/reg_impl/2013/503/oj" \o "Gives access to this document through its ELI URI." </w:instrText>
      </w:r>
      <w:r w:rsidR="00067663">
        <w:fldChar w:fldCharType="separate"/>
      </w:r>
      <w:r w:rsidRPr="00805B6D">
        <w:rPr>
          <w:rStyle w:val="Hyperlink"/>
          <w:sz w:val="24"/>
          <w:lang w:val="en-GB"/>
        </w:rPr>
        <w:t>http://data.europa.eu/eli/reg_impl/2013/503/oj</w:t>
      </w:r>
      <w:r w:rsidR="00067663">
        <w:rPr>
          <w:rStyle w:val="Hyperlink"/>
          <w:sz w:val="24"/>
          <w:lang w:val="en-GB"/>
        </w:rPr>
        <w:fldChar w:fldCharType="end"/>
      </w:r>
      <w:r w:rsidRPr="00805B6D">
        <w:rPr>
          <w:sz w:val="24"/>
          <w:lang w:val="en-GB"/>
        </w:rPr>
        <w:t>).</w:t>
      </w:r>
      <w:proofErr w:type="gramEnd"/>
    </w:p>
  </w:footnote>
  <w:footnote w:id="13">
    <w:p w14:paraId="7A63E40D" w14:textId="77777777" w:rsidR="00274ECB" w:rsidRPr="00805B6D" w:rsidRDefault="00274ECB" w:rsidP="00194284">
      <w:pPr>
        <w:pStyle w:val="FootnoteText"/>
        <w:ind w:left="567" w:hanging="567"/>
        <w:rPr>
          <w:sz w:val="24"/>
          <w:lang w:val="en-GB"/>
        </w:rPr>
      </w:pPr>
      <w:r w:rsidRPr="00805B6D">
        <w:rPr>
          <w:rStyle w:val="FootnoteReference"/>
          <w:sz w:val="24"/>
          <w:lang w:val="en-GB"/>
        </w:rPr>
        <w:footnoteRef/>
      </w:r>
      <w:r w:rsidR="00194284" w:rsidRPr="00805B6D">
        <w:rPr>
          <w:sz w:val="24"/>
          <w:lang w:val="en-GB"/>
        </w:rPr>
        <w:t xml:space="preserve"> </w:t>
      </w:r>
      <w:r w:rsidR="00194284" w:rsidRPr="00805B6D">
        <w:rPr>
          <w:sz w:val="24"/>
          <w:lang w:val="en-GB"/>
        </w:rPr>
        <w:tab/>
      </w:r>
      <w:proofErr w:type="gramStart"/>
      <w:r w:rsidRPr="00805B6D">
        <w:rPr>
          <w:sz w:val="24"/>
          <w:lang w:val="en-GB"/>
        </w:rPr>
        <w:t>European Parliament resolution of 11 November 2020 on the draft Commission implementing decision authorising the placing on the market of products containing, consisting of or produced from genetically modified maize MON 87427 × MON 87460 × MON 89034 × MIR162 × NK603 and genetically modified maize combining two, three or four of the single events MON 87427, MON 87460, MON 89034, MIR162 and NK603, pursuant to Regulation (EC) No 1829/2003 of the European Parliament and of the Council (OJ C 415, 13.10.2021, p. 15).</w:t>
      </w:r>
      <w:proofErr w:type="gramEnd"/>
      <w:r w:rsidRPr="00805B6D">
        <w:rPr>
          <w:sz w:val="24"/>
          <w:lang w:val="en-GB"/>
        </w:rPr>
        <w:t xml:space="preserve"> </w:t>
      </w:r>
    </w:p>
  </w:footnote>
  <w:footnote w:id="14">
    <w:p w14:paraId="6530C8F2" w14:textId="77777777" w:rsidR="00274ECB" w:rsidRPr="00805B6D" w:rsidRDefault="00274ECB" w:rsidP="00194284">
      <w:pPr>
        <w:pStyle w:val="FootnoteText"/>
        <w:ind w:left="567" w:hanging="567"/>
        <w:rPr>
          <w:sz w:val="24"/>
          <w:lang w:val="en-GB"/>
        </w:rPr>
      </w:pPr>
      <w:r w:rsidRPr="00805B6D">
        <w:rPr>
          <w:rStyle w:val="FootnoteReference"/>
          <w:sz w:val="24"/>
          <w:lang w:val="en-GB"/>
        </w:rPr>
        <w:footnoteRef/>
      </w:r>
      <w:r w:rsidR="00194284" w:rsidRPr="00805B6D">
        <w:rPr>
          <w:sz w:val="24"/>
          <w:lang w:val="en-GB"/>
        </w:rPr>
        <w:t xml:space="preserve"> </w:t>
      </w:r>
      <w:r w:rsidR="00194284" w:rsidRPr="00805B6D">
        <w:rPr>
          <w:sz w:val="24"/>
          <w:lang w:val="en-GB"/>
        </w:rPr>
        <w:tab/>
      </w:r>
      <w:r w:rsidR="00067663">
        <w:fldChar w:fldCharType="begin"/>
      </w:r>
      <w:r w:rsidR="00067663" w:rsidRPr="00067663">
        <w:rPr>
          <w:lang w:val="en-GB"/>
        </w:rPr>
        <w:instrText xml:space="preserve"> HYPERLINK "https://www.who.int/campaigns</w:instrText>
      </w:r>
      <w:r w:rsidR="00067663" w:rsidRPr="00067663">
        <w:rPr>
          <w:lang w:val="en-GB"/>
        </w:rPr>
        <w:instrText xml:space="preserve">/world-amr-awareness-week/2024/amr-is-invisible-i-am-not" </w:instrText>
      </w:r>
      <w:r w:rsidR="00067663">
        <w:fldChar w:fldCharType="separate"/>
      </w:r>
      <w:r w:rsidRPr="00805B6D">
        <w:rPr>
          <w:rStyle w:val="Hyperlink"/>
          <w:sz w:val="24"/>
          <w:lang w:val="en-GB"/>
        </w:rPr>
        <w:t>https://www.who.int/campaigns/world-amr-awareness-week/2024/amr-is-invisible-i-am-not</w:t>
      </w:r>
      <w:r w:rsidR="00067663">
        <w:rPr>
          <w:rStyle w:val="Hyperlink"/>
          <w:sz w:val="24"/>
          <w:lang w:val="en-GB"/>
        </w:rPr>
        <w:fldChar w:fldCharType="end"/>
      </w:r>
      <w:r w:rsidR="004802B9" w:rsidRPr="00805B6D">
        <w:rPr>
          <w:rStyle w:val="Hyperlink"/>
          <w:sz w:val="24"/>
          <w:lang w:val="en-GB"/>
        </w:rPr>
        <w:t>.</w:t>
      </w:r>
    </w:p>
  </w:footnote>
  <w:footnote w:id="15">
    <w:p w14:paraId="1B99E06E" w14:textId="77777777" w:rsidR="00274ECB" w:rsidRPr="00805B6D" w:rsidRDefault="00274ECB" w:rsidP="00194284">
      <w:pPr>
        <w:pStyle w:val="FootnoteText"/>
        <w:ind w:left="567" w:hanging="567"/>
        <w:rPr>
          <w:color w:val="1F497D"/>
          <w:sz w:val="24"/>
          <w:szCs w:val="22"/>
          <w:lang w:val="en-GB" w:eastAsia="en-US"/>
        </w:rPr>
      </w:pPr>
      <w:r w:rsidRPr="00805B6D">
        <w:rPr>
          <w:rStyle w:val="FootnoteReference"/>
          <w:sz w:val="24"/>
          <w:lang w:val="en-GB"/>
        </w:rPr>
        <w:footnoteRef/>
      </w:r>
      <w:r w:rsidR="00194284" w:rsidRPr="00805B6D">
        <w:rPr>
          <w:sz w:val="24"/>
          <w:lang w:val="en-GB"/>
        </w:rPr>
        <w:t xml:space="preserve"> </w:t>
      </w:r>
      <w:r w:rsidR="00194284" w:rsidRPr="00805B6D">
        <w:rPr>
          <w:sz w:val="24"/>
          <w:lang w:val="en-GB"/>
        </w:rPr>
        <w:tab/>
      </w:r>
      <w:r w:rsidR="00067663">
        <w:fldChar w:fldCharType="begin"/>
      </w:r>
      <w:r w:rsidR="00067663" w:rsidRPr="00067663">
        <w:rPr>
          <w:lang w:val="en-GB"/>
        </w:rPr>
        <w:instrText xml:space="preserve"> HYPERLINK "https://efsa.onlinelibrary.wiley.com/action/downloadSupplement?doi=10.2903%2Fj.efsa.2023.8031</w:instrText>
      </w:r>
      <w:r w:rsidR="00067663" w:rsidRPr="00067663">
        <w:rPr>
          <w:lang w:val="en-GB"/>
        </w:rPr>
        <w:instrText xml:space="preserve">&amp;file=efs28031-sup-0008-Annex8.pdf" </w:instrText>
      </w:r>
      <w:r w:rsidR="00067663">
        <w:fldChar w:fldCharType="separate"/>
      </w:r>
      <w:r w:rsidRPr="00805B6D">
        <w:rPr>
          <w:rStyle w:val="Hyperlink"/>
          <w:sz w:val="24"/>
          <w:lang w:val="en-GB"/>
        </w:rPr>
        <w:t>https://efsa.onlinelibrary.wiley.com/action/downloadSupplement?</w:t>
      </w:r>
      <w:r w:rsidRPr="00805B6D">
        <w:rPr>
          <w:rStyle w:val="Hyperlink"/>
          <w:sz w:val="24"/>
          <w:lang w:val="en-GB"/>
        </w:rPr>
        <w:br/>
        <w:t>doi=10.2903%2Fj.efsa.2023.8031&amp;file=efs28031-sup-0008-Annex8.pdf</w:t>
      </w:r>
      <w:r w:rsidR="00067663">
        <w:rPr>
          <w:rStyle w:val="Hyperlink"/>
          <w:sz w:val="24"/>
          <w:lang w:val="en-GB"/>
        </w:rPr>
        <w:fldChar w:fldCharType="end"/>
      </w:r>
      <w:r w:rsidRPr="00805B6D">
        <w:rPr>
          <w:sz w:val="24"/>
          <w:lang w:val="en-GB"/>
        </w:rPr>
        <w:t>.</w:t>
      </w:r>
    </w:p>
  </w:footnote>
  <w:footnote w:id="16">
    <w:p w14:paraId="7943A0BE" w14:textId="77777777" w:rsidR="00274ECB" w:rsidRPr="00805B6D" w:rsidRDefault="00274ECB" w:rsidP="00194284">
      <w:pPr>
        <w:pStyle w:val="FootnoteText"/>
        <w:ind w:left="567" w:hanging="567"/>
        <w:rPr>
          <w:sz w:val="24"/>
          <w:lang w:val="en-GB"/>
        </w:rPr>
      </w:pPr>
      <w:r w:rsidRPr="00805B6D">
        <w:rPr>
          <w:rStyle w:val="FootnoteReference"/>
          <w:sz w:val="24"/>
          <w:lang w:val="en-GB"/>
        </w:rPr>
        <w:footnoteRef/>
      </w:r>
      <w:r w:rsidR="00194284" w:rsidRPr="00805B6D">
        <w:rPr>
          <w:sz w:val="24"/>
          <w:lang w:val="en-GB"/>
        </w:rPr>
        <w:t xml:space="preserve"> </w:t>
      </w:r>
      <w:r w:rsidR="00194284" w:rsidRPr="00805B6D">
        <w:rPr>
          <w:sz w:val="24"/>
          <w:lang w:val="en-GB"/>
        </w:rPr>
        <w:tab/>
      </w:r>
      <w:r w:rsidRPr="00805B6D">
        <w:rPr>
          <w:sz w:val="24"/>
          <w:lang w:val="en-GB"/>
        </w:rPr>
        <w:t>The Commission ‘may’, and not ‘shall’, go ahead with authorisation if there is no qualified majority of Member States in favour at the Appeal Committee, according to Article 6(3) of Regulation (EU) No 182/2011.</w:t>
      </w:r>
    </w:p>
  </w:footnote>
  <w:footnote w:id="17">
    <w:p w14:paraId="327A8F7C" w14:textId="77777777" w:rsidR="00274ECB" w:rsidRPr="00805B6D" w:rsidRDefault="00274ECB" w:rsidP="00194284">
      <w:pPr>
        <w:pStyle w:val="FootnoteText"/>
        <w:ind w:left="567" w:hanging="567"/>
        <w:rPr>
          <w:sz w:val="24"/>
          <w:lang w:val="en-GB"/>
        </w:rPr>
      </w:pPr>
      <w:r w:rsidRPr="00805B6D">
        <w:rPr>
          <w:rStyle w:val="FootnoteReference"/>
          <w:sz w:val="24"/>
          <w:lang w:val="en-GB"/>
        </w:rPr>
        <w:footnoteRef/>
      </w:r>
      <w:r w:rsidR="00194284" w:rsidRPr="00805B6D">
        <w:rPr>
          <w:sz w:val="24"/>
          <w:lang w:val="en-GB"/>
        </w:rPr>
        <w:t xml:space="preserve"> </w:t>
      </w:r>
      <w:r w:rsidR="00194284" w:rsidRPr="00805B6D">
        <w:rPr>
          <w:sz w:val="24"/>
          <w:lang w:val="en-GB"/>
        </w:rPr>
        <w:tab/>
      </w:r>
      <w:r w:rsidRPr="00805B6D">
        <w:rPr>
          <w:sz w:val="24"/>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r w:rsidR="00067663">
        <w:fldChar w:fldCharType="begin"/>
      </w:r>
      <w:r w:rsidR="00067663" w:rsidRPr="00067663">
        <w:rPr>
          <w:lang w:val="en-GB"/>
        </w:rPr>
        <w:instrText xml:space="preserve"> HYPERLINK "http://data.europa.eu/eli/reg/2002/178/oj" \o "Gives access to this document thr</w:instrText>
      </w:r>
      <w:r w:rsidR="00067663" w:rsidRPr="00067663">
        <w:rPr>
          <w:lang w:val="en-GB"/>
        </w:rPr>
        <w:instrText xml:space="preserve">ough its ELI URI." </w:instrText>
      </w:r>
      <w:r w:rsidR="00067663">
        <w:fldChar w:fldCharType="separate"/>
      </w:r>
      <w:r w:rsidRPr="00805B6D">
        <w:rPr>
          <w:rStyle w:val="Hyperlink"/>
          <w:sz w:val="24"/>
          <w:lang w:val="en-GB"/>
        </w:rPr>
        <w:t>http://data.europa.eu/eli/reg/2002/178/oj</w:t>
      </w:r>
      <w:r w:rsidR="00067663">
        <w:rPr>
          <w:rStyle w:val="Hyperlink"/>
          <w:sz w:val="24"/>
          <w:lang w:val="en-GB"/>
        </w:rPr>
        <w:fldChar w:fldCharType="end"/>
      </w:r>
      <w:r w:rsidRPr="00805B6D">
        <w:rPr>
          <w:sz w:val="24"/>
          <w:lang w:val="en-GB"/>
        </w:rPr>
        <w:t>).</w:t>
      </w:r>
    </w:p>
  </w:footnote>
  <w:footnote w:id="18">
    <w:p w14:paraId="22DF68A2" w14:textId="77777777" w:rsidR="00274ECB" w:rsidRPr="00805B6D" w:rsidRDefault="00274ECB" w:rsidP="00194284">
      <w:pPr>
        <w:pStyle w:val="FootnoteText"/>
        <w:ind w:left="567" w:hanging="567"/>
        <w:rPr>
          <w:sz w:val="24"/>
          <w:lang w:val="en-GB"/>
        </w:rPr>
      </w:pPr>
      <w:r w:rsidRPr="00805B6D">
        <w:rPr>
          <w:rStyle w:val="FootnoteReference"/>
          <w:sz w:val="24"/>
          <w:lang w:val="en-GB"/>
        </w:rPr>
        <w:footnoteRef/>
      </w:r>
      <w:r w:rsidR="00194284" w:rsidRPr="00805B6D">
        <w:rPr>
          <w:sz w:val="24"/>
          <w:lang w:val="en-GB"/>
        </w:rPr>
        <w:t xml:space="preserve"> </w:t>
      </w:r>
      <w:r w:rsidR="00194284" w:rsidRPr="00805B6D">
        <w:rPr>
          <w:sz w:val="24"/>
          <w:lang w:val="en-GB"/>
        </w:rPr>
        <w:tab/>
      </w:r>
      <w:r w:rsidR="00067663">
        <w:fldChar w:fldCharType="begin"/>
      </w:r>
      <w:r w:rsidR="00067663" w:rsidRPr="00067663">
        <w:rPr>
          <w:lang w:val="en-GB"/>
        </w:rPr>
        <w:instrText xml:space="preserve"> HYPERLINK "https://tillymetz.lu/wp-content/uploads/2020/09/Co-signed-letter-MEP-Metz.pdf" </w:instrText>
      </w:r>
      <w:r w:rsidR="00067663">
        <w:fldChar w:fldCharType="separate"/>
      </w:r>
      <w:r w:rsidRPr="00805B6D">
        <w:rPr>
          <w:rStyle w:val="Hyperlink"/>
          <w:sz w:val="24"/>
          <w:lang w:val="en-GB"/>
        </w:rPr>
        <w:t>https://tillymetz.lu/wp-content/uploads/2020/09/Co-signed-letter-MEP-Metz.pdf</w:t>
      </w:r>
      <w:r w:rsidR="00067663">
        <w:rPr>
          <w:rStyle w:val="Hyperlink"/>
          <w:sz w:val="24"/>
          <w:lang w:val="en-GB"/>
        </w:rPr>
        <w:fldChar w:fldCharType="end"/>
      </w:r>
      <w:r w:rsidRPr="00805B6D">
        <w:rPr>
          <w:rStyle w:val="Hyperlink"/>
          <w:sz w:val="24"/>
          <w:lang w:val="en-GB"/>
        </w:rPr>
        <w:t>.</w:t>
      </w:r>
    </w:p>
  </w:footnote>
  <w:footnote w:id="19">
    <w:p w14:paraId="6FBDC77F" w14:textId="77777777" w:rsidR="00274ECB" w:rsidRPr="00194284" w:rsidRDefault="00274ECB" w:rsidP="00194284">
      <w:pPr>
        <w:pStyle w:val="FootnoteText"/>
        <w:ind w:left="567" w:hanging="567"/>
        <w:rPr>
          <w:sz w:val="24"/>
          <w:lang w:val="en-GB"/>
        </w:rPr>
      </w:pPr>
      <w:r w:rsidRPr="00805B6D">
        <w:rPr>
          <w:rStyle w:val="FootnoteReference"/>
          <w:sz w:val="24"/>
          <w:lang w:val="en-GB"/>
        </w:rPr>
        <w:footnoteRef/>
      </w:r>
      <w:r w:rsidR="00194284" w:rsidRPr="00805B6D">
        <w:rPr>
          <w:sz w:val="24"/>
          <w:lang w:val="en-GB"/>
        </w:rPr>
        <w:t xml:space="preserve"> </w:t>
      </w:r>
      <w:r w:rsidR="00194284" w:rsidRPr="00805B6D">
        <w:rPr>
          <w:sz w:val="24"/>
          <w:lang w:val="en-GB"/>
        </w:rPr>
        <w:tab/>
      </w:r>
      <w:r w:rsidRPr="00805B6D">
        <w:rPr>
          <w:sz w:val="24"/>
          <w:lang w:val="en-GB"/>
        </w:rPr>
        <w:t>European Parliament resolution of 15 January 2020 on the European Green Deal (OJ C 270, 7.7.2021, p. 2), paragraph 102.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54B1F" w14:textId="77777777" w:rsidR="00064002" w:rsidRPr="0019428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7739B" w14:textId="77777777" w:rsidR="00064002" w:rsidRPr="0019428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C9FDA" w14:textId="77777777" w:rsidR="00064002" w:rsidRPr="0019428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45/2024"/>
    <w:docVar w:name="dvlangue" w:val="EN"/>
    <w:docVar w:name="dvnumam" w:val="0"/>
    <w:docVar w:name="dvpe" w:val="764.959"/>
    <w:docVar w:name="dvtitre" w:val="European Parliament resolution of xx Xxxx 2024 on the draft Commission implementing decision authorising the placing on the market of products containing, consisting of or produced from genetically modified cotton COT102 pursuant to Regulation (EC) No 1829/2003 of the European Parliament and of the Council(D098499/04 – 2024/2835(RSP))"/>
  </w:docVars>
  <w:rsids>
    <w:rsidRoot w:val="009B1005"/>
    <w:rsid w:val="00002272"/>
    <w:rsid w:val="00064002"/>
    <w:rsid w:val="00067663"/>
    <w:rsid w:val="000677B9"/>
    <w:rsid w:val="000831BA"/>
    <w:rsid w:val="000A42CC"/>
    <w:rsid w:val="000E7DD9"/>
    <w:rsid w:val="0010095E"/>
    <w:rsid w:val="00125B37"/>
    <w:rsid w:val="00182E11"/>
    <w:rsid w:val="00187494"/>
    <w:rsid w:val="00194284"/>
    <w:rsid w:val="001F32AE"/>
    <w:rsid w:val="00274ECB"/>
    <w:rsid w:val="002767FF"/>
    <w:rsid w:val="002B18FE"/>
    <w:rsid w:val="002B5493"/>
    <w:rsid w:val="002E68C7"/>
    <w:rsid w:val="00343214"/>
    <w:rsid w:val="00361C00"/>
    <w:rsid w:val="00395FA1"/>
    <w:rsid w:val="003A40FB"/>
    <w:rsid w:val="003E15D4"/>
    <w:rsid w:val="00411CCE"/>
    <w:rsid w:val="0041666E"/>
    <w:rsid w:val="00421060"/>
    <w:rsid w:val="00471C19"/>
    <w:rsid w:val="004802B9"/>
    <w:rsid w:val="004867E3"/>
    <w:rsid w:val="00490F13"/>
    <w:rsid w:val="00494A28"/>
    <w:rsid w:val="004C0004"/>
    <w:rsid w:val="004C5D52"/>
    <w:rsid w:val="0050519A"/>
    <w:rsid w:val="005072A1"/>
    <w:rsid w:val="00514517"/>
    <w:rsid w:val="00545827"/>
    <w:rsid w:val="00560270"/>
    <w:rsid w:val="005C2568"/>
    <w:rsid w:val="005F1B17"/>
    <w:rsid w:val="006037C0"/>
    <w:rsid w:val="006631B6"/>
    <w:rsid w:val="00680577"/>
    <w:rsid w:val="006A6745"/>
    <w:rsid w:val="006F74FA"/>
    <w:rsid w:val="00727882"/>
    <w:rsid w:val="00731ADD"/>
    <w:rsid w:val="00734777"/>
    <w:rsid w:val="00747932"/>
    <w:rsid w:val="00751A4A"/>
    <w:rsid w:val="00756632"/>
    <w:rsid w:val="00762C74"/>
    <w:rsid w:val="00786EC0"/>
    <w:rsid w:val="007D1690"/>
    <w:rsid w:val="007E22AD"/>
    <w:rsid w:val="00805B6D"/>
    <w:rsid w:val="008076DC"/>
    <w:rsid w:val="00817416"/>
    <w:rsid w:val="00842779"/>
    <w:rsid w:val="00865F67"/>
    <w:rsid w:val="00881A7B"/>
    <w:rsid w:val="008840E5"/>
    <w:rsid w:val="00887B3E"/>
    <w:rsid w:val="008C2AC6"/>
    <w:rsid w:val="00930C23"/>
    <w:rsid w:val="0093193B"/>
    <w:rsid w:val="009509D8"/>
    <w:rsid w:val="00950B64"/>
    <w:rsid w:val="00981893"/>
    <w:rsid w:val="009B1005"/>
    <w:rsid w:val="00A0205C"/>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64C28"/>
    <w:rsid w:val="00D834A0"/>
    <w:rsid w:val="00D872DF"/>
    <w:rsid w:val="00D91E21"/>
    <w:rsid w:val="00DA7FCD"/>
    <w:rsid w:val="00DD0415"/>
    <w:rsid w:val="00E365E1"/>
    <w:rsid w:val="00E820A4"/>
    <w:rsid w:val="00EB006A"/>
    <w:rsid w:val="00EB4772"/>
    <w:rsid w:val="00ED169E"/>
    <w:rsid w:val="00ED4235"/>
    <w:rsid w:val="00F04346"/>
    <w:rsid w:val="00F075DC"/>
    <w:rsid w:val="00F149E9"/>
    <w:rsid w:val="00F5134D"/>
    <w:rsid w:val="00F74202"/>
    <w:rsid w:val="00F87713"/>
    <w:rsid w:val="00FA48D2"/>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9C7662"/>
  <w15:chartTrackingRefBased/>
  <w15:docId w15:val="{4E154EAD-7018-4B56-AF31-C002CC779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274ECB"/>
    <w:pPr>
      <w:spacing w:before="480" w:after="240"/>
    </w:pPr>
  </w:style>
  <w:style w:type="paragraph" w:customStyle="1" w:styleId="NormalHanging12a">
    <w:name w:val="NormalHanging12a"/>
    <w:basedOn w:val="Normal"/>
    <w:rsid w:val="00274ECB"/>
    <w:pPr>
      <w:spacing w:after="240"/>
      <w:ind w:left="567" w:hanging="567"/>
    </w:pPr>
  </w:style>
  <w:style w:type="character" w:styleId="Hyperlink">
    <w:name w:val="Hyperlink"/>
    <w:basedOn w:val="DefaultParagraphFont"/>
    <w:uiPriority w:val="99"/>
    <w:rsid w:val="00274ECB"/>
    <w:rPr>
      <w:color w:val="0563C1" w:themeColor="hyperlink"/>
      <w:u w:val="single"/>
    </w:rPr>
  </w:style>
  <w:style w:type="paragraph" w:styleId="BalloonText">
    <w:name w:val="Balloon Text"/>
    <w:basedOn w:val="Normal"/>
    <w:link w:val="BalloonTextChar"/>
    <w:rsid w:val="00D64C28"/>
    <w:rPr>
      <w:rFonts w:ascii="Segoe UI" w:hAnsi="Segoe UI" w:cs="Segoe UI"/>
      <w:sz w:val="18"/>
      <w:szCs w:val="18"/>
    </w:rPr>
  </w:style>
  <w:style w:type="character" w:customStyle="1" w:styleId="BalloonTextChar">
    <w:name w:val="Balloon Text Char"/>
    <w:basedOn w:val="DefaultParagraphFont"/>
    <w:link w:val="BalloonText"/>
    <w:rsid w:val="00D64C28"/>
    <w:rPr>
      <w:rFonts w:ascii="Segoe UI" w:hAnsi="Segoe UI" w:cs="Segoe UI"/>
      <w:sz w:val="18"/>
      <w:szCs w:val="18"/>
    </w:rPr>
  </w:style>
  <w:style w:type="character" w:styleId="CommentReference">
    <w:name w:val="annotation reference"/>
    <w:basedOn w:val="DefaultParagraphFont"/>
    <w:rsid w:val="00DD0415"/>
    <w:rPr>
      <w:sz w:val="16"/>
      <w:szCs w:val="16"/>
    </w:rPr>
  </w:style>
  <w:style w:type="paragraph" w:styleId="CommentText">
    <w:name w:val="annotation text"/>
    <w:basedOn w:val="Normal"/>
    <w:link w:val="CommentTextChar"/>
    <w:rsid w:val="00DD0415"/>
    <w:rPr>
      <w:sz w:val="20"/>
    </w:rPr>
  </w:style>
  <w:style w:type="character" w:customStyle="1" w:styleId="CommentTextChar">
    <w:name w:val="Comment Text Char"/>
    <w:basedOn w:val="DefaultParagraphFont"/>
    <w:link w:val="CommentText"/>
    <w:rsid w:val="00DD0415"/>
  </w:style>
  <w:style w:type="paragraph" w:styleId="CommentSubject">
    <w:name w:val="annotation subject"/>
    <w:basedOn w:val="CommentText"/>
    <w:next w:val="CommentText"/>
    <w:link w:val="CommentSubjectChar"/>
    <w:rsid w:val="00DD0415"/>
    <w:rPr>
      <w:b/>
      <w:bCs/>
    </w:rPr>
  </w:style>
  <w:style w:type="character" w:customStyle="1" w:styleId="CommentSubjectChar">
    <w:name w:val="Comment Subject Char"/>
    <w:basedOn w:val="CommentTextChar"/>
    <w:link w:val="CommentSubject"/>
    <w:rsid w:val="00DD04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BE4F8-7276-4181-A64F-8FDD26B38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2018</Words>
  <Characters>10792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2024-11-26T11:24:00Z</dcterms:created>
  <dcterms:modified xsi:type="dcterms:W3CDTF">2024-11-26T11:24:00Z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B10-0145/2024</vt:lpwstr>
  </property>
  <property fmtid="{D5CDD505-2E9C-101B-9397-08002B2CF9AE}" pid="4" name="&lt;Type&gt;">
    <vt:lpwstr>RR</vt:lpwstr>
  </property>
</Properties>
</file>