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5507" w:rsidTr="0010095E">
        <w:trPr>
          <w:trHeight w:hRule="exact" w:val="1418"/>
        </w:trPr>
        <w:tc>
          <w:tcPr>
            <w:tcW w:w="6804" w:type="dxa"/>
            <w:shd w:val="clear" w:color="auto" w:fill="auto"/>
            <w:vAlign w:val="center"/>
          </w:tcPr>
          <w:p w:rsidR="00751A4A" w:rsidRPr="00DF5507" w:rsidRDefault="00035E1C" w:rsidP="0010095E">
            <w:pPr>
              <w:pStyle w:val="EPName"/>
            </w:pPr>
            <w:r w:rsidRPr="00DF5507">
              <w:t>Euroopa Parlament</w:t>
            </w:r>
          </w:p>
          <w:p w:rsidR="00751A4A" w:rsidRPr="00DF5507" w:rsidRDefault="005F1B17" w:rsidP="005F1B17">
            <w:pPr>
              <w:pStyle w:val="EPTerm"/>
              <w:rPr>
                <w:rStyle w:val="HideTWBExt"/>
                <w:noProof w:val="0"/>
                <w:vanish w:val="0"/>
                <w:color w:val="auto"/>
              </w:rPr>
            </w:pPr>
            <w:r w:rsidRPr="00DF5507">
              <w:t>2024</w:t>
            </w:r>
            <w:r w:rsidR="00817416" w:rsidRPr="00DF5507">
              <w:t>-202</w:t>
            </w:r>
            <w:r w:rsidRPr="00DF5507">
              <w:t>9</w:t>
            </w:r>
          </w:p>
        </w:tc>
        <w:tc>
          <w:tcPr>
            <w:tcW w:w="2268" w:type="dxa"/>
            <w:shd w:val="clear" w:color="auto" w:fill="auto"/>
          </w:tcPr>
          <w:p w:rsidR="00751A4A" w:rsidRPr="00DF5507" w:rsidRDefault="00187494" w:rsidP="0010095E">
            <w:pPr>
              <w:pStyle w:val="EPLogo"/>
            </w:pPr>
            <w:r w:rsidRPr="00DF55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5507" w:rsidRDefault="00D058B8" w:rsidP="004C5D52">
      <w:pPr>
        <w:pStyle w:val="LineTop"/>
      </w:pPr>
    </w:p>
    <w:p w:rsidR="00680577" w:rsidRPr="00DF5507" w:rsidRDefault="00035E1C" w:rsidP="00680577">
      <w:pPr>
        <w:pStyle w:val="EPBodyTA1"/>
      </w:pPr>
      <w:r w:rsidRPr="00DF5507">
        <w:t>VASTUVÕETUD TEKSTID</w:t>
      </w:r>
    </w:p>
    <w:p w:rsidR="00D058B8" w:rsidRPr="00DF5507" w:rsidRDefault="00D058B8" w:rsidP="00D058B8">
      <w:pPr>
        <w:pStyle w:val="LineBottom"/>
      </w:pPr>
    </w:p>
    <w:p w:rsidR="00035E1C" w:rsidRPr="00DF5507" w:rsidRDefault="00035E1C" w:rsidP="00035E1C">
      <w:pPr>
        <w:pStyle w:val="ATHeading1"/>
      </w:pPr>
      <w:bookmarkStart w:id="0" w:name="TANumber"/>
      <w:r w:rsidRPr="00DF5507">
        <w:t>P10_TA(2024)00</w:t>
      </w:r>
      <w:r w:rsidR="00D74AE0" w:rsidRPr="00DF5507">
        <w:t>39</w:t>
      </w:r>
      <w:bookmarkEnd w:id="0"/>
    </w:p>
    <w:p w:rsidR="00035E1C" w:rsidRPr="00DF5507" w:rsidRDefault="00B9576D" w:rsidP="00035E1C">
      <w:pPr>
        <w:pStyle w:val="ATHeading2"/>
      </w:pPr>
      <w:bookmarkStart w:id="1" w:name="title"/>
      <w:r w:rsidRPr="00DF5507">
        <w:t xml:space="preserve">Geneetiliselt muundatud puuvill </w:t>
      </w:r>
      <w:r w:rsidR="00035E1C" w:rsidRPr="00DF5507">
        <w:t>COT102</w:t>
      </w:r>
      <w:bookmarkEnd w:id="1"/>
    </w:p>
    <w:p w:rsidR="00035E1C" w:rsidRPr="00DF5507" w:rsidRDefault="00035E1C" w:rsidP="00035E1C">
      <w:pPr>
        <w:rPr>
          <w:i/>
          <w:vanish/>
        </w:rPr>
      </w:pPr>
      <w:r w:rsidRPr="00DF5507">
        <w:rPr>
          <w:i/>
        </w:rPr>
        <w:fldChar w:fldCharType="begin"/>
      </w:r>
      <w:r w:rsidRPr="00DF5507">
        <w:rPr>
          <w:i/>
        </w:rPr>
        <w:instrText xml:space="preserve"> TC"(</w:instrText>
      </w:r>
      <w:bookmarkStart w:id="2" w:name="DocNumber"/>
      <w:r w:rsidRPr="00DF5507">
        <w:rPr>
          <w:i/>
        </w:rPr>
        <w:instrText>B10-0145/2024</w:instrText>
      </w:r>
      <w:bookmarkEnd w:id="2"/>
      <w:r w:rsidRPr="00DF5507">
        <w:rPr>
          <w:i/>
        </w:rPr>
        <w:instrText xml:space="preserve">)"\l3 \n&gt; \* MERGEFORMAT </w:instrText>
      </w:r>
      <w:r w:rsidRPr="00DF5507">
        <w:rPr>
          <w:i/>
        </w:rPr>
        <w:fldChar w:fldCharType="end"/>
      </w:r>
    </w:p>
    <w:p w:rsidR="00035E1C" w:rsidRPr="00DF5507" w:rsidRDefault="00035E1C" w:rsidP="00035E1C">
      <w:pPr>
        <w:rPr>
          <w:vanish/>
        </w:rPr>
      </w:pPr>
      <w:bookmarkStart w:id="3" w:name="PE"/>
      <w:r w:rsidRPr="00DF5507">
        <w:rPr>
          <w:vanish/>
        </w:rPr>
        <w:t>PE764.959</w:t>
      </w:r>
      <w:bookmarkEnd w:id="3"/>
    </w:p>
    <w:p w:rsidR="00035E1C" w:rsidRPr="00DF5507" w:rsidRDefault="00B9576D" w:rsidP="00035E1C">
      <w:pPr>
        <w:pStyle w:val="ATHeading3"/>
      </w:pPr>
      <w:bookmarkStart w:id="4" w:name="Sujet"/>
      <w:r w:rsidRPr="00DF5507">
        <w:t>Euroopa Parlamendi 26</w:t>
      </w:r>
      <w:r w:rsidR="00035E1C" w:rsidRPr="00DF5507">
        <w:t>.</w:t>
      </w:r>
      <w:r w:rsidRPr="00DF5507">
        <w:t> novembri 2024. </w:t>
      </w:r>
      <w:r w:rsidR="00035E1C" w:rsidRPr="00DF5507">
        <w:t xml:space="preserve">aasta resolutsioon komisjoni rakendusotsuse </w:t>
      </w:r>
      <w:r w:rsidR="00E24E17" w:rsidRPr="00DF5507">
        <w:t xml:space="preserve">(EL) 2024/2627 </w:t>
      </w:r>
      <w:r w:rsidR="00035E1C" w:rsidRPr="00DF5507">
        <w:t>kohta, millega lubatakse viia turule geneetiliselt muundatud puuvilla COT102 sisaldavaid, sellest koosnevaid või sellest toodetud tooteid vastavalt Euroopa Parlamendi ja nõuko</w:t>
      </w:r>
      <w:r w:rsidRPr="00DF5507">
        <w:t>gu määrusele (EÜ) nr </w:t>
      </w:r>
      <w:r w:rsidR="00035E1C" w:rsidRPr="00DF5507">
        <w:t>1829/2003</w:t>
      </w:r>
      <w:bookmarkEnd w:id="4"/>
      <w:r w:rsidR="00035E1C" w:rsidRPr="00DF5507">
        <w:t xml:space="preserve"> </w:t>
      </w:r>
      <w:bookmarkStart w:id="5" w:name="References"/>
      <w:r w:rsidR="00035E1C" w:rsidRPr="00DF5507">
        <w:t>(2024/2835(RSP))</w:t>
      </w:r>
      <w:bookmarkEnd w:id="5"/>
    </w:p>
    <w:p w:rsidR="00A33C30" w:rsidRPr="00DF5507" w:rsidRDefault="00A33C30" w:rsidP="00A33C30">
      <w:pPr>
        <w:pStyle w:val="EPComma"/>
      </w:pPr>
      <w:bookmarkStart w:id="6" w:name="TextBodyBegin"/>
      <w:bookmarkEnd w:id="6"/>
      <w:r w:rsidRPr="00DF5507">
        <w:rPr>
          <w:i/>
        </w:rPr>
        <w:t>Euroopa Parlament</w:t>
      </w:r>
      <w:r w:rsidRPr="00DF5507">
        <w:t>,</w:t>
      </w:r>
    </w:p>
    <w:p w:rsidR="00A33C30" w:rsidRPr="00DF5507" w:rsidRDefault="00A33C30" w:rsidP="00A33C30">
      <w:pPr>
        <w:pStyle w:val="NormalHanging12a"/>
        <w:rPr>
          <w:szCs w:val="24"/>
        </w:rPr>
      </w:pPr>
      <w:r w:rsidRPr="00DF5507">
        <w:t>–</w:t>
      </w:r>
      <w:r w:rsidRPr="00DF5507">
        <w:tab/>
        <w:t>võttes arvesse komisjoni rakendusotsus</w:t>
      </w:r>
      <w:r w:rsidR="00E24E17" w:rsidRPr="00DF5507">
        <w:t>t (EL) 2024/2627</w:t>
      </w:r>
      <w:r w:rsidRPr="00DF5507">
        <w:t>, millega lubatakse viia turule geneetiliselt muundatud puuvilla COT102 sisaldavaid, sellest koosnevaid või sellest toodetud tooteid vastavalt Euroopa Parlamen</w:t>
      </w:r>
      <w:r w:rsidR="00B9576D" w:rsidRPr="00DF5507">
        <w:t>di ja nõukogu määrusele (EÜ) nr </w:t>
      </w:r>
      <w:r w:rsidRPr="00DF5507">
        <w:t>1829/2003</w:t>
      </w:r>
      <w:r w:rsidR="00E24E17" w:rsidRPr="00DF5507">
        <w:rPr>
          <w:rStyle w:val="FootnoteReference"/>
          <w:szCs w:val="24"/>
        </w:rPr>
        <w:footnoteReference w:id="1"/>
      </w:r>
      <w:r w:rsidRPr="00DF5507">
        <w:t>,</w:t>
      </w:r>
    </w:p>
    <w:p w:rsidR="00A33C30" w:rsidRPr="00DF5507" w:rsidRDefault="00A33C30" w:rsidP="00A33C30">
      <w:pPr>
        <w:pStyle w:val="NormalHanging12a"/>
        <w:rPr>
          <w:szCs w:val="24"/>
        </w:rPr>
      </w:pPr>
      <w:r w:rsidRPr="00DF5507">
        <w:t>–</w:t>
      </w:r>
      <w:r w:rsidRPr="00DF5507">
        <w:tab/>
        <w:t>võttes arvesse Euroopa Parlamendi ja nõukogu 22. septembri 2003. aasta määrust (EÜ) nr 1829/2003 geneetiliselt muundatud toidu ja sööda kohta</w:t>
      </w:r>
      <w:r w:rsidRPr="00DF5507">
        <w:rPr>
          <w:rStyle w:val="FootnoteReference"/>
          <w:szCs w:val="24"/>
        </w:rPr>
        <w:footnoteReference w:id="2"/>
      </w:r>
      <w:r w:rsidRPr="00DF5507">
        <w:t>, eriti selle artikli 7 lõiget 3 ja artikli 19 lõiget 3,</w:t>
      </w:r>
    </w:p>
    <w:p w:rsidR="00A33C30" w:rsidRPr="00DF5507" w:rsidRDefault="00A33C30" w:rsidP="00A33C30">
      <w:pPr>
        <w:pStyle w:val="NormalHanging12a"/>
        <w:rPr>
          <w:szCs w:val="24"/>
        </w:rPr>
      </w:pPr>
      <w:r w:rsidRPr="00DF5507">
        <w:t>–</w:t>
      </w:r>
      <w:r w:rsidRPr="00DF5507">
        <w:tab/>
        <w:t xml:space="preserve">võttes arvesse </w:t>
      </w:r>
      <w:r w:rsidRPr="00DF5507">
        <w:rPr>
          <w:shd w:val="clear" w:color="auto" w:fill="FFFFFF"/>
        </w:rPr>
        <w:t>määruse (EÜ) nr 1829/2003 artiklis 35 osutatud alalises taime-, loo</w:t>
      </w:r>
      <w:r w:rsidR="00B9576D" w:rsidRPr="00DF5507">
        <w:rPr>
          <w:shd w:val="clear" w:color="auto" w:fill="FFFFFF"/>
        </w:rPr>
        <w:t>ma-, toidu- ja söödakomitees 8. </w:t>
      </w:r>
      <w:r w:rsidRPr="00DF5507">
        <w:rPr>
          <w:shd w:val="clear" w:color="auto" w:fill="FFFFFF"/>
        </w:rPr>
        <w:t>juulil 2024 toimunud hääletust, mille tulemuse</w:t>
      </w:r>
      <w:r w:rsidR="00B9576D" w:rsidRPr="00DF5507">
        <w:rPr>
          <w:shd w:val="clear" w:color="auto" w:fill="FFFFFF"/>
        </w:rPr>
        <w:t>l arvamust ei esitatud, ning 3. </w:t>
      </w:r>
      <w:r w:rsidRPr="00DF5507">
        <w:rPr>
          <w:shd w:val="clear" w:color="auto" w:fill="FFFFFF"/>
        </w:rPr>
        <w:t xml:space="preserve">septembril 2024 apellatsioonikomitees toimunud hääletust, mille tulemusel samuti </w:t>
      </w:r>
      <w:r w:rsidRPr="00DF5507">
        <w:t>arvamust ei esitatud,</w:t>
      </w:r>
    </w:p>
    <w:p w:rsidR="00A33C30" w:rsidRPr="00DF5507" w:rsidRDefault="00A33C30" w:rsidP="00A33C30">
      <w:pPr>
        <w:pStyle w:val="NormalHanging12a"/>
        <w:rPr>
          <w:szCs w:val="24"/>
        </w:rPr>
      </w:pPr>
      <w:r w:rsidRPr="00DF5507">
        <w:t>–</w:t>
      </w:r>
      <w:r w:rsidRPr="00DF5507">
        <w:tab/>
        <w:t>võttes arvesse Eu</w:t>
      </w:r>
      <w:r w:rsidR="00B9576D" w:rsidRPr="00DF5507">
        <w:t>roopa Parlamendi ja nõukogu 16. veebruari 2011. aasta määruse (EL) nr </w:t>
      </w:r>
      <w:r w:rsidRPr="00DF5507">
        <w:t xml:space="preserve">182/2011 (millega kehtestatakse eeskirjad ja </w:t>
      </w:r>
      <w:proofErr w:type="spellStart"/>
      <w:r w:rsidRPr="00DF5507">
        <w:t>üldpõhimõtted</w:t>
      </w:r>
      <w:proofErr w:type="spellEnd"/>
      <w:r w:rsidRPr="00DF5507">
        <w:t>, mis käsitlevad liikmesriikide läbiviidava kontrolli mehhanisme, mida kohaldatakse komisjoni rakendamisvolituste teostamise suhtes)</w:t>
      </w:r>
      <w:r w:rsidRPr="00DF5507">
        <w:rPr>
          <w:rStyle w:val="FootnoteReference"/>
          <w:szCs w:val="24"/>
        </w:rPr>
        <w:footnoteReference w:id="3"/>
      </w:r>
      <w:r w:rsidR="00B9576D" w:rsidRPr="00DF5507">
        <w:t xml:space="preserve"> artiklit </w:t>
      </w:r>
      <w:r w:rsidRPr="00DF5507">
        <w:t>11,</w:t>
      </w:r>
    </w:p>
    <w:p w:rsidR="00A33C30" w:rsidRPr="00DF5507" w:rsidRDefault="00A33C30" w:rsidP="00A33C30">
      <w:pPr>
        <w:pStyle w:val="NormalHanging12a"/>
        <w:rPr>
          <w:szCs w:val="24"/>
        </w:rPr>
      </w:pPr>
      <w:r w:rsidRPr="00DF5507">
        <w:t>–</w:t>
      </w:r>
      <w:r w:rsidRPr="00DF5507">
        <w:tab/>
        <w:t>võttes arvesse Euro</w:t>
      </w:r>
      <w:r w:rsidR="00B9576D" w:rsidRPr="00DF5507">
        <w:t>opa Toiduohutusameti (EFSA) 10. mail 2023 vastu võetud ja 26. juunil </w:t>
      </w:r>
      <w:r w:rsidRPr="00DF5507">
        <w:t>2023 avaldatud arvamust</w:t>
      </w:r>
      <w:r w:rsidRPr="00DF5507">
        <w:rPr>
          <w:rStyle w:val="FootnoteReference"/>
          <w:szCs w:val="24"/>
        </w:rPr>
        <w:footnoteReference w:id="4"/>
      </w:r>
      <w:r w:rsidRPr="00DF5507">
        <w:t>,</w:t>
      </w:r>
    </w:p>
    <w:p w:rsidR="00A33C30" w:rsidRPr="00DF5507" w:rsidRDefault="00A33C30" w:rsidP="00A33C30">
      <w:pPr>
        <w:pStyle w:val="NormalHanging12a"/>
        <w:rPr>
          <w:szCs w:val="24"/>
          <w:shd w:val="clear" w:color="auto" w:fill="FFFFFF"/>
        </w:rPr>
      </w:pPr>
      <w:r w:rsidRPr="00DF5507">
        <w:t>–</w:t>
      </w:r>
      <w:r w:rsidRPr="00DF5507">
        <w:rPr>
          <w:shd w:val="clear" w:color="auto" w:fill="FFFFFF"/>
        </w:rPr>
        <w:tab/>
        <w:t xml:space="preserve">võttes arvesse oma varasemaid resolutsioone, milles väljendatakse geneetiliselt </w:t>
      </w:r>
      <w:r w:rsidRPr="00DF5507">
        <w:rPr>
          <w:shd w:val="clear" w:color="auto" w:fill="FFFFFF"/>
        </w:rPr>
        <w:lastRenderedPageBreak/>
        <w:t>muundatud organismide (</w:t>
      </w:r>
      <w:proofErr w:type="spellStart"/>
      <w:r w:rsidRPr="00DF5507">
        <w:rPr>
          <w:shd w:val="clear" w:color="auto" w:fill="FFFFFF"/>
        </w:rPr>
        <w:t>GMOd</w:t>
      </w:r>
      <w:proofErr w:type="spellEnd"/>
      <w:r w:rsidRPr="00DF5507">
        <w:rPr>
          <w:shd w:val="clear" w:color="auto" w:fill="FFFFFF"/>
        </w:rPr>
        <w:t>) lubamisele vastuseisu</w:t>
      </w:r>
      <w:r w:rsidRPr="00DF5507">
        <w:rPr>
          <w:szCs w:val="24"/>
          <w:shd w:val="clear" w:color="auto" w:fill="FFFFFF"/>
          <w:vertAlign w:val="superscript"/>
        </w:rPr>
        <w:footnoteReference w:id="5"/>
      </w:r>
      <w:r w:rsidRPr="00DF5507">
        <w:rPr>
          <w:shd w:val="clear" w:color="auto" w:fill="FFFFFF"/>
        </w:rPr>
        <w:t>,</w:t>
      </w:r>
    </w:p>
    <w:p w:rsidR="00A33C30" w:rsidRPr="00DF5507" w:rsidRDefault="00A33C30" w:rsidP="00A33C30">
      <w:pPr>
        <w:pStyle w:val="NormalHanging12a"/>
        <w:rPr>
          <w:szCs w:val="24"/>
        </w:rPr>
      </w:pPr>
      <w:r w:rsidRPr="00DF5507">
        <w:t>–</w:t>
      </w:r>
      <w:r w:rsidRPr="00DF5507">
        <w:tab/>
        <w:t>v</w:t>
      </w:r>
      <w:r w:rsidR="00B9576D" w:rsidRPr="00DF5507">
        <w:t>õttes arvesse kodukorra artikli 115 lõikeid 2 ja </w:t>
      </w:r>
      <w:r w:rsidRPr="00DF5507">
        <w:t>3,</w:t>
      </w:r>
    </w:p>
    <w:p w:rsidR="00A33C30" w:rsidRPr="00DF5507" w:rsidRDefault="00A33C30" w:rsidP="00A33C30">
      <w:pPr>
        <w:pStyle w:val="NormalHanging12a"/>
        <w:rPr>
          <w:szCs w:val="24"/>
        </w:rPr>
      </w:pPr>
      <w:r w:rsidRPr="00DF5507">
        <w:t>–</w:t>
      </w:r>
      <w:r w:rsidRPr="00DF5507">
        <w:tab/>
        <w:t>võttes arvesse keskkonna-, rahvatervise ja toiduohutuse komisjoni resolutsiooni ettepanekut,</w:t>
      </w:r>
    </w:p>
    <w:p w:rsidR="00A33C30" w:rsidRPr="00DF5507" w:rsidRDefault="00A33C30" w:rsidP="00A33C30">
      <w:pPr>
        <w:pStyle w:val="NormalHanging12a"/>
        <w:rPr>
          <w:szCs w:val="24"/>
        </w:rPr>
      </w:pPr>
      <w:r w:rsidRPr="00DF5507">
        <w:t>A.</w:t>
      </w:r>
      <w:r w:rsidRPr="00DF5507">
        <w:tab/>
        <w:t xml:space="preserve">arvestades, et Belgias asuv ettevõtja </w:t>
      </w:r>
      <w:proofErr w:type="spellStart"/>
      <w:r w:rsidRPr="00DF5507">
        <w:t>Syngenta</w:t>
      </w:r>
      <w:proofErr w:type="spellEnd"/>
      <w:r w:rsidRPr="00DF5507">
        <w:t xml:space="preserve"> </w:t>
      </w:r>
      <w:proofErr w:type="spellStart"/>
      <w:r w:rsidRPr="00DF5507">
        <w:t>Crop</w:t>
      </w:r>
      <w:proofErr w:type="spellEnd"/>
      <w:r w:rsidRPr="00DF5507">
        <w:t xml:space="preserve"> </w:t>
      </w:r>
      <w:proofErr w:type="spellStart"/>
      <w:r w:rsidRPr="00DF5507">
        <w:t>Protection</w:t>
      </w:r>
      <w:proofErr w:type="spellEnd"/>
      <w:r w:rsidR="00B9576D" w:rsidRPr="00DF5507">
        <w:t> NV/SA esitas 31. märtsil 2017. </w:t>
      </w:r>
      <w:r w:rsidRPr="00DF5507">
        <w:t xml:space="preserve">aastal ettevõtja </w:t>
      </w:r>
      <w:proofErr w:type="spellStart"/>
      <w:r w:rsidRPr="00DF5507">
        <w:t>Syngenta</w:t>
      </w:r>
      <w:proofErr w:type="spellEnd"/>
      <w:r w:rsidRPr="00DF5507">
        <w:t xml:space="preserve"> </w:t>
      </w:r>
      <w:proofErr w:type="spellStart"/>
      <w:r w:rsidRPr="00DF5507">
        <w:t>Crop</w:t>
      </w:r>
      <w:proofErr w:type="spellEnd"/>
      <w:r w:rsidRPr="00DF5507">
        <w:t xml:space="preserve"> </w:t>
      </w:r>
      <w:proofErr w:type="spellStart"/>
      <w:r w:rsidRPr="00DF5507">
        <w:t>Protection</w:t>
      </w:r>
      <w:proofErr w:type="spellEnd"/>
      <w:r w:rsidRPr="00DF5507">
        <w:t xml:space="preserve"> AG (Šveits) nimel kooskõlas määruse (EÜ) nr 1829/2003 artiklitega 5 ja 17 Saksamaa pädevale asutusele taotluse geneetiliselt muundatud puuvilla COT102 (edaspidi „geneetiliselt muundatud puuvill“) sisaldavate, sellest koosnevate või sellest valmistatud toidu, toidu koostisosade ja sööda </w:t>
      </w:r>
      <w:proofErr w:type="spellStart"/>
      <w:r w:rsidRPr="00DF5507">
        <w:t>turuleviimiseks</w:t>
      </w:r>
      <w:proofErr w:type="spellEnd"/>
      <w:r w:rsidRPr="00DF5507">
        <w:t xml:space="preserve"> (edaspidi „taotlus“); arvestades, et taotlus hõlmas ka selliste toodete </w:t>
      </w:r>
      <w:proofErr w:type="spellStart"/>
      <w:r w:rsidRPr="00DF5507">
        <w:t>turuleviimist</w:t>
      </w:r>
      <w:proofErr w:type="spellEnd"/>
      <w:r w:rsidRPr="00DF5507">
        <w:t xml:space="preserve">, mis sisaldavad geneetiliselt muundatud puuvilla või koosnevad sellest ning mida kasutatakse muul otstarbel kui toiduks või söödaks, kuid mida ei viljelda; </w:t>
      </w:r>
    </w:p>
    <w:p w:rsidR="00A33C30" w:rsidRPr="00DF5507" w:rsidRDefault="00B9576D" w:rsidP="00A33C30">
      <w:pPr>
        <w:pStyle w:val="NormalHanging12a"/>
        <w:rPr>
          <w:szCs w:val="24"/>
        </w:rPr>
      </w:pPr>
      <w:r w:rsidRPr="00DF5507">
        <w:t>B.</w:t>
      </w:r>
      <w:r w:rsidRPr="00DF5507">
        <w:tab/>
        <w:t>arvestades, et 10. mail </w:t>
      </w:r>
      <w:r w:rsidR="00A33C30" w:rsidRPr="00DF5507">
        <w:t>2023 võttis EFSA vastu heakski</w:t>
      </w:r>
      <w:r w:rsidRPr="00DF5507">
        <w:t>itva arvamuse, mis avaldati 26. juunil </w:t>
      </w:r>
      <w:r w:rsidR="00A33C30" w:rsidRPr="00DF5507">
        <w:t>2023 ning milles järeldati, et geneetiliselt muundatud puuvill on inimeste ja loomade tervisele ning keskkonnale avalduva võimaliku mõju seisukohast sama ohutu kui geneetiliselt muundamata võrdluskultuur ja uuritud geneetiliselt muundamata puuvillasordid;</w:t>
      </w:r>
    </w:p>
    <w:p w:rsidR="00A33C30" w:rsidRPr="00DF5507" w:rsidRDefault="00A33C30" w:rsidP="00A33C30">
      <w:pPr>
        <w:pStyle w:val="NormalHanging12a"/>
        <w:rPr>
          <w:szCs w:val="24"/>
        </w:rPr>
      </w:pPr>
      <w:r w:rsidRPr="00DF5507">
        <w:t>C.</w:t>
      </w:r>
      <w:r w:rsidRPr="00DF5507">
        <w:tab/>
        <w:t>arvestades, et geneetiliselt muundatud puuvill sisa</w:t>
      </w:r>
      <w:r w:rsidR="00B9576D" w:rsidRPr="00DF5507">
        <w:t xml:space="preserve">ldab </w:t>
      </w:r>
      <w:proofErr w:type="spellStart"/>
      <w:r w:rsidR="00B9576D" w:rsidRPr="00DF5507">
        <w:t>insektitsiidseid</w:t>
      </w:r>
      <w:proofErr w:type="spellEnd"/>
      <w:r w:rsidR="00B9576D" w:rsidRPr="00DF5507">
        <w:t xml:space="preserve"> valke (</w:t>
      </w:r>
      <w:proofErr w:type="spellStart"/>
      <w:r w:rsidR="00B9576D" w:rsidRPr="00DF5507">
        <w:t>Bt</w:t>
      </w:r>
      <w:proofErr w:type="spellEnd"/>
      <w:r w:rsidR="00B9576D" w:rsidRPr="00DF5507">
        <w:noBreakHyphen/>
      </w:r>
      <w:r w:rsidRPr="00DF5507">
        <w:t>toksiine) tootvaid geene ja antibiootikumiresistentsuse markergeeni (ARMG);</w:t>
      </w:r>
    </w:p>
    <w:p w:rsidR="00A33C30" w:rsidRPr="00DF5507" w:rsidRDefault="00A33C30" w:rsidP="00A33C30">
      <w:pPr>
        <w:pStyle w:val="NormalHanging12a"/>
        <w:rPr>
          <w:szCs w:val="24"/>
        </w:rPr>
      </w:pPr>
      <w:r w:rsidRPr="00DF5507">
        <w:t>D.</w:t>
      </w:r>
      <w:r w:rsidRPr="00DF5507">
        <w:tab/>
        <w:t xml:space="preserve">arvestades, et puuvillaseemneõli võib kasutada mitmesuguste toiduainete tootmiseks, nagu kastmed, majonees, kondiitritooted, šokolaadimäärded ja friikartulid; arvestades, et puuvillaseemnejahu tarbimine on kõige tõenäolisem viis, kuidas inimesed võivad geneetilisest muundamisest tuleneva kahe valguga kokku puutuda; arvestades, et puuvilla kasutatakse tavaliselt loomasöödas seemnete ja jahu kujul, millest pole eemaldatud kiude; </w:t>
      </w:r>
    </w:p>
    <w:p w:rsidR="00A33C30" w:rsidRPr="00DF5507" w:rsidRDefault="00B9576D" w:rsidP="00B9576D">
      <w:pPr>
        <w:pStyle w:val="NormalHanging12a"/>
        <w:keepNext/>
        <w:keepLines/>
        <w:rPr>
          <w:b/>
          <w:i/>
        </w:rPr>
      </w:pPr>
      <w:proofErr w:type="spellStart"/>
      <w:r w:rsidRPr="00DF5507">
        <w:rPr>
          <w:b/>
          <w:i/>
        </w:rPr>
        <w:t>Bt</w:t>
      </w:r>
      <w:proofErr w:type="spellEnd"/>
      <w:r w:rsidRPr="00DF5507">
        <w:rPr>
          <w:b/>
          <w:i/>
        </w:rPr>
        <w:noBreakHyphen/>
      </w:r>
      <w:r w:rsidR="00A33C30" w:rsidRPr="00DF5507">
        <w:rPr>
          <w:b/>
          <w:i/>
        </w:rPr>
        <w:t>toksiinidega seotud lahendamata küsimused</w:t>
      </w:r>
    </w:p>
    <w:p w:rsidR="00A33C30" w:rsidRPr="00DF5507" w:rsidRDefault="00B9576D" w:rsidP="00A33C30">
      <w:pPr>
        <w:pStyle w:val="NormalHanging12a"/>
        <w:rPr>
          <w:szCs w:val="24"/>
        </w:rPr>
      </w:pPr>
      <w:r w:rsidRPr="00DF5507">
        <w:t>E.</w:t>
      </w:r>
      <w:r w:rsidRPr="00DF5507">
        <w:tab/>
        <w:t xml:space="preserve">arvestades, et </w:t>
      </w:r>
      <w:proofErr w:type="spellStart"/>
      <w:r w:rsidRPr="00DF5507">
        <w:t>Bt</w:t>
      </w:r>
      <w:proofErr w:type="spellEnd"/>
      <w:r w:rsidRPr="00DF5507">
        <w:noBreakHyphen/>
      </w:r>
      <w:r w:rsidR="00A33C30" w:rsidRPr="00DF5507">
        <w:t xml:space="preserve">toksiinide toksilisust hinnati söödauuringute alusel, kus kasutati ainult bakterite toodetud isoleeritud </w:t>
      </w:r>
      <w:proofErr w:type="spellStart"/>
      <w:r w:rsidR="00A33C30" w:rsidRPr="00DF5507">
        <w:t>Bt</w:t>
      </w:r>
      <w:proofErr w:type="spellEnd"/>
      <w:r w:rsidRPr="00DF5507">
        <w:noBreakHyphen/>
      </w:r>
      <w:r w:rsidR="00A33C30" w:rsidRPr="00DF5507">
        <w:t>valke; arvestades, et toksikoloogilisi katseid, mis on tehtud isoleeritud valkudega, ei saa pidada kuigi kaalukaks, sest geneetiliselt muundatud põllukultuurides, näiteks maisis, puuv</w:t>
      </w:r>
      <w:r w:rsidRPr="00DF5507">
        <w:t xml:space="preserve">illas ja sojaubades leiduvad </w:t>
      </w:r>
      <w:proofErr w:type="spellStart"/>
      <w:r w:rsidRPr="00DF5507">
        <w:t>Bt</w:t>
      </w:r>
      <w:proofErr w:type="spellEnd"/>
      <w:r w:rsidRPr="00DF5507">
        <w:noBreakHyphen/>
      </w:r>
      <w:r w:rsidR="00A33C30" w:rsidRPr="00DF5507">
        <w:t xml:space="preserve">toksiinid </w:t>
      </w:r>
      <w:r w:rsidRPr="00DF5507">
        <w:t xml:space="preserve">on oma olemuselt isoleeritud </w:t>
      </w:r>
      <w:proofErr w:type="spellStart"/>
      <w:r w:rsidRPr="00DF5507">
        <w:t>Bt</w:t>
      </w:r>
      <w:proofErr w:type="spellEnd"/>
      <w:r w:rsidRPr="00DF5507">
        <w:noBreakHyphen/>
      </w:r>
      <w:r w:rsidR="00A33C30" w:rsidRPr="00DF5507">
        <w:t>toksiinidest toksilisemad; arvestades, et see on tingitud asjaolust, et taimekoes esinevad p</w:t>
      </w:r>
      <w:r w:rsidRPr="00DF5507">
        <w:t xml:space="preserve">roteaasi inhibiitorid võivad </w:t>
      </w:r>
      <w:proofErr w:type="spellStart"/>
      <w:r w:rsidRPr="00DF5507">
        <w:t>Bt</w:t>
      </w:r>
      <w:proofErr w:type="spellEnd"/>
      <w:r w:rsidRPr="00DF5507">
        <w:noBreakHyphen/>
      </w:r>
      <w:r w:rsidR="00A33C30" w:rsidRPr="00DF5507">
        <w:t xml:space="preserve">toksiinide lagundamist aeglustades suurendada nende toksilisust; arvestades, et seda nähtust on tõendanud mitmed teadusuuringud, nende hulgas üks </w:t>
      </w:r>
      <w:proofErr w:type="spellStart"/>
      <w:r w:rsidR="00A33C30" w:rsidRPr="00DF5507">
        <w:t>Monsanto</w:t>
      </w:r>
      <w:proofErr w:type="spellEnd"/>
      <w:r w:rsidR="00A33C30" w:rsidRPr="00DF5507">
        <w:t xml:space="preserve"> jaoks tehtud uuring, mis näitas, et isegi väga väike proteaasi in</w:t>
      </w:r>
      <w:r w:rsidRPr="00DF5507">
        <w:t xml:space="preserve">hibiitori sisaldus suurendas </w:t>
      </w:r>
      <w:proofErr w:type="spellStart"/>
      <w:r w:rsidRPr="00DF5507">
        <w:t>Bt</w:t>
      </w:r>
      <w:proofErr w:type="spellEnd"/>
      <w:r w:rsidRPr="00DF5507">
        <w:noBreakHyphen/>
      </w:r>
      <w:r w:rsidR="00A33C30" w:rsidRPr="00DF5507">
        <w:t xml:space="preserve">toksiinide toksilisust kuni </w:t>
      </w:r>
      <w:r w:rsidR="00A33C30" w:rsidRPr="00DF5507">
        <w:lastRenderedPageBreak/>
        <w:t>20 korda</w:t>
      </w:r>
      <w:r w:rsidR="00A33C30" w:rsidRPr="00DF5507">
        <w:rPr>
          <w:rStyle w:val="FootnoteReference"/>
          <w:szCs w:val="24"/>
        </w:rPr>
        <w:footnoteReference w:id="6"/>
      </w:r>
      <w:r w:rsidR="00A33C30" w:rsidRPr="00DF5507">
        <w:t>;</w:t>
      </w:r>
    </w:p>
    <w:p w:rsidR="00A33C30" w:rsidRPr="00DF5507" w:rsidRDefault="00A33C30" w:rsidP="00A33C30">
      <w:pPr>
        <w:pStyle w:val="NormalHanging12a"/>
        <w:rPr>
          <w:szCs w:val="24"/>
        </w:rPr>
      </w:pPr>
      <w:r w:rsidRPr="00DF5507">
        <w:t>F.</w:t>
      </w:r>
      <w:r w:rsidRPr="00DF5507">
        <w:tab/>
        <w:t>arvestades, et EFSA riskihinnangutes ei ole seda suuremat toksilisust arvesse võetud, k</w:t>
      </w:r>
      <w:r w:rsidR="00B9576D" w:rsidRPr="00DF5507">
        <w:t xml:space="preserve">uigi see on asjakohane kõigi </w:t>
      </w:r>
      <w:proofErr w:type="spellStart"/>
      <w:r w:rsidR="00B9576D" w:rsidRPr="00DF5507">
        <w:t>Bt</w:t>
      </w:r>
      <w:proofErr w:type="spellEnd"/>
      <w:r w:rsidR="00B9576D" w:rsidRPr="00DF5507">
        <w:noBreakHyphen/>
      </w:r>
      <w:r w:rsidRPr="00DF5507">
        <w:t>taimede puhul, mis on liitu impordiks või liidus kasvatamiseks heaks kiidetud; arvestades, et seetõttu ei saa välistada ohtu inimestele ja loomadele, kes tarbivad toitu ja sööta, mis sisal</w:t>
      </w:r>
      <w:r w:rsidR="00B9576D" w:rsidRPr="00DF5507">
        <w:t xml:space="preserve">dab proteaasi inhibiitori ja </w:t>
      </w:r>
      <w:proofErr w:type="spellStart"/>
      <w:r w:rsidR="00B9576D" w:rsidRPr="00DF5507">
        <w:t>Bt</w:t>
      </w:r>
      <w:proofErr w:type="spellEnd"/>
      <w:r w:rsidR="00B9576D" w:rsidRPr="00DF5507">
        <w:noBreakHyphen/>
      </w:r>
      <w:r w:rsidRPr="00DF5507">
        <w:t>toksiinide vasta</w:t>
      </w:r>
      <w:r w:rsidR="00B9576D" w:rsidRPr="00DF5507">
        <w:t xml:space="preserve">stikusest toimest tulenevaid </w:t>
      </w:r>
      <w:proofErr w:type="spellStart"/>
      <w:r w:rsidR="00B9576D" w:rsidRPr="00DF5507">
        <w:t>Bt</w:t>
      </w:r>
      <w:proofErr w:type="spellEnd"/>
      <w:r w:rsidR="00B9576D" w:rsidRPr="00DF5507">
        <w:noBreakHyphen/>
      </w:r>
      <w:r w:rsidRPr="00DF5507">
        <w:t>toksiine;</w:t>
      </w:r>
    </w:p>
    <w:p w:rsidR="00A33C30" w:rsidRPr="00DF5507" w:rsidRDefault="00A33C30" w:rsidP="00A33C30">
      <w:pPr>
        <w:pStyle w:val="NormalHanging12a"/>
        <w:rPr>
          <w:szCs w:val="24"/>
        </w:rPr>
      </w:pPr>
      <w:r w:rsidRPr="00DF5507">
        <w:t>G.</w:t>
      </w:r>
      <w:r w:rsidRPr="00DF5507">
        <w:tab/>
        <w:t xml:space="preserve">arvestades, et mitmes uuringus </w:t>
      </w:r>
      <w:r w:rsidR="00B9576D" w:rsidRPr="00DF5507">
        <w:t xml:space="preserve">on täheldatud, et kokkupuude </w:t>
      </w:r>
      <w:proofErr w:type="spellStart"/>
      <w:r w:rsidR="00B9576D" w:rsidRPr="00DF5507">
        <w:t>Bt</w:t>
      </w:r>
      <w:proofErr w:type="spellEnd"/>
      <w:r w:rsidR="00B9576D" w:rsidRPr="00DF5507">
        <w:noBreakHyphen/>
      </w:r>
      <w:r w:rsidRPr="00DF5507">
        <w:t xml:space="preserve">toksiinidega on põhjustanud </w:t>
      </w:r>
      <w:proofErr w:type="spellStart"/>
      <w:r w:rsidRPr="00DF5507">
        <w:t>kõrvaltoimeid</w:t>
      </w:r>
      <w:proofErr w:type="spellEnd"/>
      <w:r w:rsidRPr="00DF5507">
        <w:t>, mis võivad mõjutada</w:t>
      </w:r>
      <w:r w:rsidR="00B9576D" w:rsidRPr="00DF5507">
        <w:t xml:space="preserve"> immuunsüsteemi, ja et mõnel </w:t>
      </w:r>
      <w:proofErr w:type="spellStart"/>
      <w:r w:rsidR="00B9576D" w:rsidRPr="00DF5507">
        <w:t>Bt</w:t>
      </w:r>
      <w:proofErr w:type="spellEnd"/>
      <w:r w:rsidR="00B9576D" w:rsidRPr="00DF5507">
        <w:noBreakHyphen/>
      </w:r>
      <w:r w:rsidRPr="00DF5507">
        <w:t xml:space="preserve">toksiinil võivad olla </w:t>
      </w:r>
      <w:proofErr w:type="spellStart"/>
      <w:r w:rsidRPr="00DF5507">
        <w:t>adjuvandi</w:t>
      </w:r>
      <w:proofErr w:type="spellEnd"/>
      <w:r w:rsidRPr="00DF5507">
        <w:t xml:space="preserve"> omadused</w:t>
      </w:r>
      <w:r w:rsidRPr="00DF5507">
        <w:rPr>
          <w:rStyle w:val="FootnoteReference"/>
          <w:szCs w:val="24"/>
        </w:rPr>
        <w:footnoteReference w:id="7"/>
      </w:r>
      <w:r w:rsidRPr="00DF5507">
        <w:t xml:space="preserve">, mis tähendab, et need võivad suurendada teiste valkude </w:t>
      </w:r>
      <w:proofErr w:type="spellStart"/>
      <w:r w:rsidRPr="00DF5507">
        <w:t>allergeensust</w:t>
      </w:r>
      <w:proofErr w:type="spellEnd"/>
      <w:r w:rsidRPr="00DF5507">
        <w:t>, millega nad kokku puutuvad;</w:t>
      </w:r>
    </w:p>
    <w:p w:rsidR="00A33C30" w:rsidRPr="00DF5507" w:rsidRDefault="00B9576D" w:rsidP="00B9576D">
      <w:pPr>
        <w:pStyle w:val="NormalHanging12a"/>
        <w:keepNext/>
        <w:keepLines/>
        <w:rPr>
          <w:b/>
          <w:i/>
          <w:szCs w:val="24"/>
        </w:rPr>
      </w:pPr>
      <w:proofErr w:type="spellStart"/>
      <w:r w:rsidRPr="00DF5507">
        <w:rPr>
          <w:b/>
          <w:i/>
        </w:rPr>
        <w:t>Bt</w:t>
      </w:r>
      <w:proofErr w:type="spellEnd"/>
      <w:r w:rsidRPr="00DF5507">
        <w:rPr>
          <w:b/>
          <w:i/>
        </w:rPr>
        <w:noBreakHyphen/>
      </w:r>
      <w:r w:rsidR="00A33C30" w:rsidRPr="00DF5507">
        <w:rPr>
          <w:b/>
          <w:i/>
        </w:rPr>
        <w:t>kultuurid: mõju mittesihtorganismidele</w:t>
      </w:r>
    </w:p>
    <w:p w:rsidR="00A33C30" w:rsidRPr="00DF5507" w:rsidRDefault="00A33C30" w:rsidP="00A33C30">
      <w:pPr>
        <w:pStyle w:val="NormalHanging12a"/>
      </w:pPr>
      <w:r w:rsidRPr="00DF5507">
        <w:t>H.</w:t>
      </w:r>
      <w:r w:rsidRPr="00DF5507">
        <w:tab/>
        <w:t xml:space="preserve">arvestades, et erinevalt insektitsiidide kasutusest, kui kokkupuude toimub pihustamise ajal ja piiratud aja jooksul pärast seda, </w:t>
      </w:r>
      <w:r w:rsidR="00B9576D" w:rsidRPr="00DF5507">
        <w:t xml:space="preserve">toob geneetiliselt muundatud </w:t>
      </w:r>
      <w:proofErr w:type="spellStart"/>
      <w:r w:rsidR="00B9576D" w:rsidRPr="00DF5507">
        <w:t>Bt</w:t>
      </w:r>
      <w:proofErr w:type="spellEnd"/>
      <w:r w:rsidR="00B9576D" w:rsidRPr="00DF5507">
        <w:noBreakHyphen/>
      </w:r>
      <w:r w:rsidRPr="00DF5507">
        <w:t>kultuuride kasutamine kaasa sihtorganismide ja muude kui sihto</w:t>
      </w:r>
      <w:r w:rsidR="00B9576D" w:rsidRPr="00DF5507">
        <w:t xml:space="preserve">rganismide pideva kokkupuute </w:t>
      </w:r>
      <w:proofErr w:type="spellStart"/>
      <w:r w:rsidR="00B9576D" w:rsidRPr="00DF5507">
        <w:t>Bt</w:t>
      </w:r>
      <w:proofErr w:type="spellEnd"/>
      <w:r w:rsidR="00B9576D" w:rsidRPr="00DF5507">
        <w:noBreakHyphen/>
      </w:r>
      <w:r w:rsidRPr="00DF5507">
        <w:t>toksiinidega;</w:t>
      </w:r>
    </w:p>
    <w:p w:rsidR="00A33C30" w:rsidRPr="00DF5507" w:rsidRDefault="00A33C30" w:rsidP="00A33C30">
      <w:pPr>
        <w:pStyle w:val="NormalHanging12a"/>
      </w:pPr>
      <w:r w:rsidRPr="00DF5507">
        <w:t>I.</w:t>
      </w:r>
      <w:r w:rsidRPr="00DF5507">
        <w:tab/>
        <w:t>arvestad</w:t>
      </w:r>
      <w:r w:rsidR="00B9576D" w:rsidRPr="00DF5507">
        <w:t xml:space="preserve">es, et eeldust, et </w:t>
      </w:r>
      <w:proofErr w:type="spellStart"/>
      <w:r w:rsidR="00B9576D" w:rsidRPr="00DF5507">
        <w:t>Bt</w:t>
      </w:r>
      <w:proofErr w:type="spellEnd"/>
      <w:r w:rsidR="00B9576D" w:rsidRPr="00DF5507">
        <w:noBreakHyphen/>
      </w:r>
      <w:r w:rsidRPr="00DF5507">
        <w:t>toksiinidel on ainult ühe sihtmärgiga toimeviis, ei saa enam tõeseks pidada, ja mõju sihtrühma mittekuuluvatele organismidele ei saa välistada</w:t>
      </w:r>
      <w:r w:rsidRPr="00DF5507">
        <w:rPr>
          <w:rStyle w:val="FootnoteReference"/>
        </w:rPr>
        <w:footnoteReference w:id="8"/>
      </w:r>
      <w:r w:rsidRPr="00DF5507">
        <w:t xml:space="preserve">; </w:t>
      </w:r>
    </w:p>
    <w:p w:rsidR="00A33C30" w:rsidRPr="00DF5507" w:rsidRDefault="00A33C30" w:rsidP="00A33C30">
      <w:pPr>
        <w:pStyle w:val="NormalHanging12a"/>
      </w:pPr>
      <w:r w:rsidRPr="00DF5507">
        <w:t>J.</w:t>
      </w:r>
      <w:r w:rsidRPr="00DF5507">
        <w:tab/>
        <w:t>arvestades, et teadete kohaselt on järjest rohkem sihtrühma mittekuuluvaid organisme mitmel viisil mõjutatud; arvestades, et hiljutises ülevaates on välja toodud 39 eelretsenseeritud v</w:t>
      </w:r>
      <w:r w:rsidR="00B9576D" w:rsidRPr="00DF5507">
        <w:t xml:space="preserve">äljaannet, milles teatatakse </w:t>
      </w:r>
      <w:proofErr w:type="spellStart"/>
      <w:r w:rsidR="00B9576D" w:rsidRPr="00DF5507">
        <w:t>Bt</w:t>
      </w:r>
      <w:proofErr w:type="spellEnd"/>
      <w:r w:rsidR="00B9576D" w:rsidRPr="00DF5507">
        <w:noBreakHyphen/>
      </w:r>
      <w:r w:rsidRPr="00DF5507">
        <w:t>toksiinide märkimisväärsest kahjulikust mõjust paljudele sihtrühmast välja jäävatele liikidele</w:t>
      </w:r>
      <w:r w:rsidRPr="00DF5507">
        <w:rPr>
          <w:rStyle w:val="FootnoteReference"/>
        </w:rPr>
        <w:footnoteReference w:id="9"/>
      </w:r>
      <w:r w:rsidRPr="00DF5507">
        <w:t>;</w:t>
      </w:r>
    </w:p>
    <w:p w:rsidR="00A33C30" w:rsidRPr="00DF5507" w:rsidRDefault="00A33C30" w:rsidP="00B9576D">
      <w:pPr>
        <w:pStyle w:val="NormalHanging12a"/>
        <w:keepNext/>
        <w:keepLines/>
        <w:rPr>
          <w:b/>
          <w:i/>
        </w:rPr>
      </w:pPr>
      <w:r w:rsidRPr="00DF5507">
        <w:rPr>
          <w:b/>
          <w:i/>
        </w:rPr>
        <w:t>Imporditud söödast sõltuvuse vähendamine</w:t>
      </w:r>
    </w:p>
    <w:p w:rsidR="00A33C30" w:rsidRPr="00DF5507" w:rsidRDefault="00B9576D" w:rsidP="00A33C30">
      <w:pPr>
        <w:pStyle w:val="NormalHanging12a"/>
      </w:pPr>
      <w:r w:rsidRPr="00DF5507">
        <w:t>K.</w:t>
      </w:r>
      <w:r w:rsidRPr="00DF5507">
        <w:tab/>
        <w:t>arvestades, et COVID</w:t>
      </w:r>
      <w:r w:rsidRPr="00DF5507">
        <w:noBreakHyphen/>
      </w:r>
      <w:r w:rsidR="00A33C30" w:rsidRPr="00DF5507">
        <w:t xml:space="preserve">19 kriisist ja Ukrainas ikka veel jätkuvast sõjast saadud õppetund </w:t>
      </w:r>
      <w:r w:rsidR="00A33C30" w:rsidRPr="00DF5507">
        <w:lastRenderedPageBreak/>
        <w:t>on, et liit peab lõpetama sõltuvuse mõnest kriitilisest toormest; arvestades, et</w:t>
      </w:r>
      <w:r w:rsidRPr="00DF5507">
        <w:t xml:space="preserve"> komisjoni president Ursula von </w:t>
      </w:r>
      <w:proofErr w:type="spellStart"/>
      <w:r w:rsidRPr="00DF5507">
        <w:t>der</w:t>
      </w:r>
      <w:proofErr w:type="spellEnd"/>
      <w:r w:rsidRPr="00DF5507">
        <w:t> </w:t>
      </w:r>
      <w:proofErr w:type="spellStart"/>
      <w:r w:rsidR="00A33C30" w:rsidRPr="00DF5507">
        <w:t>Leyen</w:t>
      </w:r>
      <w:proofErr w:type="spellEnd"/>
      <w:r w:rsidR="00A33C30" w:rsidRPr="00DF5507">
        <w:t xml:space="preserve"> palub volinikukandidaat Christophe Hansenile saadetud missioonikirjas tal uurida võimalusi kriitilise tähtsusega kaupade impordi vähendamiseks</w:t>
      </w:r>
      <w:r w:rsidR="00A33C30" w:rsidRPr="00DF5507">
        <w:rPr>
          <w:rStyle w:val="FootnoteReference"/>
        </w:rPr>
        <w:footnoteReference w:id="10"/>
      </w:r>
      <w:r w:rsidR="00A33C30" w:rsidRPr="00DF5507">
        <w:t xml:space="preserve">; </w:t>
      </w:r>
    </w:p>
    <w:p w:rsidR="00A33C30" w:rsidRPr="00DF5507" w:rsidRDefault="00A33C30" w:rsidP="00B9576D">
      <w:pPr>
        <w:pStyle w:val="NormalHanging12a"/>
        <w:keepNext/>
        <w:keepLines/>
        <w:rPr>
          <w:b/>
          <w:i/>
        </w:rPr>
      </w:pPr>
      <w:r w:rsidRPr="00DF5507">
        <w:rPr>
          <w:b/>
          <w:i/>
        </w:rPr>
        <w:t>ARMG lisamine</w:t>
      </w:r>
    </w:p>
    <w:p w:rsidR="00A33C30" w:rsidRPr="00DF5507" w:rsidRDefault="00A33C30" w:rsidP="00A33C30">
      <w:pPr>
        <w:pStyle w:val="NormalHanging12a"/>
      </w:pPr>
      <w:r w:rsidRPr="00DF5507">
        <w:t>L.</w:t>
      </w:r>
      <w:r w:rsidRPr="00DF5507">
        <w:tab/>
        <w:t xml:space="preserve">arvestades, et geneetiliselt muundatud puuvill toodab valku APH4, mida kasutatakse </w:t>
      </w:r>
      <w:proofErr w:type="spellStart"/>
      <w:r w:rsidRPr="00DF5507">
        <w:t>ARMGna</w:t>
      </w:r>
      <w:proofErr w:type="spellEnd"/>
      <w:r w:rsidRPr="00DF5507">
        <w:t xml:space="preserve"> (antibiootikumiresistentsuse markergeenina) ja mis </w:t>
      </w:r>
      <w:proofErr w:type="spellStart"/>
      <w:r w:rsidRPr="00DF5507">
        <w:t>deaktiveerib</w:t>
      </w:r>
      <w:proofErr w:type="spellEnd"/>
      <w:r w:rsidRPr="00DF5507">
        <w:t xml:space="preserve"> antibiootikumi </w:t>
      </w:r>
      <w:proofErr w:type="spellStart"/>
      <w:r w:rsidRPr="00DF5507">
        <w:t>hügromütsiini</w:t>
      </w:r>
      <w:proofErr w:type="spellEnd"/>
      <w:r w:rsidRPr="00DF5507">
        <w:t xml:space="preserve"> B aktiivsuse;</w:t>
      </w:r>
    </w:p>
    <w:p w:rsidR="00A33C30" w:rsidRPr="00DF5507" w:rsidRDefault="00A33C30" w:rsidP="00A33C30">
      <w:pPr>
        <w:pStyle w:val="NormalHanging12a"/>
      </w:pPr>
      <w:r w:rsidRPr="00DF5507">
        <w:t>M.</w:t>
      </w:r>
      <w:r w:rsidRPr="00DF5507">
        <w:tab/>
        <w:t>arvestades, et Euroopa P</w:t>
      </w:r>
      <w:r w:rsidR="00B9576D" w:rsidRPr="00DF5507">
        <w:t>arlamendi ja nõukogu direktiivi </w:t>
      </w:r>
      <w:r w:rsidRPr="00DF5507">
        <w:t>2001/18/EÜ</w:t>
      </w:r>
      <w:r w:rsidRPr="00DF5507">
        <w:rPr>
          <w:rStyle w:val="FootnoteReference"/>
        </w:rPr>
        <w:footnoteReference w:id="11"/>
      </w:r>
      <w:r w:rsidR="00B9576D" w:rsidRPr="00DF5507">
        <w:t xml:space="preserve"> artikli </w:t>
      </w:r>
      <w:r w:rsidRPr="00DF5507">
        <w:t xml:space="preserve">4 lõikes 2 nõutakse, et keskkonnariski hindamisel pöörataks erilist tähelepanu </w:t>
      </w:r>
      <w:proofErr w:type="spellStart"/>
      <w:r w:rsidRPr="00DF5507">
        <w:t>GMOdele</w:t>
      </w:r>
      <w:proofErr w:type="spellEnd"/>
      <w:r w:rsidRPr="00DF5507">
        <w:t xml:space="preserve">, mis sisaldavad geene, milles avaldub resistentsus </w:t>
      </w:r>
      <w:proofErr w:type="spellStart"/>
      <w:r w:rsidRPr="00DF5507">
        <w:t>inim</w:t>
      </w:r>
      <w:proofErr w:type="spellEnd"/>
      <w:r w:rsidRPr="00DF5507">
        <w:t xml:space="preserve">- või veterinaarmeditsiinis kasutatavate antibiootikumide suhtes, et välja selgitada ja järk-järgult kõrvaldada antibiootikumiresistentsuse markerid, mis võivad kahjustada inimeste tervist ja keskkonda, ning seatakse </w:t>
      </w:r>
      <w:r w:rsidR="00B9576D" w:rsidRPr="00DF5507">
        <w:t>tähtajaks 2024. </w:t>
      </w:r>
      <w:r w:rsidRPr="00DF5507">
        <w:t xml:space="preserve">aasta, pärast mida ei tohiks neid liidu turule lasta; </w:t>
      </w:r>
    </w:p>
    <w:p w:rsidR="00A33C30" w:rsidRPr="00DF5507" w:rsidRDefault="00A33C30" w:rsidP="00A33C30">
      <w:pPr>
        <w:pStyle w:val="NormalHanging12a"/>
      </w:pPr>
      <w:r w:rsidRPr="00DF5507">
        <w:t>N.</w:t>
      </w:r>
      <w:r w:rsidRPr="00DF5507">
        <w:tab/>
        <w:t>arvestades, et kom</w:t>
      </w:r>
      <w:r w:rsidR="00B9576D" w:rsidRPr="00DF5507">
        <w:t>isjoni rakendusmääruses (EL) nr </w:t>
      </w:r>
      <w:r w:rsidRPr="00DF5507">
        <w:t>503/2013</w:t>
      </w:r>
      <w:r w:rsidRPr="00DF5507">
        <w:rPr>
          <w:rStyle w:val="FootnoteReference"/>
        </w:rPr>
        <w:footnoteReference w:id="12"/>
      </w:r>
      <w:r w:rsidRPr="00DF5507">
        <w:t xml:space="preserve"> on sätestatud, et nüüd on võimalik arendada </w:t>
      </w:r>
      <w:proofErr w:type="spellStart"/>
      <w:r w:rsidRPr="00DF5507">
        <w:t>GMOsid</w:t>
      </w:r>
      <w:proofErr w:type="spellEnd"/>
      <w:r w:rsidRPr="00DF5507">
        <w:t xml:space="preserve"> ilma antibiootikumiresistents</w:t>
      </w:r>
      <w:r w:rsidR="00B9576D" w:rsidRPr="00DF5507">
        <w:t>use markergeene kasutamata, […</w:t>
      </w:r>
      <w:r w:rsidRPr="00DF5507">
        <w:t xml:space="preserve">] seetõttu peaks taotleja püüdma arendada </w:t>
      </w:r>
      <w:proofErr w:type="spellStart"/>
      <w:r w:rsidRPr="00DF5507">
        <w:t>GMOsid</w:t>
      </w:r>
      <w:proofErr w:type="spellEnd"/>
      <w:r w:rsidRPr="00DF5507">
        <w:t xml:space="preserve"> ilma antibiootikumiresistentsuse markergeene kasutamata;</w:t>
      </w:r>
    </w:p>
    <w:p w:rsidR="00A33C30" w:rsidRPr="00DF5507" w:rsidRDefault="00A33C30" w:rsidP="00A33C30">
      <w:pPr>
        <w:pStyle w:val="NormalHanging12a"/>
      </w:pPr>
      <w:r w:rsidRPr="00DF5507">
        <w:t>O.</w:t>
      </w:r>
      <w:r w:rsidRPr="00DF5507">
        <w:tab/>
        <w:t>arvestades, et mitmed liikmesriigid esitasid kriitilisi märkusi antibiootikumiresistentsuse markergeenide kasutamise kohta, sealhulgas märgiti asjaolu, et praeguse antibiootikumiresistentsuse kriisi tingimustes oleks mõistlik rakendada ettevaatuspõhimõtet, eriti käesoleval juhul, kus antibiootikumiresistentsuse markergeeni kohaldamine on täiesti tarbetu ja selle eemaldamine taimegenoomist on võimalik; arvestades, et ühe liikmesriigi pädev asutus andis loa kohta negatiivse arvamuse selle alusel, et geneetiliselt muundatud puuvilla genoomis oli antibiootikumiresistentsuse markergeen;</w:t>
      </w:r>
    </w:p>
    <w:p w:rsidR="00A33C30" w:rsidRPr="00DF5507" w:rsidRDefault="00A33C30" w:rsidP="00A33C30">
      <w:pPr>
        <w:pStyle w:val="NormalHanging12a"/>
      </w:pPr>
      <w:r w:rsidRPr="00DF5507">
        <w:t>P.</w:t>
      </w:r>
      <w:r w:rsidRPr="00DF5507">
        <w:tab/>
        <w:t xml:space="preserve">arvestades, et Euroopa Ravimiamet on kinnitanud, et liikmesriikides ei ole ravis, profülaktikas ega muul meditsiinilisel otstarbel inimestel või loomadel lubatud kasutada ühtegi </w:t>
      </w:r>
      <w:proofErr w:type="spellStart"/>
      <w:r w:rsidRPr="00DF5507">
        <w:t>hügromütsiini</w:t>
      </w:r>
      <w:proofErr w:type="spellEnd"/>
      <w:r w:rsidRPr="00DF5507">
        <w:t xml:space="preserve"> B sisaldavat ravimit ning puudub keskne luba </w:t>
      </w:r>
      <w:proofErr w:type="spellStart"/>
      <w:r w:rsidRPr="00DF5507">
        <w:t>hügromütsiini</w:t>
      </w:r>
      <w:proofErr w:type="spellEnd"/>
      <w:r w:rsidRPr="00DF5507">
        <w:t xml:space="preserve"> B11 sisaldavate ravimite kasutamiseks </w:t>
      </w:r>
      <w:proofErr w:type="spellStart"/>
      <w:r w:rsidRPr="00DF5507">
        <w:t>inim</w:t>
      </w:r>
      <w:proofErr w:type="spellEnd"/>
      <w:r w:rsidRPr="00DF5507">
        <w:t>- või veterinaarmeditsiinis; arvestades, et EF</w:t>
      </w:r>
      <w:r w:rsidR="00B9576D" w:rsidRPr="00DF5507">
        <w:t>SA arvamuses märgitakse, et GMO</w:t>
      </w:r>
      <w:r w:rsidR="00B9576D" w:rsidRPr="00DF5507">
        <w:noBreakHyphen/>
      </w:r>
      <w:r w:rsidRPr="00DF5507">
        <w:t>komisjon leiab, et riskihindamist võib olla vaja a</w:t>
      </w:r>
      <w:r w:rsidR="00B9576D" w:rsidRPr="00DF5507">
        <w:t xml:space="preserve">jakohastada, kui </w:t>
      </w:r>
      <w:proofErr w:type="spellStart"/>
      <w:r w:rsidR="00B9576D" w:rsidRPr="00DF5507">
        <w:t>hügromütsiin</w:t>
      </w:r>
      <w:proofErr w:type="spellEnd"/>
      <w:r w:rsidR="00B9576D" w:rsidRPr="00DF5507">
        <w:t xml:space="preserve"> </w:t>
      </w:r>
      <w:proofErr w:type="spellStart"/>
      <w:r w:rsidR="00B9576D" w:rsidRPr="00DF5507">
        <w:t>B</w:t>
      </w:r>
      <w:r w:rsidR="00B9576D" w:rsidRPr="00DF5507">
        <w:noBreakHyphen/>
      </w:r>
      <w:r w:rsidRPr="00DF5507">
        <w:t>d</w:t>
      </w:r>
      <w:proofErr w:type="spellEnd"/>
      <w:r w:rsidRPr="00DF5507">
        <w:t xml:space="preserve"> või muid APH4 ensüümi substraate sisaldavad tooted saavad tulevikus ELis müügiloa; arvestades aga, et </w:t>
      </w:r>
      <w:proofErr w:type="spellStart"/>
      <w:r w:rsidRPr="00DF5507">
        <w:t>hügromütsiini</w:t>
      </w:r>
      <w:proofErr w:type="spellEnd"/>
      <w:r w:rsidRPr="00DF5507">
        <w:t xml:space="preserve"> B kasutatakse </w:t>
      </w:r>
      <w:r w:rsidRPr="00DF5507">
        <w:lastRenderedPageBreak/>
        <w:t xml:space="preserve">väljaspool liitu müüdavates veterinaarravimites; </w:t>
      </w:r>
    </w:p>
    <w:p w:rsidR="00A33C30" w:rsidRPr="00DF5507" w:rsidRDefault="00A33C30" w:rsidP="00A33C30">
      <w:pPr>
        <w:pStyle w:val="NormalHanging12a"/>
      </w:pPr>
      <w:r w:rsidRPr="00DF5507">
        <w:t>Q.</w:t>
      </w:r>
      <w:r w:rsidRPr="00DF5507">
        <w:tab/>
        <w:t>arvestades, et Euroopa Parlament on vähemalt ühel varasemal korral olnud vastu selliste geneetiliselt muundatud põllukultuuride impordile, mis sisaldasid antibiootikumiresistentsuse markergeene</w:t>
      </w:r>
      <w:r w:rsidRPr="00DF5507">
        <w:rPr>
          <w:rStyle w:val="FootnoteReference"/>
        </w:rPr>
        <w:footnoteReference w:id="13"/>
      </w:r>
      <w:r w:rsidRPr="00DF5507">
        <w:t>;</w:t>
      </w:r>
    </w:p>
    <w:p w:rsidR="00A33C30" w:rsidRPr="00DF5507" w:rsidRDefault="00A33C30" w:rsidP="00A33C30">
      <w:pPr>
        <w:pStyle w:val="NormalHanging12a"/>
      </w:pPr>
      <w:r w:rsidRPr="00DF5507">
        <w:t>R.</w:t>
      </w:r>
      <w:r w:rsidRPr="00DF5507">
        <w:tab/>
        <w:t xml:space="preserve">arvestades, et </w:t>
      </w:r>
      <w:proofErr w:type="spellStart"/>
      <w:r w:rsidRPr="00DF5507">
        <w:t>antimikroobikumiresistentsus</w:t>
      </w:r>
      <w:proofErr w:type="spellEnd"/>
      <w:r w:rsidRPr="00DF5507">
        <w:t xml:space="preserve"> ohustab ülemaailmselt tervist,</w:t>
      </w:r>
      <w:r w:rsidR="00B9576D" w:rsidRPr="00DF5507">
        <w:t xml:space="preserve"> toiduga kindlustatust ja 2030. </w:t>
      </w:r>
      <w:r w:rsidRPr="00DF5507">
        <w:t>aastaks seatud kestliku arengu eesmärkide saavutamist, ning ravimiresistentsed nakkused ei tunne piire</w:t>
      </w:r>
      <w:r w:rsidRPr="00DF5507">
        <w:rPr>
          <w:rStyle w:val="FootnoteReference"/>
        </w:rPr>
        <w:footnoteReference w:id="14"/>
      </w:r>
      <w:r w:rsidRPr="00DF5507">
        <w:t>;</w:t>
      </w:r>
    </w:p>
    <w:p w:rsidR="00A33C30" w:rsidRPr="00DF5507" w:rsidRDefault="00A33C30" w:rsidP="00B9576D">
      <w:pPr>
        <w:pStyle w:val="NormalHanging12a"/>
        <w:keepNext/>
        <w:keepLines/>
        <w:rPr>
          <w:b/>
          <w:i/>
        </w:rPr>
      </w:pPr>
      <w:r w:rsidRPr="00DF5507">
        <w:rPr>
          <w:b/>
          <w:i/>
        </w:rPr>
        <w:t>Liikmesriikide pädevate asutuste ja sidusrühmade kommentaarid</w:t>
      </w:r>
    </w:p>
    <w:p w:rsidR="00A33C30" w:rsidRPr="00DF5507" w:rsidRDefault="00A33C30" w:rsidP="00A33C30">
      <w:pPr>
        <w:pStyle w:val="NormalHanging12a"/>
      </w:pPr>
      <w:r w:rsidRPr="00DF5507">
        <w:t>S.</w:t>
      </w:r>
      <w:r w:rsidRPr="00DF5507">
        <w:tab/>
        <w:t>arvestades,</w:t>
      </w:r>
      <w:r w:rsidR="00B9576D" w:rsidRPr="00DF5507">
        <w:t xml:space="preserve"> et liikmesriigid esitasid EFSA</w:t>
      </w:r>
      <w:r w:rsidR="00B9576D" w:rsidRPr="00DF5507">
        <w:noBreakHyphen/>
      </w:r>
      <w:proofErr w:type="spellStart"/>
      <w:r w:rsidRPr="00DF5507">
        <w:t>le</w:t>
      </w:r>
      <w:proofErr w:type="spellEnd"/>
      <w:r w:rsidRPr="00DF5507">
        <w:t xml:space="preserve"> kolmekuulise konsultatsiooniperioodi jooksul mitmeid kriitilisi märkusi</w:t>
      </w:r>
      <w:r w:rsidRPr="00DF5507">
        <w:rPr>
          <w:rStyle w:val="FootnoteReference"/>
        </w:rPr>
        <w:footnoteReference w:id="15"/>
      </w:r>
      <w:r w:rsidRPr="00DF5507">
        <w:t>, sealhulgas selle kohta, et geneetiliselt muundatud puuvilla kasvatamist põllumajandusmaal tuleb pidada looduskeskkonna tahtlikuks saastamiseks antibiootikumiresistentsuse markergeenidega ning et molekulaarset iseloomustust, koostist ja toksikoloogiat käsitlev teave ei ole piisav ning seetõttu on EFSA järeldused geneetiliselt muundatud puuvilla samaväärsuse kohta tavapärase puuvillaga toidu- ja söödaohutuse seisukohast ennatlikud;</w:t>
      </w:r>
    </w:p>
    <w:p w:rsidR="00A33C30" w:rsidRPr="00DF5507" w:rsidRDefault="00A33C30" w:rsidP="00A33C30">
      <w:pPr>
        <w:pStyle w:val="NormalHanging12a"/>
      </w:pPr>
      <w:r w:rsidRPr="00DF5507">
        <w:t>T.</w:t>
      </w:r>
      <w:r w:rsidRPr="00DF5507">
        <w:tab/>
        <w:t xml:space="preserve">arvestades, et määruses (EÜ) nr 1829/2003 on sätestatud, et geneetiliselt muundatud toit ja sööt ei tohi avaldada inimeste ja loomade tervisele ega keskkonnale kahjulikku mõju, ning nõutakse, et komisjon võtaks oma otsuse koostamisel arvesse kõiki liidu õigusaktide asjakohaseid sätteid ja teisi selle küsimusega seotud õiguspäraseid tegureid; arvestades, et selliste õiguspäraste tegurite hulka peaks kuuluma ka liidu kohustus võidelda </w:t>
      </w:r>
      <w:proofErr w:type="spellStart"/>
      <w:r w:rsidRPr="00DF5507">
        <w:t>antimikroobikumiresistentsuse</w:t>
      </w:r>
      <w:proofErr w:type="spellEnd"/>
      <w:r w:rsidRPr="00DF5507">
        <w:t xml:space="preserve"> vastu;</w:t>
      </w:r>
    </w:p>
    <w:p w:rsidR="00A33C30" w:rsidRPr="00DF5507" w:rsidRDefault="00A33C30" w:rsidP="00B9576D">
      <w:pPr>
        <w:pStyle w:val="NormalHanging12a"/>
        <w:keepNext/>
        <w:keepLines/>
        <w:rPr>
          <w:b/>
          <w:i/>
        </w:rPr>
      </w:pPr>
      <w:r w:rsidRPr="00DF5507">
        <w:rPr>
          <w:b/>
          <w:i/>
        </w:rPr>
        <w:t>Ebademokraatlik otsustamine</w:t>
      </w:r>
    </w:p>
    <w:p w:rsidR="00A33C30" w:rsidRPr="00DF5507" w:rsidRDefault="00A33C30" w:rsidP="00A33C30">
      <w:pPr>
        <w:pStyle w:val="NormalHanging12a"/>
      </w:pPr>
      <w:r w:rsidRPr="00DF5507">
        <w:t>U.</w:t>
      </w:r>
      <w:r w:rsidRPr="00DF5507">
        <w:tab/>
        <w:t xml:space="preserve">arvestades, et Euroopa Parlament võttis oma kaheksandal ametiajal vastu 36 resolutsiooni, milles väljendatakse vastuseisu toiduks ja söödaks mõeldud </w:t>
      </w:r>
      <w:proofErr w:type="spellStart"/>
      <w:r w:rsidRPr="00DF5507">
        <w:t>GMOde</w:t>
      </w:r>
      <w:proofErr w:type="spellEnd"/>
      <w:r w:rsidRPr="00DF5507">
        <w:t xml:space="preserve"> turule laskmisele (33 resolutsiooni) ning </w:t>
      </w:r>
      <w:proofErr w:type="spellStart"/>
      <w:r w:rsidRPr="00DF5507">
        <w:t>GMOde</w:t>
      </w:r>
      <w:proofErr w:type="spellEnd"/>
      <w:r w:rsidRPr="00DF5507">
        <w:t xml:space="preserve"> kasvatamisele liidus (kolm resolutsiooni); arvestades, et üheksandal ametiajal väljendas Euroopa Parlament </w:t>
      </w:r>
      <w:proofErr w:type="spellStart"/>
      <w:r w:rsidRPr="00DF5507">
        <w:t>GMOde</w:t>
      </w:r>
      <w:proofErr w:type="spellEnd"/>
      <w:r w:rsidRPr="00DF5507">
        <w:t xml:space="preserve"> turule laskmisele vastuseisu 38 korral;</w:t>
      </w:r>
    </w:p>
    <w:p w:rsidR="00A33C30" w:rsidRPr="00DF5507" w:rsidRDefault="00A33C30" w:rsidP="00A33C30">
      <w:pPr>
        <w:pStyle w:val="NormalHanging12a"/>
      </w:pPr>
      <w:r w:rsidRPr="00DF5507">
        <w:t>V.</w:t>
      </w:r>
      <w:r w:rsidRPr="00DF5507">
        <w:tab/>
        <w:t xml:space="preserve">arvestades, et kuigi komisjon tunnistab puudujääke demokraatlikus protsessis, liikmesriikide toetuse puudumist ja Euroopa Parlamendi vastuväiteid, jätkab ta siiski </w:t>
      </w:r>
      <w:proofErr w:type="spellStart"/>
      <w:r w:rsidRPr="00DF5507">
        <w:t>GMOdele</w:t>
      </w:r>
      <w:proofErr w:type="spellEnd"/>
      <w:r w:rsidRPr="00DF5507">
        <w:t xml:space="preserve"> lubade andmist;</w:t>
      </w:r>
    </w:p>
    <w:p w:rsidR="00A33C30" w:rsidRPr="00DF5507" w:rsidRDefault="00A33C30" w:rsidP="00A33C30">
      <w:pPr>
        <w:pStyle w:val="NormalHanging12a"/>
      </w:pPr>
      <w:r w:rsidRPr="00DF5507">
        <w:t>W.</w:t>
      </w:r>
      <w:r w:rsidRPr="00DF5507">
        <w:tab/>
        <w:t xml:space="preserve">arvestades, et selleks, et komisjon saaks keelduda </w:t>
      </w:r>
      <w:proofErr w:type="spellStart"/>
      <w:r w:rsidRPr="00DF5507">
        <w:t>GMOdele</w:t>
      </w:r>
      <w:proofErr w:type="spellEnd"/>
      <w:r w:rsidRPr="00DF5507">
        <w:t xml:space="preserve"> loa andmisest, kui </w:t>
      </w:r>
      <w:r w:rsidRPr="00DF5507">
        <w:lastRenderedPageBreak/>
        <w:t>apellatsioonikomitees ei ole saavutatud selle toetuseks liikmesriikide kvalifitseeritud häälteenamust, ei ole vaja õigusakte muuta</w:t>
      </w:r>
      <w:r w:rsidRPr="00DF5507">
        <w:rPr>
          <w:rStyle w:val="FootnoteReference"/>
        </w:rPr>
        <w:footnoteReference w:id="16"/>
      </w:r>
      <w:r w:rsidRPr="00DF5507">
        <w:t>;</w:t>
      </w:r>
    </w:p>
    <w:p w:rsidR="00A33C30" w:rsidRPr="00DF5507" w:rsidRDefault="00A33C30" w:rsidP="00A33C30">
      <w:pPr>
        <w:pStyle w:val="NormalHanging12a"/>
      </w:pPr>
      <w:r w:rsidRPr="00DF5507">
        <w:t>X.</w:t>
      </w:r>
      <w:r w:rsidRPr="00DF5507">
        <w:tab/>
      </w:r>
      <w:r w:rsidRPr="00DF5507">
        <w:rPr>
          <w:shd w:val="clear" w:color="auto" w:fill="FFFFFF"/>
        </w:rPr>
        <w:t>arvestades, et määruse (EÜ) nr 1829/2003 artiklis 35 osutatud alalises taime-, looma-, toidu- ja söödakomitees 8. juulil 2024 toimunud hääletuse tulemusel arvamust ei esitatud, mis tähendab seda, et loa andmise ettepanek ei saanud liikmesriikide kvalifitseeritud häälteenamust; arvestades</w:t>
      </w:r>
      <w:r w:rsidR="00B9576D" w:rsidRPr="00DF5507">
        <w:rPr>
          <w:shd w:val="clear" w:color="auto" w:fill="FFFFFF"/>
        </w:rPr>
        <w:t>, et arvamust ei esitatud ka 3. </w:t>
      </w:r>
      <w:r w:rsidRPr="00DF5507">
        <w:rPr>
          <w:shd w:val="clear" w:color="auto" w:fill="FFFFFF"/>
        </w:rPr>
        <w:t>septembril 2024 apellatsioonikomitees toimunud hääletuse tulemusel;</w:t>
      </w:r>
    </w:p>
    <w:p w:rsidR="00A33C30" w:rsidRPr="00DF5507" w:rsidRDefault="00A33C30" w:rsidP="00A33C30">
      <w:pPr>
        <w:pStyle w:val="NormalHanging12a"/>
      </w:pPr>
      <w:r w:rsidRPr="00DF5507">
        <w:t>1.</w:t>
      </w:r>
      <w:r w:rsidRPr="00DF5507">
        <w:tab/>
        <w:t>on seisukohal, et rakendusotsus</w:t>
      </w:r>
      <w:r w:rsidR="00E24E17" w:rsidRPr="00DF5507">
        <w:t xml:space="preserve"> (EL) 2024/2627</w:t>
      </w:r>
      <w:r w:rsidRPr="00DF5507">
        <w:t xml:space="preserve"> ületab määruses (EÜ) nr 1829/2003 sätestatud rakendamisvolitusi;</w:t>
      </w:r>
    </w:p>
    <w:p w:rsidR="00A33C30" w:rsidRPr="00DF5507" w:rsidRDefault="00A33C30" w:rsidP="00A33C30">
      <w:pPr>
        <w:pStyle w:val="NormalHanging12a"/>
      </w:pPr>
      <w:r w:rsidRPr="00DF5507">
        <w:t>2.</w:t>
      </w:r>
      <w:r w:rsidRPr="00DF5507">
        <w:tab/>
        <w:t>on seisukohal, et rakendusotsus</w:t>
      </w:r>
      <w:r w:rsidR="00E24E17" w:rsidRPr="00DF5507">
        <w:t xml:space="preserve"> (EL) 2024/26</w:t>
      </w:r>
      <w:bookmarkStart w:id="7" w:name="_GoBack"/>
      <w:bookmarkEnd w:id="7"/>
      <w:r w:rsidR="00E24E17" w:rsidRPr="00DF5507">
        <w:t>27</w:t>
      </w:r>
      <w:r w:rsidRPr="00DF5507">
        <w:t xml:space="preserve"> on vastuolus liidu õigusega, sest see ei ole kooskõlas määruse (EÜ) nr 1829/2003 eesmärgiga, milleks Euroopa Parlamendi ja nõukogu määruses (EÜ) nr 178/2002</w:t>
      </w:r>
      <w:r w:rsidRPr="00DF5507">
        <w:rPr>
          <w:rStyle w:val="FootnoteReference"/>
        </w:rPr>
        <w:footnoteReference w:id="17"/>
      </w:r>
      <w:r w:rsidRPr="00DF5507">
        <w:t xml:space="preserve"> sätestatud </w:t>
      </w:r>
      <w:proofErr w:type="spellStart"/>
      <w:r w:rsidRPr="00DF5507">
        <w:t>üldpõhimõtete</w:t>
      </w:r>
      <w:proofErr w:type="spellEnd"/>
      <w:r w:rsidRPr="00DF5507">
        <w:t xml:space="preserve"> kohaselt on luua alus inimeste elu ja tervise, loomade tervise ja heaolu ning keskkonna ja tarbijate huvide kaitse kõrge taseme tagamiseks seoses geneetiliselt muundatud toidu ja sööda kasutamisega ning tagada samal ajal ka siseturu </w:t>
      </w:r>
      <w:r w:rsidR="005A4AD5" w:rsidRPr="00DF5507">
        <w:t xml:space="preserve">tulemuslik </w:t>
      </w:r>
      <w:r w:rsidRPr="00DF5507">
        <w:t>toimimine;</w:t>
      </w:r>
    </w:p>
    <w:p w:rsidR="00A33C30" w:rsidRPr="00DF5507" w:rsidRDefault="00A33C30" w:rsidP="00A33C30">
      <w:pPr>
        <w:pStyle w:val="NormalHanging12a"/>
      </w:pPr>
      <w:r w:rsidRPr="00DF5507">
        <w:t>3.</w:t>
      </w:r>
      <w:r w:rsidRPr="00DF5507">
        <w:tab/>
        <w:t>palub komisjonil rakendusotsus</w:t>
      </w:r>
      <w:r w:rsidR="00E24E17" w:rsidRPr="00DF5507">
        <w:t xml:space="preserve"> (EL) 2024/2627</w:t>
      </w:r>
      <w:r w:rsidRPr="00DF5507">
        <w:t xml:space="preserve"> </w:t>
      </w:r>
      <w:r w:rsidR="00E24E17" w:rsidRPr="00DF5507">
        <w:t>kehtetuks tunnistada</w:t>
      </w:r>
      <w:r w:rsidRPr="00DF5507">
        <w:t xml:space="preserve"> ja esitada komiteele uue eelnõu;</w:t>
      </w:r>
    </w:p>
    <w:p w:rsidR="00A33C30" w:rsidRPr="00DF5507" w:rsidRDefault="00A33C30" w:rsidP="00A33C30">
      <w:pPr>
        <w:pStyle w:val="NormalHanging12a"/>
      </w:pPr>
      <w:r w:rsidRPr="00DF5507">
        <w:t>4.</w:t>
      </w:r>
      <w:r w:rsidRPr="00DF5507">
        <w:tab/>
        <w:t xml:space="preserve">kordab oma üleskutset komisjonile mitte lubada turule viia geneetiliselt muundatud taimi, mis sisaldavad </w:t>
      </w:r>
      <w:proofErr w:type="spellStart"/>
      <w:r w:rsidRPr="00DF5507">
        <w:t>antimikroobikumiresistentsust</w:t>
      </w:r>
      <w:proofErr w:type="spellEnd"/>
      <w:r w:rsidRPr="00DF5507">
        <w:t xml:space="preserve"> tekitavaid geene; märgib, et loa and</w:t>
      </w:r>
      <w:r w:rsidR="00B9576D" w:rsidRPr="00DF5507">
        <w:t>mine oleks vastuolus direktiivi 2001/18/EÜ artikli 4 lõikega </w:t>
      </w:r>
      <w:r w:rsidRPr="00DF5507">
        <w:t xml:space="preserve">2, milles nõutakse inimeste tervisele või keskkonnale kahjulikku mõju avaldada võivate antibiootikumiresistentsuse markergeenide järkjärgulist kõrvaldamist; </w:t>
      </w:r>
    </w:p>
    <w:p w:rsidR="00A33C30" w:rsidRPr="00DF5507" w:rsidRDefault="00A33C30" w:rsidP="00A33C30">
      <w:pPr>
        <w:pStyle w:val="NormalHanging12a"/>
      </w:pPr>
      <w:r w:rsidRPr="00DF5507">
        <w:t>5.</w:t>
      </w:r>
      <w:r w:rsidRPr="00DF5507">
        <w:tab/>
        <w:t xml:space="preserve">väljendab heameelt, et komisjon tunnistas lõpuks oma 11. septembri 2020. aasta kirjas parlamendiliikmetele, et </w:t>
      </w:r>
      <w:proofErr w:type="spellStart"/>
      <w:r w:rsidRPr="00DF5507">
        <w:t>GMOde</w:t>
      </w:r>
      <w:proofErr w:type="spellEnd"/>
      <w:r w:rsidRPr="00DF5507">
        <w:t xml:space="preserve"> lubamise otsuste tegemisel on vaja arvesse võtta kestlikkust</w:t>
      </w:r>
      <w:r w:rsidRPr="00DF5507">
        <w:rPr>
          <w:rStyle w:val="FootnoteReference"/>
        </w:rPr>
        <w:footnoteReference w:id="18"/>
      </w:r>
      <w:r w:rsidRPr="00DF5507">
        <w:t xml:space="preserve">; väljendab siiski sügavat pettumust, et komisjon on sellest ajast saadik jätkanud lubade andmist </w:t>
      </w:r>
      <w:proofErr w:type="spellStart"/>
      <w:r w:rsidRPr="00DF5507">
        <w:t>GMOde</w:t>
      </w:r>
      <w:proofErr w:type="spellEnd"/>
      <w:r w:rsidRPr="00DF5507">
        <w:t xml:space="preserve"> liitu importimiseks, hoolimata Euroopa Parlamendi püsivast vastuseisust ja sellest, et enamik liikmesriike hääletab selle vastu;</w:t>
      </w:r>
    </w:p>
    <w:p w:rsidR="00A33C30" w:rsidRPr="00DF5507" w:rsidRDefault="00A33C30" w:rsidP="00A33C30">
      <w:pPr>
        <w:pStyle w:val="NormalHanging12a"/>
      </w:pPr>
      <w:r w:rsidRPr="00DF5507">
        <w:t>6.</w:t>
      </w:r>
      <w:r w:rsidRPr="00DF5507">
        <w:tab/>
        <w:t>nõuab veel kord tungivalt, et komisjon võtaks arvesse liidu kohustusi, mis tulenevad rahvusvahelistest kokkulepetest, nagu Pariisi kliimakokkulepe, ÜRO bioloogilise mitmekesisuse konventsioon ja ÜRO kestliku arengu eesmärgid; kordab oma nõudmist lisada rakendusaktide eelnõudele seletuskiri, milles selgitatakse, kuidas nendega järgitakse kahju mittetekitamise põhimõtet</w:t>
      </w:r>
      <w:r w:rsidRPr="00DF5507">
        <w:rPr>
          <w:rStyle w:val="FootnoteReference"/>
        </w:rPr>
        <w:footnoteReference w:id="19"/>
      </w:r>
      <w:r w:rsidRPr="00DF5507">
        <w:t>;</w:t>
      </w:r>
    </w:p>
    <w:p w:rsidR="004F30EE" w:rsidRPr="00DF5507" w:rsidRDefault="00A33C30" w:rsidP="004F30EE">
      <w:pPr>
        <w:widowControl/>
        <w:ind w:left="567" w:hanging="567"/>
      </w:pPr>
      <w:r w:rsidRPr="00DF5507">
        <w:lastRenderedPageBreak/>
        <w:t>7.</w:t>
      </w:r>
      <w:r w:rsidRPr="00DF5507">
        <w:tab/>
        <w:t xml:space="preserve">teeb presidendile ülesandeks edastada käesolev resolutsioon nõukogule ja komisjonile ning liikmesriikide valitsustele ja parlamentidele. </w:t>
      </w:r>
    </w:p>
    <w:p w:rsidR="00E365E1" w:rsidRPr="00DF5507" w:rsidRDefault="00E365E1" w:rsidP="00035E1C"/>
    <w:sectPr w:rsidR="00E365E1" w:rsidRPr="00DF5507" w:rsidSect="004F30E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E1C" w:rsidRPr="004F30EE" w:rsidRDefault="00035E1C">
      <w:r w:rsidRPr="004F30EE">
        <w:separator/>
      </w:r>
    </w:p>
  </w:endnote>
  <w:endnote w:type="continuationSeparator" w:id="0">
    <w:p w:rsidR="00035E1C" w:rsidRPr="004F30EE" w:rsidRDefault="00035E1C">
      <w:r w:rsidRPr="004F30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0E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0E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0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E1C" w:rsidRPr="004F30EE" w:rsidRDefault="00035E1C">
      <w:r w:rsidRPr="004F30EE">
        <w:separator/>
      </w:r>
    </w:p>
  </w:footnote>
  <w:footnote w:type="continuationSeparator" w:id="0">
    <w:p w:rsidR="00035E1C" w:rsidRPr="004F30EE" w:rsidRDefault="00035E1C">
      <w:r w:rsidRPr="004F30EE">
        <w:continuationSeparator/>
      </w:r>
    </w:p>
  </w:footnote>
  <w:footnote w:id="1">
    <w:p w:rsidR="00E24E17" w:rsidRPr="004F30EE" w:rsidRDefault="00E24E17" w:rsidP="00E24E17">
      <w:pPr>
        <w:pStyle w:val="FootnoteText"/>
        <w:ind w:left="567" w:hanging="567"/>
        <w:rPr>
          <w:sz w:val="24"/>
          <w:lang w:val="et-EE"/>
        </w:rPr>
      </w:pPr>
      <w:r w:rsidRPr="004F30EE">
        <w:rPr>
          <w:rStyle w:val="FootnoteReference"/>
          <w:sz w:val="24"/>
          <w:lang w:val="et-EE"/>
        </w:rPr>
        <w:footnoteRef/>
      </w:r>
      <w:r w:rsidRPr="004F30EE">
        <w:rPr>
          <w:sz w:val="24"/>
          <w:lang w:val="et-EE"/>
        </w:rPr>
        <w:t xml:space="preserve"> </w:t>
      </w:r>
      <w:r w:rsidRPr="004F30EE">
        <w:rPr>
          <w:sz w:val="24"/>
          <w:lang w:val="et-EE"/>
        </w:rPr>
        <w:tab/>
      </w:r>
      <w:r>
        <w:rPr>
          <w:sz w:val="24"/>
          <w:lang w:val="et-EE"/>
        </w:rPr>
        <w:t>ELT </w:t>
      </w:r>
      <w:r w:rsidRPr="00E24E17">
        <w:rPr>
          <w:sz w:val="24"/>
          <w:lang w:val="et-EE"/>
        </w:rPr>
        <w:t>L, 2024/2627, 10.10.2024, ELI:</w:t>
      </w:r>
      <w:r>
        <w:rPr>
          <w:sz w:val="24"/>
          <w:lang w:val="et-EE"/>
        </w:rPr>
        <w:t> </w:t>
      </w:r>
      <w:hyperlink r:id="rId1" w:history="1">
        <w:r w:rsidRPr="0088526A">
          <w:rPr>
            <w:rStyle w:val="Hyperlink"/>
            <w:sz w:val="24"/>
            <w:lang w:val="et-EE"/>
          </w:rPr>
          <w:t>http://data.europa.eu/eli/dec_impl/2024/2627/oj</w:t>
        </w:r>
      </w:hyperlink>
      <w:r w:rsidRPr="004F30EE">
        <w:rPr>
          <w:sz w:val="24"/>
          <w:lang w:val="et-EE"/>
        </w:rPr>
        <w:t>.</w:t>
      </w:r>
    </w:p>
  </w:footnote>
  <w:footnote w:id="2">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r w:rsidR="00B9576D">
        <w:rPr>
          <w:sz w:val="24"/>
          <w:lang w:val="et-EE"/>
        </w:rPr>
        <w:t>ELT L </w:t>
      </w:r>
      <w:r w:rsidR="00E24E17">
        <w:rPr>
          <w:sz w:val="24"/>
          <w:lang w:val="et-EE"/>
        </w:rPr>
        <w:t>268, 18.10.2003, lk </w:t>
      </w:r>
      <w:r w:rsidRPr="004F30EE">
        <w:rPr>
          <w:sz w:val="24"/>
          <w:lang w:val="et-EE"/>
        </w:rPr>
        <w:t>1, ELI: </w:t>
      </w:r>
      <w:hyperlink r:id="rId2" w:tooltip="Juurdepääs dokumendile ELI URI kaudu." w:history="1">
        <w:r w:rsidRPr="004F30EE">
          <w:rPr>
            <w:rStyle w:val="Hyperlink"/>
            <w:sz w:val="24"/>
            <w:lang w:val="et-EE"/>
          </w:rPr>
          <w:t>http://data.europa.eu/eli/reg/2003/1829/oj</w:t>
        </w:r>
      </w:hyperlink>
      <w:r w:rsidRPr="004F30EE">
        <w:rPr>
          <w:sz w:val="24"/>
          <w:lang w:val="et-EE"/>
        </w:rPr>
        <w:t>.</w:t>
      </w:r>
    </w:p>
  </w:footnote>
  <w:footnote w:id="3">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r w:rsidR="00B9576D">
        <w:rPr>
          <w:sz w:val="24"/>
          <w:lang w:val="et-EE"/>
        </w:rPr>
        <w:t>ELT L </w:t>
      </w:r>
      <w:r w:rsidR="00E24E17">
        <w:rPr>
          <w:sz w:val="24"/>
          <w:lang w:val="et-EE"/>
        </w:rPr>
        <w:t>55, 28.2.2011, lk </w:t>
      </w:r>
      <w:r w:rsidRPr="004F30EE">
        <w:rPr>
          <w:sz w:val="24"/>
          <w:lang w:val="et-EE"/>
        </w:rPr>
        <w:t>13, ELI:</w:t>
      </w:r>
      <w:r w:rsidR="00B9576D">
        <w:rPr>
          <w:sz w:val="24"/>
          <w:lang w:val="et-EE"/>
        </w:rPr>
        <w:t> </w:t>
      </w:r>
      <w:hyperlink r:id="rId3" w:tooltip="Juurdepääs dokumendile ELI URI kaudu." w:history="1">
        <w:r w:rsidRPr="004F30EE">
          <w:rPr>
            <w:rStyle w:val="Hyperlink"/>
            <w:sz w:val="24"/>
            <w:lang w:val="et-EE"/>
          </w:rPr>
          <w:t>http://data.europa.eu/eli/reg/2011/182/oj</w:t>
        </w:r>
      </w:hyperlink>
      <w:r w:rsidRPr="004F30EE">
        <w:rPr>
          <w:sz w:val="24"/>
          <w:lang w:val="et-EE"/>
        </w:rPr>
        <w:t>.</w:t>
      </w:r>
    </w:p>
  </w:footnote>
  <w:footnote w:id="4">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r w:rsidRPr="004F30EE">
        <w:rPr>
          <w:sz w:val="24"/>
          <w:lang w:val="et-EE"/>
        </w:rPr>
        <w:t>EFSA geneetiliselt muundatud organismide komisjoni teaduslik arvamus, mis käsitleb toiduks ja söödaks kasutatava geneetiliselt muundatud pu</w:t>
      </w:r>
      <w:r w:rsidR="00B9576D">
        <w:rPr>
          <w:sz w:val="24"/>
          <w:lang w:val="et-EE"/>
        </w:rPr>
        <w:t xml:space="preserve">uvilla COT102 hindamist määruse (EÜ) </w:t>
      </w:r>
      <w:r w:rsidRPr="004F30EE">
        <w:rPr>
          <w:sz w:val="24"/>
          <w:lang w:val="et-EE"/>
        </w:rPr>
        <w:t xml:space="preserve">nr 1829/2003 alusel (taotlus EFSA-GMO-DE-2017-141), EFSA </w:t>
      </w:r>
      <w:proofErr w:type="spellStart"/>
      <w:r w:rsidRPr="004F30EE">
        <w:rPr>
          <w:sz w:val="24"/>
          <w:lang w:val="et-EE"/>
        </w:rPr>
        <w:t>Journal</w:t>
      </w:r>
      <w:proofErr w:type="spellEnd"/>
      <w:r w:rsidRPr="004F30EE">
        <w:rPr>
          <w:sz w:val="24"/>
          <w:lang w:val="et-EE"/>
        </w:rPr>
        <w:t xml:space="preserve"> 2023;21(6):8031, </w:t>
      </w:r>
      <w:hyperlink r:id="rId4" w:history="1">
        <w:r w:rsidRPr="004F30EE">
          <w:rPr>
            <w:rStyle w:val="Hyperlink"/>
            <w:sz w:val="24"/>
            <w:lang w:val="et-EE"/>
          </w:rPr>
          <w:t>https://doi.org/10.2903/j.efsa.2023.8031</w:t>
        </w:r>
      </w:hyperlink>
      <w:r w:rsidRPr="004F30EE">
        <w:rPr>
          <w:sz w:val="24"/>
          <w:lang w:val="et-EE"/>
        </w:rPr>
        <w:t>.</w:t>
      </w:r>
    </w:p>
  </w:footnote>
  <w:footnote w:id="5">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color w:val="000000" w:themeColor="text1"/>
          <w:sz w:val="24"/>
          <w:lang w:val="et-EE"/>
        </w:rPr>
        <w:t xml:space="preserve"> </w:t>
      </w:r>
      <w:r w:rsidR="004F30EE" w:rsidRPr="004F30EE">
        <w:rPr>
          <w:color w:val="000000" w:themeColor="text1"/>
          <w:sz w:val="24"/>
          <w:lang w:val="et-EE"/>
        </w:rPr>
        <w:tab/>
      </w:r>
      <w:r w:rsidRPr="004F30EE">
        <w:rPr>
          <w:color w:val="000000" w:themeColor="text1"/>
          <w:sz w:val="24"/>
          <w:lang w:val="et-EE"/>
        </w:rPr>
        <w:t>Parlament võttis</w:t>
      </w:r>
      <w:r w:rsidR="00B9576D">
        <w:rPr>
          <w:color w:val="000000" w:themeColor="text1"/>
          <w:sz w:val="24"/>
          <w:lang w:val="et-EE"/>
        </w:rPr>
        <w:t xml:space="preserve"> kaheksandal ametiajal vastu 36 </w:t>
      </w:r>
      <w:r w:rsidRPr="004F30EE">
        <w:rPr>
          <w:color w:val="000000" w:themeColor="text1"/>
          <w:sz w:val="24"/>
          <w:lang w:val="et-EE"/>
        </w:rPr>
        <w:t>resolutsiooni ja üheksandal ametia</w:t>
      </w:r>
      <w:r w:rsidR="00B9576D">
        <w:rPr>
          <w:color w:val="000000" w:themeColor="text1"/>
          <w:sz w:val="24"/>
          <w:lang w:val="et-EE"/>
        </w:rPr>
        <w:t>jal 38 </w:t>
      </w:r>
      <w:r w:rsidRPr="004F30EE">
        <w:rPr>
          <w:color w:val="000000" w:themeColor="text1"/>
          <w:sz w:val="24"/>
          <w:lang w:val="et-EE"/>
        </w:rPr>
        <w:t xml:space="preserve">resolutsiooni, milles väljendatakse </w:t>
      </w:r>
      <w:proofErr w:type="spellStart"/>
      <w:r w:rsidRPr="004F30EE">
        <w:rPr>
          <w:color w:val="000000" w:themeColor="text1"/>
          <w:sz w:val="24"/>
          <w:lang w:val="et-EE"/>
        </w:rPr>
        <w:t>GMOde</w:t>
      </w:r>
      <w:proofErr w:type="spellEnd"/>
      <w:r w:rsidRPr="004F30EE">
        <w:rPr>
          <w:color w:val="000000" w:themeColor="text1"/>
          <w:sz w:val="24"/>
          <w:lang w:val="et-EE"/>
        </w:rPr>
        <w:t xml:space="preserve"> lubamisele vastuseisu.</w:t>
      </w:r>
    </w:p>
  </w:footnote>
  <w:footnote w:id="6">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proofErr w:type="spellStart"/>
      <w:r w:rsidRPr="004F30EE">
        <w:rPr>
          <w:sz w:val="24"/>
          <w:lang w:val="et-EE"/>
        </w:rPr>
        <w:t>MacIntosh</w:t>
      </w:r>
      <w:proofErr w:type="spellEnd"/>
      <w:r w:rsidRPr="004F30EE">
        <w:rPr>
          <w:sz w:val="24"/>
          <w:lang w:val="et-EE"/>
        </w:rPr>
        <w:t xml:space="preserve">, S.C., </w:t>
      </w:r>
      <w:proofErr w:type="spellStart"/>
      <w:r w:rsidRPr="004F30EE">
        <w:rPr>
          <w:sz w:val="24"/>
          <w:lang w:val="et-EE"/>
        </w:rPr>
        <w:t>Kishore</w:t>
      </w:r>
      <w:proofErr w:type="spellEnd"/>
      <w:r w:rsidRPr="004F30EE">
        <w:rPr>
          <w:sz w:val="24"/>
          <w:lang w:val="et-EE"/>
        </w:rPr>
        <w:t xml:space="preserve">, G.M., </w:t>
      </w:r>
      <w:proofErr w:type="spellStart"/>
      <w:r w:rsidRPr="004F30EE">
        <w:rPr>
          <w:sz w:val="24"/>
          <w:lang w:val="et-EE"/>
        </w:rPr>
        <w:t>Perlak</w:t>
      </w:r>
      <w:proofErr w:type="spellEnd"/>
      <w:r w:rsidRPr="004F30EE">
        <w:rPr>
          <w:sz w:val="24"/>
          <w:lang w:val="et-EE"/>
        </w:rPr>
        <w:t xml:space="preserve">, F.J., </w:t>
      </w:r>
      <w:proofErr w:type="spellStart"/>
      <w:r w:rsidRPr="004F30EE">
        <w:rPr>
          <w:sz w:val="24"/>
          <w:lang w:val="et-EE"/>
        </w:rPr>
        <w:t>Marrone</w:t>
      </w:r>
      <w:proofErr w:type="spellEnd"/>
      <w:r w:rsidRPr="004F30EE">
        <w:rPr>
          <w:sz w:val="24"/>
          <w:lang w:val="et-EE"/>
        </w:rPr>
        <w:t xml:space="preserve">, P.G., </w:t>
      </w:r>
      <w:proofErr w:type="spellStart"/>
      <w:r w:rsidRPr="004F30EE">
        <w:rPr>
          <w:sz w:val="24"/>
          <w:lang w:val="et-EE"/>
        </w:rPr>
        <w:t>Stone</w:t>
      </w:r>
      <w:proofErr w:type="spellEnd"/>
      <w:r w:rsidRPr="004F30EE">
        <w:rPr>
          <w:sz w:val="24"/>
          <w:lang w:val="et-EE"/>
        </w:rPr>
        <w:t xml:space="preserve">, T.B., </w:t>
      </w:r>
      <w:proofErr w:type="spellStart"/>
      <w:r w:rsidRPr="004F30EE">
        <w:rPr>
          <w:sz w:val="24"/>
          <w:lang w:val="et-EE"/>
        </w:rPr>
        <w:t>Sims</w:t>
      </w:r>
      <w:proofErr w:type="spellEnd"/>
      <w:r w:rsidRPr="004F30EE">
        <w:rPr>
          <w:sz w:val="24"/>
          <w:lang w:val="et-EE"/>
        </w:rPr>
        <w:t xml:space="preserve">, S.R., </w:t>
      </w:r>
      <w:proofErr w:type="spellStart"/>
      <w:r w:rsidRPr="004F30EE">
        <w:rPr>
          <w:sz w:val="24"/>
          <w:lang w:val="et-EE"/>
        </w:rPr>
        <w:t>Fuchs</w:t>
      </w:r>
      <w:proofErr w:type="spellEnd"/>
      <w:r w:rsidRPr="004F30EE">
        <w:rPr>
          <w:sz w:val="24"/>
          <w:lang w:val="et-EE"/>
        </w:rPr>
        <w:t>, R.L. „</w:t>
      </w:r>
      <w:proofErr w:type="spellStart"/>
      <w:r w:rsidRPr="004F30EE">
        <w:rPr>
          <w:sz w:val="24"/>
          <w:lang w:val="et-EE"/>
        </w:rPr>
        <w:t>Potentiation</w:t>
      </w:r>
      <w:proofErr w:type="spellEnd"/>
      <w:r w:rsidRPr="004F30EE">
        <w:rPr>
          <w:sz w:val="24"/>
          <w:lang w:val="et-EE"/>
        </w:rPr>
        <w:t xml:space="preserve"> of </w:t>
      </w:r>
      <w:proofErr w:type="spellStart"/>
      <w:r w:rsidRPr="004F30EE">
        <w:rPr>
          <w:i/>
          <w:sz w:val="24"/>
          <w:lang w:val="et-EE"/>
        </w:rPr>
        <w:t>Bacillus</w:t>
      </w:r>
      <w:proofErr w:type="spellEnd"/>
      <w:r w:rsidRPr="004F30EE">
        <w:rPr>
          <w:i/>
          <w:sz w:val="24"/>
          <w:lang w:val="et-EE"/>
        </w:rPr>
        <w:t xml:space="preserve"> </w:t>
      </w:r>
      <w:proofErr w:type="spellStart"/>
      <w:r w:rsidRPr="004F30EE">
        <w:rPr>
          <w:i/>
          <w:sz w:val="24"/>
          <w:lang w:val="et-EE"/>
        </w:rPr>
        <w:t>thuringiensis</w:t>
      </w:r>
      <w:proofErr w:type="spellEnd"/>
      <w:r w:rsidRPr="004F30EE">
        <w:rPr>
          <w:sz w:val="24"/>
          <w:lang w:val="et-EE"/>
        </w:rPr>
        <w:t xml:space="preserve"> </w:t>
      </w:r>
      <w:proofErr w:type="spellStart"/>
      <w:r w:rsidRPr="004F30EE">
        <w:rPr>
          <w:sz w:val="24"/>
          <w:lang w:val="et-EE"/>
        </w:rPr>
        <w:t>insecticidal</w:t>
      </w:r>
      <w:proofErr w:type="spellEnd"/>
      <w:r w:rsidRPr="004F30EE">
        <w:rPr>
          <w:sz w:val="24"/>
          <w:lang w:val="et-EE"/>
        </w:rPr>
        <w:t xml:space="preserve"> </w:t>
      </w:r>
      <w:proofErr w:type="spellStart"/>
      <w:r w:rsidRPr="004F30EE">
        <w:rPr>
          <w:sz w:val="24"/>
          <w:lang w:val="et-EE"/>
        </w:rPr>
        <w:t>activity</w:t>
      </w:r>
      <w:proofErr w:type="spellEnd"/>
      <w:r w:rsidRPr="004F30EE">
        <w:rPr>
          <w:sz w:val="24"/>
          <w:lang w:val="et-EE"/>
        </w:rPr>
        <w:t xml:space="preserve"> </w:t>
      </w:r>
      <w:proofErr w:type="spellStart"/>
      <w:r w:rsidRPr="004F30EE">
        <w:rPr>
          <w:sz w:val="24"/>
          <w:lang w:val="et-EE"/>
        </w:rPr>
        <w:t>by</w:t>
      </w:r>
      <w:proofErr w:type="spellEnd"/>
      <w:r w:rsidRPr="004F30EE">
        <w:rPr>
          <w:sz w:val="24"/>
          <w:lang w:val="et-EE"/>
        </w:rPr>
        <w:t xml:space="preserve"> </w:t>
      </w:r>
      <w:proofErr w:type="spellStart"/>
      <w:r w:rsidRPr="004F30EE">
        <w:rPr>
          <w:sz w:val="24"/>
          <w:lang w:val="et-EE"/>
        </w:rPr>
        <w:t>serine</w:t>
      </w:r>
      <w:proofErr w:type="spellEnd"/>
      <w:r w:rsidRPr="004F30EE">
        <w:rPr>
          <w:sz w:val="24"/>
          <w:lang w:val="et-EE"/>
        </w:rPr>
        <w:t xml:space="preserve"> </w:t>
      </w:r>
      <w:proofErr w:type="spellStart"/>
      <w:r w:rsidRPr="004F30EE">
        <w:rPr>
          <w:sz w:val="24"/>
          <w:lang w:val="et-EE"/>
        </w:rPr>
        <w:t>protease</w:t>
      </w:r>
      <w:proofErr w:type="spellEnd"/>
      <w:r w:rsidRPr="004F30EE">
        <w:rPr>
          <w:sz w:val="24"/>
          <w:lang w:val="et-EE"/>
        </w:rPr>
        <w:t xml:space="preserve"> </w:t>
      </w:r>
      <w:proofErr w:type="spellStart"/>
      <w:r w:rsidRPr="004F30EE">
        <w:rPr>
          <w:sz w:val="24"/>
          <w:lang w:val="et-EE"/>
        </w:rPr>
        <w:t>inhibitors</w:t>
      </w:r>
      <w:proofErr w:type="spellEnd"/>
      <w:r w:rsidRPr="004F30EE">
        <w:rPr>
          <w:sz w:val="24"/>
          <w:lang w:val="et-EE"/>
        </w:rPr>
        <w:t>“ (</w:t>
      </w:r>
      <w:proofErr w:type="spellStart"/>
      <w:r w:rsidRPr="00DF5507">
        <w:rPr>
          <w:i/>
          <w:sz w:val="24"/>
          <w:lang w:val="et-EE"/>
        </w:rPr>
        <w:t>Bacillus</w:t>
      </w:r>
      <w:proofErr w:type="spellEnd"/>
      <w:r w:rsidRPr="00DF5507">
        <w:rPr>
          <w:i/>
          <w:sz w:val="24"/>
          <w:lang w:val="et-EE"/>
        </w:rPr>
        <w:t xml:space="preserve"> </w:t>
      </w:r>
      <w:proofErr w:type="spellStart"/>
      <w:r w:rsidRPr="00DF5507">
        <w:rPr>
          <w:i/>
          <w:sz w:val="24"/>
          <w:lang w:val="et-EE"/>
        </w:rPr>
        <w:t>thuringiensis</w:t>
      </w:r>
      <w:r w:rsidRPr="004F30EE">
        <w:rPr>
          <w:sz w:val="24"/>
          <w:lang w:val="et-EE"/>
        </w:rPr>
        <w:t>’e</w:t>
      </w:r>
      <w:proofErr w:type="spellEnd"/>
      <w:r w:rsidRPr="004F30EE">
        <w:rPr>
          <w:sz w:val="24"/>
          <w:lang w:val="et-EE"/>
        </w:rPr>
        <w:t xml:space="preserve"> </w:t>
      </w:r>
      <w:proofErr w:type="spellStart"/>
      <w:r w:rsidRPr="004F30EE">
        <w:rPr>
          <w:sz w:val="24"/>
          <w:lang w:val="et-EE"/>
        </w:rPr>
        <w:t>insektits</w:t>
      </w:r>
      <w:r w:rsidR="00B9576D">
        <w:rPr>
          <w:sz w:val="24"/>
          <w:lang w:val="et-EE"/>
        </w:rPr>
        <w:t>iidse</w:t>
      </w:r>
      <w:proofErr w:type="spellEnd"/>
      <w:r w:rsidR="00B9576D">
        <w:rPr>
          <w:sz w:val="24"/>
          <w:lang w:val="et-EE"/>
        </w:rPr>
        <w:t xml:space="preserve"> toime suurendamine </w:t>
      </w:r>
      <w:proofErr w:type="spellStart"/>
      <w:r w:rsidR="00B9576D">
        <w:rPr>
          <w:sz w:val="24"/>
          <w:lang w:val="et-EE"/>
        </w:rPr>
        <w:t>seriin</w:t>
      </w:r>
      <w:proofErr w:type="spellEnd"/>
      <w:r w:rsidR="00B9576D">
        <w:rPr>
          <w:sz w:val="24"/>
          <w:lang w:val="et-EE"/>
        </w:rPr>
        <w:noBreakHyphen/>
      </w:r>
      <w:r w:rsidRPr="004F30EE">
        <w:rPr>
          <w:sz w:val="24"/>
          <w:lang w:val="et-EE"/>
        </w:rPr>
        <w:t xml:space="preserve">proteaasi inhibiitorite poolt), </w:t>
      </w:r>
      <w:proofErr w:type="spellStart"/>
      <w:r w:rsidRPr="004F30EE">
        <w:rPr>
          <w:sz w:val="24"/>
          <w:lang w:val="et-EE"/>
        </w:rPr>
        <w:t>Journal</w:t>
      </w:r>
      <w:proofErr w:type="spellEnd"/>
      <w:r w:rsidRPr="004F30EE">
        <w:rPr>
          <w:sz w:val="24"/>
          <w:lang w:val="et-EE"/>
        </w:rPr>
        <w:t xml:space="preserve"> of </w:t>
      </w:r>
      <w:proofErr w:type="spellStart"/>
      <w:r w:rsidRPr="004F30EE">
        <w:rPr>
          <w:sz w:val="24"/>
          <w:lang w:val="et-EE"/>
        </w:rPr>
        <w:t>Agricultural</w:t>
      </w:r>
      <w:proofErr w:type="spellEnd"/>
      <w:r w:rsidRPr="004F30EE">
        <w:rPr>
          <w:sz w:val="24"/>
          <w:lang w:val="et-EE"/>
        </w:rPr>
        <w:t xml:space="preserve"> and </w:t>
      </w:r>
      <w:proofErr w:type="spellStart"/>
      <w:r w:rsidRPr="004F30EE">
        <w:rPr>
          <w:sz w:val="24"/>
          <w:lang w:val="et-EE"/>
        </w:rPr>
        <w:t>Food</w:t>
      </w:r>
      <w:proofErr w:type="spellEnd"/>
      <w:r w:rsidRPr="004F30EE">
        <w:rPr>
          <w:sz w:val="24"/>
          <w:lang w:val="et-EE"/>
        </w:rPr>
        <w:t xml:space="preserve"> </w:t>
      </w:r>
      <w:proofErr w:type="spellStart"/>
      <w:r w:rsidRPr="004F30EE">
        <w:rPr>
          <w:sz w:val="24"/>
          <w:lang w:val="et-EE"/>
        </w:rPr>
        <w:t>Chemistry</w:t>
      </w:r>
      <w:proofErr w:type="spellEnd"/>
      <w:r w:rsidRPr="004F30EE">
        <w:rPr>
          <w:sz w:val="24"/>
          <w:lang w:val="et-EE"/>
        </w:rPr>
        <w:t xml:space="preserve"> 1990,38, 4, lk 1145–1152, </w:t>
      </w:r>
      <w:hyperlink r:id="rId5" w:history="1">
        <w:r w:rsidRPr="004F30EE">
          <w:rPr>
            <w:rStyle w:val="Hyperlink"/>
            <w:sz w:val="24"/>
            <w:lang w:val="et-EE"/>
          </w:rPr>
          <w:t>https://pubs.acs.org/doi/abs/10.1021/jf00094a051</w:t>
        </w:r>
      </w:hyperlink>
      <w:r w:rsidRPr="004F30EE">
        <w:rPr>
          <w:sz w:val="24"/>
          <w:lang w:val="et-EE"/>
        </w:rPr>
        <w:t>.</w:t>
      </w:r>
    </w:p>
  </w:footnote>
  <w:footnote w:id="7">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r w:rsidRPr="004F30EE">
        <w:rPr>
          <w:sz w:val="24"/>
          <w:lang w:val="et-EE"/>
        </w:rPr>
        <w:t xml:space="preserve">Ülevaate saamiseks vt </w:t>
      </w:r>
      <w:proofErr w:type="spellStart"/>
      <w:r w:rsidRPr="004F30EE">
        <w:rPr>
          <w:sz w:val="24"/>
          <w:lang w:val="et-EE"/>
        </w:rPr>
        <w:t>Rubio</w:t>
      </w:r>
      <w:proofErr w:type="spellEnd"/>
      <w:r w:rsidRPr="004F30EE">
        <w:rPr>
          <w:sz w:val="24"/>
          <w:lang w:val="et-EE"/>
        </w:rPr>
        <w:t>-Infante, N., Moreno-</w:t>
      </w:r>
      <w:proofErr w:type="spellStart"/>
      <w:r w:rsidRPr="004F30EE">
        <w:rPr>
          <w:sz w:val="24"/>
          <w:lang w:val="et-EE"/>
        </w:rPr>
        <w:t>Fierros</w:t>
      </w:r>
      <w:proofErr w:type="spellEnd"/>
      <w:r w:rsidRPr="004F30EE">
        <w:rPr>
          <w:sz w:val="24"/>
          <w:lang w:val="et-EE"/>
        </w:rPr>
        <w:t>, L. „</w:t>
      </w:r>
      <w:proofErr w:type="spellStart"/>
      <w:r w:rsidRPr="004F30EE">
        <w:rPr>
          <w:sz w:val="24"/>
          <w:lang w:val="et-EE"/>
        </w:rPr>
        <w:t>An</w:t>
      </w:r>
      <w:proofErr w:type="spellEnd"/>
      <w:r w:rsidRPr="004F30EE">
        <w:rPr>
          <w:sz w:val="24"/>
          <w:lang w:val="et-EE"/>
        </w:rPr>
        <w:t xml:space="preserve"> </w:t>
      </w:r>
      <w:proofErr w:type="spellStart"/>
      <w:r w:rsidRPr="004F30EE">
        <w:rPr>
          <w:sz w:val="24"/>
          <w:lang w:val="et-EE"/>
        </w:rPr>
        <w:t>overview</w:t>
      </w:r>
      <w:proofErr w:type="spellEnd"/>
      <w:r w:rsidRPr="004F30EE">
        <w:rPr>
          <w:sz w:val="24"/>
          <w:lang w:val="et-EE"/>
        </w:rPr>
        <w:t xml:space="preserve"> of </w:t>
      </w:r>
      <w:proofErr w:type="spellStart"/>
      <w:r w:rsidRPr="004F30EE">
        <w:rPr>
          <w:sz w:val="24"/>
          <w:lang w:val="et-EE"/>
        </w:rPr>
        <w:t>the</w:t>
      </w:r>
      <w:proofErr w:type="spellEnd"/>
      <w:r w:rsidRPr="004F30EE">
        <w:rPr>
          <w:sz w:val="24"/>
          <w:lang w:val="et-EE"/>
        </w:rPr>
        <w:t xml:space="preserve"> </w:t>
      </w:r>
      <w:proofErr w:type="spellStart"/>
      <w:r w:rsidRPr="004F30EE">
        <w:rPr>
          <w:sz w:val="24"/>
          <w:lang w:val="et-EE"/>
        </w:rPr>
        <w:t>safety</w:t>
      </w:r>
      <w:proofErr w:type="spellEnd"/>
      <w:r w:rsidRPr="004F30EE">
        <w:rPr>
          <w:sz w:val="24"/>
          <w:lang w:val="et-EE"/>
        </w:rPr>
        <w:t xml:space="preserve"> and </w:t>
      </w:r>
      <w:proofErr w:type="spellStart"/>
      <w:r w:rsidRPr="004F30EE">
        <w:rPr>
          <w:sz w:val="24"/>
          <w:lang w:val="et-EE"/>
        </w:rPr>
        <w:t>biological</w:t>
      </w:r>
      <w:proofErr w:type="spellEnd"/>
      <w:r w:rsidRPr="004F30EE">
        <w:rPr>
          <w:sz w:val="24"/>
          <w:lang w:val="et-EE"/>
        </w:rPr>
        <w:t xml:space="preserve"> </w:t>
      </w:r>
      <w:proofErr w:type="spellStart"/>
      <w:r w:rsidRPr="004F30EE">
        <w:rPr>
          <w:sz w:val="24"/>
          <w:lang w:val="et-EE"/>
        </w:rPr>
        <w:t>effects</w:t>
      </w:r>
      <w:proofErr w:type="spellEnd"/>
      <w:r w:rsidRPr="004F30EE">
        <w:rPr>
          <w:sz w:val="24"/>
          <w:lang w:val="et-EE"/>
        </w:rPr>
        <w:t xml:space="preserve"> of </w:t>
      </w:r>
      <w:proofErr w:type="spellStart"/>
      <w:r w:rsidRPr="004F30EE">
        <w:rPr>
          <w:i/>
          <w:sz w:val="24"/>
          <w:lang w:val="et-EE"/>
        </w:rPr>
        <w:t>Bacillus</w:t>
      </w:r>
      <w:proofErr w:type="spellEnd"/>
      <w:r w:rsidRPr="004F30EE">
        <w:rPr>
          <w:i/>
          <w:sz w:val="24"/>
          <w:lang w:val="et-EE"/>
        </w:rPr>
        <w:t xml:space="preserve"> </w:t>
      </w:r>
      <w:proofErr w:type="spellStart"/>
      <w:r w:rsidRPr="004F30EE">
        <w:rPr>
          <w:i/>
          <w:sz w:val="24"/>
          <w:lang w:val="et-EE"/>
        </w:rPr>
        <w:t>thuringiensis</w:t>
      </w:r>
      <w:proofErr w:type="spellEnd"/>
      <w:r w:rsidRPr="004F30EE">
        <w:rPr>
          <w:sz w:val="24"/>
          <w:lang w:val="et-EE"/>
        </w:rPr>
        <w:t xml:space="preserve"> </w:t>
      </w:r>
      <w:proofErr w:type="spellStart"/>
      <w:r w:rsidRPr="004F30EE">
        <w:rPr>
          <w:sz w:val="24"/>
          <w:lang w:val="et-EE"/>
        </w:rPr>
        <w:t>Cry</w:t>
      </w:r>
      <w:proofErr w:type="spellEnd"/>
      <w:r w:rsidRPr="004F30EE">
        <w:rPr>
          <w:sz w:val="24"/>
          <w:lang w:val="et-EE"/>
        </w:rPr>
        <w:t xml:space="preserve"> </w:t>
      </w:r>
      <w:proofErr w:type="spellStart"/>
      <w:r w:rsidRPr="004F30EE">
        <w:rPr>
          <w:sz w:val="24"/>
          <w:lang w:val="et-EE"/>
        </w:rPr>
        <w:t>toxins</w:t>
      </w:r>
      <w:proofErr w:type="spellEnd"/>
      <w:r w:rsidRPr="004F30EE">
        <w:rPr>
          <w:sz w:val="24"/>
          <w:lang w:val="et-EE"/>
        </w:rPr>
        <w:t xml:space="preserve"> in </w:t>
      </w:r>
      <w:proofErr w:type="spellStart"/>
      <w:r w:rsidRPr="004F30EE">
        <w:rPr>
          <w:sz w:val="24"/>
          <w:lang w:val="et-EE"/>
        </w:rPr>
        <w:t>mammals</w:t>
      </w:r>
      <w:proofErr w:type="spellEnd"/>
      <w:r w:rsidRPr="004F30EE">
        <w:rPr>
          <w:sz w:val="24"/>
          <w:lang w:val="et-EE"/>
        </w:rPr>
        <w:t xml:space="preserve">“ (Ülevaade </w:t>
      </w:r>
      <w:proofErr w:type="spellStart"/>
      <w:r w:rsidRPr="004F30EE">
        <w:rPr>
          <w:i/>
          <w:sz w:val="24"/>
          <w:lang w:val="et-EE"/>
        </w:rPr>
        <w:t>Bacillus</w:t>
      </w:r>
      <w:proofErr w:type="spellEnd"/>
      <w:r w:rsidRPr="004F30EE">
        <w:rPr>
          <w:i/>
          <w:sz w:val="24"/>
          <w:lang w:val="et-EE"/>
        </w:rPr>
        <w:t xml:space="preserve"> </w:t>
      </w:r>
      <w:proofErr w:type="spellStart"/>
      <w:r w:rsidRPr="004F30EE">
        <w:rPr>
          <w:i/>
          <w:sz w:val="24"/>
          <w:lang w:val="et-EE"/>
        </w:rPr>
        <w:t>thuringiensis</w:t>
      </w:r>
      <w:r w:rsidRPr="004F30EE">
        <w:rPr>
          <w:sz w:val="24"/>
          <w:lang w:val="et-EE"/>
        </w:rPr>
        <w:t>’e</w:t>
      </w:r>
      <w:proofErr w:type="spellEnd"/>
      <w:r w:rsidRPr="004F30EE">
        <w:rPr>
          <w:sz w:val="24"/>
          <w:lang w:val="et-EE"/>
        </w:rPr>
        <w:t xml:space="preserve"> </w:t>
      </w:r>
      <w:proofErr w:type="spellStart"/>
      <w:r w:rsidRPr="004F30EE">
        <w:rPr>
          <w:sz w:val="24"/>
          <w:lang w:val="et-EE"/>
        </w:rPr>
        <w:t>Cry</w:t>
      </w:r>
      <w:proofErr w:type="spellEnd"/>
      <w:r w:rsidRPr="004F30EE">
        <w:rPr>
          <w:sz w:val="24"/>
          <w:lang w:val="et-EE"/>
        </w:rPr>
        <w:t xml:space="preserve">-toksiinide ohutusest ja bioloogilisest mõjust imetajatel), </w:t>
      </w:r>
      <w:proofErr w:type="spellStart"/>
      <w:r w:rsidRPr="004F30EE">
        <w:rPr>
          <w:sz w:val="24"/>
          <w:lang w:val="et-EE"/>
        </w:rPr>
        <w:t>Journal</w:t>
      </w:r>
      <w:proofErr w:type="spellEnd"/>
      <w:r w:rsidRPr="004F30EE">
        <w:rPr>
          <w:sz w:val="24"/>
          <w:lang w:val="et-EE"/>
        </w:rPr>
        <w:t xml:space="preserve"> of </w:t>
      </w:r>
      <w:proofErr w:type="spellStart"/>
      <w:r w:rsidRPr="004F30EE">
        <w:rPr>
          <w:sz w:val="24"/>
          <w:lang w:val="et-EE"/>
        </w:rPr>
        <w:t>Applied</w:t>
      </w:r>
      <w:proofErr w:type="spellEnd"/>
      <w:r w:rsidRPr="004F30EE">
        <w:rPr>
          <w:sz w:val="24"/>
          <w:lang w:val="et-EE"/>
        </w:rPr>
        <w:t xml:space="preserve"> </w:t>
      </w:r>
      <w:proofErr w:type="spellStart"/>
      <w:r w:rsidRPr="004F30EE">
        <w:rPr>
          <w:sz w:val="24"/>
          <w:lang w:val="et-EE"/>
        </w:rPr>
        <w:t>Toxicology</w:t>
      </w:r>
      <w:proofErr w:type="spellEnd"/>
      <w:r w:rsidRPr="004F30EE">
        <w:rPr>
          <w:sz w:val="24"/>
          <w:lang w:val="et-EE"/>
        </w:rPr>
        <w:t xml:space="preserve">, mai 2016, 36,5, lk 630–648, </w:t>
      </w:r>
      <w:hyperlink r:id="rId6" w:history="1">
        <w:r w:rsidRPr="004F30EE">
          <w:rPr>
            <w:rStyle w:val="Hyperlink"/>
            <w:sz w:val="24"/>
            <w:lang w:val="et-EE"/>
          </w:rPr>
          <w:t>https://onlinelibrary.wiley.com/doi/full/10.1002/jat.3252</w:t>
        </w:r>
      </w:hyperlink>
      <w:r w:rsidRPr="004F30EE">
        <w:rPr>
          <w:sz w:val="24"/>
          <w:lang w:val="et-EE"/>
        </w:rPr>
        <w:t>.</w:t>
      </w:r>
    </w:p>
  </w:footnote>
  <w:footnote w:id="8">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r w:rsidRPr="004F30EE">
        <w:rPr>
          <w:sz w:val="24"/>
          <w:lang w:val="et-EE"/>
        </w:rPr>
        <w:t xml:space="preserve">Vt näiteks </w:t>
      </w:r>
      <w:proofErr w:type="spellStart"/>
      <w:r w:rsidRPr="004F30EE">
        <w:rPr>
          <w:sz w:val="24"/>
          <w:lang w:val="et-EE"/>
        </w:rPr>
        <w:t>Hilbeck</w:t>
      </w:r>
      <w:proofErr w:type="spellEnd"/>
      <w:r w:rsidRPr="004F30EE">
        <w:rPr>
          <w:sz w:val="24"/>
          <w:lang w:val="et-EE"/>
        </w:rPr>
        <w:t>, A., Otto, M. „</w:t>
      </w:r>
      <w:proofErr w:type="spellStart"/>
      <w:r w:rsidRPr="004F30EE">
        <w:rPr>
          <w:sz w:val="24"/>
          <w:lang w:val="et-EE"/>
        </w:rPr>
        <w:t>Specificity</w:t>
      </w:r>
      <w:proofErr w:type="spellEnd"/>
      <w:r w:rsidRPr="004F30EE">
        <w:rPr>
          <w:sz w:val="24"/>
          <w:lang w:val="et-EE"/>
        </w:rPr>
        <w:t xml:space="preserve"> and </w:t>
      </w:r>
      <w:proofErr w:type="spellStart"/>
      <w:r w:rsidRPr="004F30EE">
        <w:rPr>
          <w:sz w:val="24"/>
          <w:lang w:val="et-EE"/>
        </w:rPr>
        <w:t>combinatorial</w:t>
      </w:r>
      <w:proofErr w:type="spellEnd"/>
      <w:r w:rsidRPr="004F30EE">
        <w:rPr>
          <w:sz w:val="24"/>
          <w:lang w:val="et-EE"/>
        </w:rPr>
        <w:t xml:space="preserve"> </w:t>
      </w:r>
      <w:proofErr w:type="spellStart"/>
      <w:r w:rsidRPr="004F30EE">
        <w:rPr>
          <w:sz w:val="24"/>
          <w:lang w:val="et-EE"/>
        </w:rPr>
        <w:t>effects</w:t>
      </w:r>
      <w:proofErr w:type="spellEnd"/>
      <w:r w:rsidRPr="004F30EE">
        <w:rPr>
          <w:sz w:val="24"/>
          <w:lang w:val="et-EE"/>
        </w:rPr>
        <w:t xml:space="preserve"> of </w:t>
      </w:r>
      <w:proofErr w:type="spellStart"/>
      <w:r w:rsidRPr="004F30EE">
        <w:rPr>
          <w:i/>
          <w:sz w:val="24"/>
          <w:lang w:val="et-EE"/>
        </w:rPr>
        <w:t>Bacillus</w:t>
      </w:r>
      <w:proofErr w:type="spellEnd"/>
      <w:r w:rsidRPr="004F30EE">
        <w:rPr>
          <w:i/>
          <w:sz w:val="24"/>
          <w:lang w:val="et-EE"/>
        </w:rPr>
        <w:t xml:space="preserve"> </w:t>
      </w:r>
      <w:proofErr w:type="spellStart"/>
      <w:r w:rsidRPr="004F30EE">
        <w:rPr>
          <w:i/>
          <w:sz w:val="24"/>
          <w:lang w:val="et-EE"/>
        </w:rPr>
        <w:t>thuringiensis</w:t>
      </w:r>
      <w:proofErr w:type="spellEnd"/>
      <w:r w:rsidRPr="004F30EE">
        <w:rPr>
          <w:sz w:val="24"/>
          <w:lang w:val="et-EE"/>
        </w:rPr>
        <w:t xml:space="preserve"> </w:t>
      </w:r>
      <w:proofErr w:type="spellStart"/>
      <w:r w:rsidRPr="004F30EE">
        <w:rPr>
          <w:sz w:val="24"/>
          <w:lang w:val="et-EE"/>
        </w:rPr>
        <w:t>Cry</w:t>
      </w:r>
      <w:proofErr w:type="spellEnd"/>
      <w:r w:rsidRPr="004F30EE">
        <w:rPr>
          <w:sz w:val="24"/>
          <w:lang w:val="et-EE"/>
        </w:rPr>
        <w:t xml:space="preserve"> </w:t>
      </w:r>
      <w:proofErr w:type="spellStart"/>
      <w:r w:rsidRPr="004F30EE">
        <w:rPr>
          <w:sz w:val="24"/>
          <w:lang w:val="et-EE"/>
        </w:rPr>
        <w:t>toxins</w:t>
      </w:r>
      <w:proofErr w:type="spellEnd"/>
      <w:r w:rsidRPr="004F30EE">
        <w:rPr>
          <w:sz w:val="24"/>
          <w:lang w:val="et-EE"/>
        </w:rPr>
        <w:t xml:space="preserve"> in </w:t>
      </w:r>
      <w:proofErr w:type="spellStart"/>
      <w:r w:rsidRPr="004F30EE">
        <w:rPr>
          <w:sz w:val="24"/>
          <w:lang w:val="et-EE"/>
        </w:rPr>
        <w:t>the</w:t>
      </w:r>
      <w:proofErr w:type="spellEnd"/>
      <w:r w:rsidRPr="004F30EE">
        <w:rPr>
          <w:sz w:val="24"/>
          <w:lang w:val="et-EE"/>
        </w:rPr>
        <w:t xml:space="preserve"> </w:t>
      </w:r>
      <w:proofErr w:type="spellStart"/>
      <w:r w:rsidRPr="004F30EE">
        <w:rPr>
          <w:sz w:val="24"/>
          <w:lang w:val="et-EE"/>
        </w:rPr>
        <w:t>context</w:t>
      </w:r>
      <w:proofErr w:type="spellEnd"/>
      <w:r w:rsidRPr="004F30EE">
        <w:rPr>
          <w:sz w:val="24"/>
          <w:lang w:val="et-EE"/>
        </w:rPr>
        <w:t xml:space="preserve"> of GMO </w:t>
      </w:r>
      <w:proofErr w:type="spellStart"/>
      <w:r w:rsidRPr="004F30EE">
        <w:rPr>
          <w:sz w:val="24"/>
          <w:lang w:val="et-EE"/>
        </w:rPr>
        <w:t>environmental</w:t>
      </w:r>
      <w:proofErr w:type="spellEnd"/>
      <w:r w:rsidRPr="004F30EE">
        <w:rPr>
          <w:sz w:val="24"/>
          <w:lang w:val="et-EE"/>
        </w:rPr>
        <w:t xml:space="preserve"> risk </w:t>
      </w:r>
      <w:proofErr w:type="spellStart"/>
      <w:r w:rsidRPr="004F30EE">
        <w:rPr>
          <w:sz w:val="24"/>
          <w:lang w:val="et-EE"/>
        </w:rPr>
        <w:t>assessment</w:t>
      </w:r>
      <w:proofErr w:type="spellEnd"/>
      <w:r w:rsidRPr="004F30EE">
        <w:rPr>
          <w:sz w:val="24"/>
          <w:lang w:val="et-EE"/>
        </w:rPr>
        <w:t>“ (</w:t>
      </w:r>
      <w:proofErr w:type="spellStart"/>
      <w:r w:rsidRPr="004F30EE">
        <w:rPr>
          <w:i/>
          <w:sz w:val="24"/>
          <w:lang w:val="et-EE"/>
        </w:rPr>
        <w:t>Bacillus</w:t>
      </w:r>
      <w:proofErr w:type="spellEnd"/>
      <w:r w:rsidRPr="004F30EE">
        <w:rPr>
          <w:i/>
          <w:sz w:val="24"/>
          <w:lang w:val="et-EE"/>
        </w:rPr>
        <w:t xml:space="preserve"> </w:t>
      </w:r>
      <w:proofErr w:type="spellStart"/>
      <w:r w:rsidRPr="004F30EE">
        <w:rPr>
          <w:i/>
          <w:sz w:val="24"/>
          <w:lang w:val="et-EE"/>
        </w:rPr>
        <w:t>thuringiensis</w:t>
      </w:r>
      <w:r w:rsidRPr="004F30EE">
        <w:rPr>
          <w:sz w:val="24"/>
          <w:lang w:val="et-EE"/>
        </w:rPr>
        <w:t>’e</w:t>
      </w:r>
      <w:proofErr w:type="spellEnd"/>
      <w:r w:rsidRPr="004F30EE">
        <w:rPr>
          <w:sz w:val="24"/>
          <w:lang w:val="et-EE"/>
        </w:rPr>
        <w:t xml:space="preserve"> </w:t>
      </w:r>
      <w:proofErr w:type="spellStart"/>
      <w:r w:rsidRPr="004F30EE">
        <w:rPr>
          <w:sz w:val="24"/>
          <w:lang w:val="et-EE"/>
        </w:rPr>
        <w:t>Cry</w:t>
      </w:r>
      <w:proofErr w:type="spellEnd"/>
      <w:r w:rsidRPr="004F30EE">
        <w:rPr>
          <w:sz w:val="24"/>
          <w:lang w:val="et-EE"/>
        </w:rPr>
        <w:t xml:space="preserve"> toksiinide spetsiifilisus ja koosmõju geneetiliselt muundatud organismide keskkonnariski hinnangus), </w:t>
      </w:r>
      <w:proofErr w:type="spellStart"/>
      <w:r w:rsidRPr="004F30EE">
        <w:rPr>
          <w:sz w:val="24"/>
          <w:lang w:val="et-EE"/>
        </w:rPr>
        <w:t>Fron</w:t>
      </w:r>
      <w:r w:rsidR="00B9576D">
        <w:rPr>
          <w:sz w:val="24"/>
          <w:lang w:val="et-EE"/>
        </w:rPr>
        <w:t>tiers</w:t>
      </w:r>
      <w:proofErr w:type="spellEnd"/>
      <w:r w:rsidR="00B9576D">
        <w:rPr>
          <w:sz w:val="24"/>
          <w:lang w:val="et-EE"/>
        </w:rPr>
        <w:t xml:space="preserve"> in </w:t>
      </w:r>
      <w:proofErr w:type="spellStart"/>
      <w:r w:rsidR="00B9576D">
        <w:rPr>
          <w:sz w:val="24"/>
          <w:lang w:val="et-EE"/>
        </w:rPr>
        <w:t>Environmental</w:t>
      </w:r>
      <w:proofErr w:type="spellEnd"/>
      <w:r w:rsidR="00B9576D">
        <w:rPr>
          <w:sz w:val="24"/>
          <w:lang w:val="et-EE"/>
        </w:rPr>
        <w:t xml:space="preserve"> </w:t>
      </w:r>
      <w:proofErr w:type="spellStart"/>
      <w:r w:rsidR="00B9576D">
        <w:rPr>
          <w:sz w:val="24"/>
          <w:lang w:val="et-EE"/>
        </w:rPr>
        <w:t>Science</w:t>
      </w:r>
      <w:proofErr w:type="spellEnd"/>
      <w:r w:rsidR="00B9576D">
        <w:rPr>
          <w:sz w:val="24"/>
          <w:lang w:val="et-EE"/>
        </w:rPr>
        <w:t xml:space="preserve">, </w:t>
      </w:r>
      <w:r w:rsidRPr="004F30EE">
        <w:rPr>
          <w:sz w:val="24"/>
          <w:lang w:val="et-EE"/>
        </w:rPr>
        <w:t xml:space="preserve">2015, 3:71, </w:t>
      </w:r>
      <w:hyperlink r:id="rId7" w:history="1">
        <w:r w:rsidRPr="004F30EE">
          <w:rPr>
            <w:rStyle w:val="Hyperlink"/>
            <w:sz w:val="24"/>
            <w:lang w:val="et-EE"/>
          </w:rPr>
          <w:t>https://doi.org/10.3389/fenvs.2015.0007</w:t>
        </w:r>
      </w:hyperlink>
      <w:r w:rsidRPr="004F30EE">
        <w:rPr>
          <w:sz w:val="24"/>
          <w:lang w:val="et-EE"/>
        </w:rPr>
        <w:t>1.</w:t>
      </w:r>
    </w:p>
  </w:footnote>
  <w:footnote w:id="9">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proofErr w:type="spellStart"/>
      <w:r w:rsidRPr="004F30EE">
        <w:rPr>
          <w:sz w:val="24"/>
          <w:lang w:val="et-EE"/>
        </w:rPr>
        <w:t>Hilbeck</w:t>
      </w:r>
      <w:proofErr w:type="spellEnd"/>
      <w:r w:rsidRPr="004F30EE">
        <w:rPr>
          <w:sz w:val="24"/>
          <w:lang w:val="et-EE"/>
        </w:rPr>
        <w:t xml:space="preserve">, A., </w:t>
      </w:r>
      <w:proofErr w:type="spellStart"/>
      <w:r w:rsidRPr="004F30EE">
        <w:rPr>
          <w:sz w:val="24"/>
          <w:lang w:val="et-EE"/>
        </w:rPr>
        <w:t>Defarge</w:t>
      </w:r>
      <w:proofErr w:type="spellEnd"/>
      <w:r w:rsidRPr="004F30EE">
        <w:rPr>
          <w:sz w:val="24"/>
          <w:lang w:val="et-EE"/>
        </w:rPr>
        <w:t xml:space="preserve">, N., </w:t>
      </w:r>
      <w:proofErr w:type="spellStart"/>
      <w:r w:rsidRPr="004F30EE">
        <w:rPr>
          <w:sz w:val="24"/>
          <w:lang w:val="et-EE"/>
        </w:rPr>
        <w:t>Lebrecht</w:t>
      </w:r>
      <w:proofErr w:type="spellEnd"/>
      <w:r w:rsidRPr="004F30EE">
        <w:rPr>
          <w:sz w:val="24"/>
          <w:lang w:val="et-EE"/>
        </w:rPr>
        <w:t xml:space="preserve">, T., </w:t>
      </w:r>
      <w:proofErr w:type="spellStart"/>
      <w:r w:rsidRPr="004F30EE">
        <w:rPr>
          <w:sz w:val="24"/>
          <w:lang w:val="et-EE"/>
        </w:rPr>
        <w:t>Bøhn</w:t>
      </w:r>
      <w:proofErr w:type="spellEnd"/>
      <w:r w:rsidRPr="004F30EE">
        <w:rPr>
          <w:sz w:val="24"/>
          <w:lang w:val="et-EE"/>
        </w:rPr>
        <w:t>, T., „</w:t>
      </w:r>
      <w:proofErr w:type="spellStart"/>
      <w:r w:rsidRPr="004F30EE">
        <w:rPr>
          <w:sz w:val="24"/>
          <w:lang w:val="et-EE"/>
        </w:rPr>
        <w:t>Insecticidal</w:t>
      </w:r>
      <w:proofErr w:type="spellEnd"/>
      <w:r w:rsidRPr="004F30EE">
        <w:rPr>
          <w:sz w:val="24"/>
          <w:lang w:val="et-EE"/>
        </w:rPr>
        <w:t xml:space="preserve"> </w:t>
      </w:r>
      <w:proofErr w:type="spellStart"/>
      <w:r w:rsidRPr="004F30EE">
        <w:rPr>
          <w:sz w:val="24"/>
          <w:lang w:val="et-EE"/>
        </w:rPr>
        <w:t>Bt</w:t>
      </w:r>
      <w:proofErr w:type="spellEnd"/>
      <w:r w:rsidRPr="004F30EE">
        <w:rPr>
          <w:sz w:val="24"/>
          <w:lang w:val="et-EE"/>
        </w:rPr>
        <w:t xml:space="preserve"> </w:t>
      </w:r>
      <w:proofErr w:type="spellStart"/>
      <w:r w:rsidRPr="004F30EE">
        <w:rPr>
          <w:sz w:val="24"/>
          <w:lang w:val="et-EE"/>
        </w:rPr>
        <w:t>crops</w:t>
      </w:r>
      <w:proofErr w:type="spellEnd"/>
      <w:r w:rsidRPr="004F30EE">
        <w:rPr>
          <w:sz w:val="24"/>
          <w:lang w:val="et-EE"/>
        </w:rPr>
        <w:t xml:space="preserve">. </w:t>
      </w:r>
      <w:proofErr w:type="spellStart"/>
      <w:r w:rsidRPr="004F30EE">
        <w:rPr>
          <w:sz w:val="24"/>
          <w:lang w:val="et-EE"/>
        </w:rPr>
        <w:t>EFSA’s</w:t>
      </w:r>
      <w:proofErr w:type="spellEnd"/>
      <w:r w:rsidRPr="004F30EE">
        <w:rPr>
          <w:sz w:val="24"/>
          <w:lang w:val="et-EE"/>
        </w:rPr>
        <w:t xml:space="preserve"> risk </w:t>
      </w:r>
      <w:proofErr w:type="spellStart"/>
      <w:r w:rsidRPr="004F30EE">
        <w:rPr>
          <w:sz w:val="24"/>
          <w:lang w:val="et-EE"/>
        </w:rPr>
        <w:t>assessment</w:t>
      </w:r>
      <w:proofErr w:type="spellEnd"/>
      <w:r w:rsidRPr="004F30EE">
        <w:rPr>
          <w:sz w:val="24"/>
          <w:lang w:val="et-EE"/>
        </w:rPr>
        <w:t xml:space="preserve"> </w:t>
      </w:r>
      <w:proofErr w:type="spellStart"/>
      <w:r w:rsidRPr="004F30EE">
        <w:rPr>
          <w:sz w:val="24"/>
          <w:lang w:val="et-EE"/>
        </w:rPr>
        <w:t>approach</w:t>
      </w:r>
      <w:proofErr w:type="spellEnd"/>
      <w:r w:rsidRPr="004F30EE">
        <w:rPr>
          <w:sz w:val="24"/>
          <w:lang w:val="et-EE"/>
        </w:rPr>
        <w:t xml:space="preserve"> </w:t>
      </w:r>
      <w:proofErr w:type="spellStart"/>
      <w:r w:rsidRPr="004F30EE">
        <w:rPr>
          <w:sz w:val="24"/>
          <w:lang w:val="et-EE"/>
        </w:rPr>
        <w:t>for</w:t>
      </w:r>
      <w:proofErr w:type="spellEnd"/>
      <w:r w:rsidRPr="004F30EE">
        <w:rPr>
          <w:sz w:val="24"/>
          <w:lang w:val="et-EE"/>
        </w:rPr>
        <w:t xml:space="preserve"> GM </w:t>
      </w:r>
      <w:proofErr w:type="spellStart"/>
      <w:r w:rsidRPr="004F30EE">
        <w:rPr>
          <w:sz w:val="24"/>
          <w:lang w:val="et-EE"/>
        </w:rPr>
        <w:t>Bt</w:t>
      </w:r>
      <w:proofErr w:type="spellEnd"/>
      <w:r w:rsidRPr="004F30EE">
        <w:rPr>
          <w:sz w:val="24"/>
          <w:lang w:val="et-EE"/>
        </w:rPr>
        <w:t xml:space="preserve"> </w:t>
      </w:r>
      <w:proofErr w:type="spellStart"/>
      <w:r w:rsidRPr="004F30EE">
        <w:rPr>
          <w:sz w:val="24"/>
          <w:lang w:val="et-EE"/>
        </w:rPr>
        <w:t>plants</w:t>
      </w:r>
      <w:proofErr w:type="spellEnd"/>
      <w:r w:rsidRPr="004F30EE">
        <w:rPr>
          <w:sz w:val="24"/>
          <w:lang w:val="et-EE"/>
        </w:rPr>
        <w:t xml:space="preserve"> </w:t>
      </w:r>
      <w:proofErr w:type="spellStart"/>
      <w:r w:rsidRPr="004F30EE">
        <w:rPr>
          <w:sz w:val="24"/>
          <w:lang w:val="et-EE"/>
        </w:rPr>
        <w:t>fails</w:t>
      </w:r>
      <w:proofErr w:type="spellEnd"/>
      <w:r w:rsidR="00B9576D">
        <w:rPr>
          <w:sz w:val="24"/>
          <w:lang w:val="et-EE"/>
        </w:rPr>
        <w:t xml:space="preserve"> </w:t>
      </w:r>
      <w:proofErr w:type="spellStart"/>
      <w:r w:rsidR="00B9576D">
        <w:rPr>
          <w:sz w:val="24"/>
          <w:lang w:val="et-EE"/>
        </w:rPr>
        <w:t>by</w:t>
      </w:r>
      <w:proofErr w:type="spellEnd"/>
      <w:r w:rsidR="00B9576D">
        <w:rPr>
          <w:sz w:val="24"/>
          <w:lang w:val="et-EE"/>
        </w:rPr>
        <w:t xml:space="preserve"> </w:t>
      </w:r>
      <w:proofErr w:type="spellStart"/>
      <w:r w:rsidR="00B9576D">
        <w:rPr>
          <w:sz w:val="24"/>
          <w:lang w:val="et-EE"/>
        </w:rPr>
        <w:t>design</w:t>
      </w:r>
      <w:proofErr w:type="spellEnd"/>
      <w:r w:rsidR="00B9576D">
        <w:rPr>
          <w:sz w:val="24"/>
          <w:lang w:val="et-EE"/>
        </w:rPr>
        <w:t>“ (</w:t>
      </w:r>
      <w:proofErr w:type="spellStart"/>
      <w:r w:rsidR="00B9576D">
        <w:rPr>
          <w:sz w:val="24"/>
          <w:lang w:val="et-EE"/>
        </w:rPr>
        <w:t>Insektitsiidsed</w:t>
      </w:r>
      <w:proofErr w:type="spellEnd"/>
      <w:r w:rsidR="00B9576D">
        <w:rPr>
          <w:sz w:val="24"/>
          <w:lang w:val="et-EE"/>
        </w:rPr>
        <w:t xml:space="preserve"> </w:t>
      </w:r>
      <w:proofErr w:type="spellStart"/>
      <w:r w:rsidR="00B9576D">
        <w:rPr>
          <w:sz w:val="24"/>
          <w:lang w:val="et-EE"/>
        </w:rPr>
        <w:t>Bt</w:t>
      </w:r>
      <w:proofErr w:type="spellEnd"/>
      <w:r w:rsidR="00B9576D">
        <w:rPr>
          <w:sz w:val="24"/>
          <w:lang w:val="et-EE"/>
        </w:rPr>
        <w:noBreakHyphen/>
      </w:r>
      <w:r w:rsidRPr="004F30EE">
        <w:rPr>
          <w:sz w:val="24"/>
          <w:lang w:val="et-EE"/>
        </w:rPr>
        <w:t>kultuurid. EFSA riskihindamise lähenemis</w:t>
      </w:r>
      <w:r w:rsidR="00B9576D">
        <w:rPr>
          <w:sz w:val="24"/>
          <w:lang w:val="et-EE"/>
        </w:rPr>
        <w:t xml:space="preserve">viis geneetiliselt muundatud </w:t>
      </w:r>
      <w:proofErr w:type="spellStart"/>
      <w:r w:rsidR="00B9576D">
        <w:rPr>
          <w:sz w:val="24"/>
          <w:lang w:val="et-EE"/>
        </w:rPr>
        <w:t>Bt</w:t>
      </w:r>
      <w:proofErr w:type="spellEnd"/>
      <w:r w:rsidR="00B9576D">
        <w:rPr>
          <w:sz w:val="24"/>
          <w:lang w:val="et-EE"/>
        </w:rPr>
        <w:noBreakHyphen/>
      </w:r>
      <w:r w:rsidRPr="004F30EE">
        <w:rPr>
          <w:sz w:val="24"/>
          <w:lang w:val="et-EE"/>
        </w:rPr>
        <w:t xml:space="preserve">taimedele on ülesehituslikust aspektist ebaõnnestunud), RAGES 2020, lk 4, </w:t>
      </w:r>
      <w:hyperlink r:id="rId8" w:history="1">
        <w:r w:rsidRPr="004F30EE">
          <w:rPr>
            <w:rStyle w:val="Hyperlink"/>
            <w:sz w:val="24"/>
            <w:lang w:val="et-EE"/>
          </w:rPr>
          <w:t>https://www.testbiotech.org/wp-content/uploads/2023/12/RAGES_report-Insecticidal-Bt-plants.pdf</w:t>
        </w:r>
      </w:hyperlink>
      <w:r w:rsidRPr="004F30EE">
        <w:rPr>
          <w:sz w:val="24"/>
          <w:lang w:val="et-EE"/>
        </w:rPr>
        <w:t>.</w:t>
      </w:r>
      <w:r w:rsidRPr="004F30EE">
        <w:rPr>
          <w:rStyle w:val="Hyperlink"/>
          <w:sz w:val="24"/>
          <w:lang w:val="et-EE"/>
        </w:rPr>
        <w:t xml:space="preserve"> </w:t>
      </w:r>
    </w:p>
  </w:footnote>
  <w:footnote w:id="10">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hyperlink r:id="rId9" w:history="1">
        <w:r w:rsidRPr="004F30EE">
          <w:rPr>
            <w:rStyle w:val="Hyperlink"/>
            <w:sz w:val="24"/>
            <w:lang w:val="et-EE"/>
          </w:rPr>
          <w:t>https://commission.europa.eu/document/2c64e540-c07a-4376-a1da-368d289f4afe_en</w:t>
        </w:r>
      </w:hyperlink>
    </w:p>
  </w:footnote>
  <w:footnote w:id="11">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r w:rsidRPr="004F30EE">
        <w:rPr>
          <w:sz w:val="24"/>
          <w:lang w:val="et-EE"/>
        </w:rPr>
        <w:t>Euroopa Parlame</w:t>
      </w:r>
      <w:r w:rsidR="00B9576D">
        <w:rPr>
          <w:sz w:val="24"/>
          <w:lang w:val="et-EE"/>
        </w:rPr>
        <w:t>ndi ja nõukogu 12. märtsi 2001. </w:t>
      </w:r>
      <w:r w:rsidRPr="004F30EE">
        <w:rPr>
          <w:sz w:val="24"/>
          <w:lang w:val="et-EE"/>
        </w:rPr>
        <w:t>aasta direktiiv 2001/18/EÜ geneetiliselt muundatud organismide tahtliku keskkonda viimise kohta ja nõukogu direktiivi 90/220/EMÜ kehtetuks tunnistamise kohta (EÜT L 106, 17.4.2001, lk 1, ELI: </w:t>
      </w:r>
      <w:hyperlink r:id="rId10" w:tooltip="Juurdepääs dokumendile ELI URI kaudu." w:history="1">
        <w:r w:rsidRPr="004F30EE">
          <w:rPr>
            <w:rStyle w:val="Hyperlink"/>
            <w:sz w:val="24"/>
            <w:lang w:val="et-EE"/>
          </w:rPr>
          <w:t>http://data.europa.eu/eli/dir/2001/18/oj</w:t>
        </w:r>
      </w:hyperlink>
      <w:r w:rsidRPr="004F30EE">
        <w:rPr>
          <w:sz w:val="24"/>
          <w:lang w:val="et-EE"/>
        </w:rPr>
        <w:t>).</w:t>
      </w:r>
    </w:p>
  </w:footnote>
  <w:footnote w:id="12">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r w:rsidR="00B9576D">
        <w:rPr>
          <w:sz w:val="24"/>
          <w:lang w:val="et-EE"/>
        </w:rPr>
        <w:t>Komisjoni 3. aprilli 2013. aasta rakendusmäärus (EL) nr </w:t>
      </w:r>
      <w:r w:rsidRPr="004F30EE">
        <w:rPr>
          <w:sz w:val="24"/>
          <w:lang w:val="et-EE"/>
        </w:rPr>
        <w:t>503/2013, mis käsitleb loa taotlemist geneetiliselt muundatud toidule ja söödale Euroopa Parlam</w:t>
      </w:r>
      <w:r w:rsidR="00B9576D">
        <w:rPr>
          <w:sz w:val="24"/>
          <w:lang w:val="et-EE"/>
        </w:rPr>
        <w:t>endi ja nõukogu määruse (EÜ) nr </w:t>
      </w:r>
      <w:r w:rsidRPr="004F30EE">
        <w:rPr>
          <w:sz w:val="24"/>
          <w:lang w:val="et-EE"/>
        </w:rPr>
        <w:t>1829/2003 kohaselt ning mill</w:t>
      </w:r>
      <w:r w:rsidR="00B9576D">
        <w:rPr>
          <w:sz w:val="24"/>
          <w:lang w:val="et-EE"/>
        </w:rPr>
        <w:t>ega muudetakse määrusi (EÜ) nr 641/2004 ja (EÜ) nr 1981/2006 (ELT </w:t>
      </w:r>
      <w:r w:rsidRPr="004F30EE">
        <w:rPr>
          <w:sz w:val="24"/>
          <w:lang w:val="et-EE"/>
        </w:rPr>
        <w:t>L 157, 8.6.2013, lk 1, ELI: </w:t>
      </w:r>
      <w:hyperlink r:id="rId11" w:tooltip="Juurdepääs dokumendile ELI URI kaudu." w:history="1">
        <w:r w:rsidRPr="004F30EE">
          <w:rPr>
            <w:rStyle w:val="Hyperlink"/>
            <w:sz w:val="24"/>
            <w:lang w:val="et-EE"/>
          </w:rPr>
          <w:t>http://data.europa.eu/eli/reg_impl/2013/503/oj</w:t>
        </w:r>
      </w:hyperlink>
      <w:r w:rsidRPr="004F30EE">
        <w:rPr>
          <w:sz w:val="24"/>
          <w:lang w:val="et-EE"/>
        </w:rPr>
        <w:t>).</w:t>
      </w:r>
    </w:p>
  </w:footnote>
  <w:footnote w:id="13">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r w:rsidRPr="004F30EE">
        <w:rPr>
          <w:sz w:val="24"/>
          <w:lang w:val="et-EE"/>
        </w:rPr>
        <w:t xml:space="preserve">Euroopa Parlamendi 11. novembri 2020. aasta resolutsioon komisjoni rakendusotsuse eelnõu kohta, millega lubatakse lasta turule geneetiliselt muundatud maisi MON 87427 × MON 87460 × MON 89034 × MIR162 × NK603 sisaldavaid, sellest koosnevaid või sellest toodetud tooteid ja geneetiliselt muundatud maisi, milles on kombineeritud kaks, kolm või neli MON 87427, MON 87460, MON 89034, MIR162 ja NK603 ühekordset transformatsiooni, vastavalt Euroopa Parlamendi ja nõukogu määrusele (EÜ) nr 1829/2003 (ELT C 415, 13.10.2021, lk 15). </w:t>
      </w:r>
    </w:p>
  </w:footnote>
  <w:footnote w:id="14">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hyperlink r:id="rId12" w:history="1">
        <w:r w:rsidRPr="004F30EE">
          <w:rPr>
            <w:rStyle w:val="Hyperlink"/>
            <w:sz w:val="24"/>
            <w:lang w:val="et-EE"/>
          </w:rPr>
          <w:t>https://www.who.int/campaigns/world-amr-awareness-week/2024/amr-is-invisible-i-am-not</w:t>
        </w:r>
      </w:hyperlink>
    </w:p>
  </w:footnote>
  <w:footnote w:id="15">
    <w:p w:rsidR="00A33C30" w:rsidRPr="004F30EE" w:rsidRDefault="00A33C30" w:rsidP="004F30EE">
      <w:pPr>
        <w:pStyle w:val="FootnoteText"/>
        <w:ind w:left="567" w:hanging="567"/>
        <w:rPr>
          <w:color w:val="1F497D"/>
          <w:sz w:val="24"/>
          <w:szCs w:val="22"/>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hyperlink r:id="rId13" w:history="1">
        <w:r w:rsidRPr="004F30EE">
          <w:rPr>
            <w:rStyle w:val="Hyperlink"/>
            <w:sz w:val="24"/>
            <w:lang w:val="et-EE"/>
          </w:rPr>
          <w:t>https://efsa.onlinelibrary.wiley.com/action/downloadSupplement?</w:t>
        </w:r>
        <w:r w:rsidRPr="004F30EE">
          <w:rPr>
            <w:rStyle w:val="Hyperlink"/>
            <w:sz w:val="24"/>
            <w:lang w:val="et-EE"/>
          </w:rPr>
          <w:br/>
          <w:t>doi=10.2903%2Fj.efsa.2023.8031&amp;file=efs28031-sup-0008-Annex8.pdf</w:t>
        </w:r>
      </w:hyperlink>
      <w:r w:rsidRPr="004F30EE">
        <w:rPr>
          <w:sz w:val="24"/>
          <w:lang w:val="et-EE"/>
        </w:rPr>
        <w:t>.</w:t>
      </w:r>
    </w:p>
  </w:footnote>
  <w:footnote w:id="16">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r w:rsidRPr="004F30EE">
        <w:rPr>
          <w:sz w:val="24"/>
          <w:lang w:val="et-EE"/>
        </w:rPr>
        <w:t>Määruse (EL)</w:t>
      </w:r>
      <w:r w:rsidR="00CB6EAF">
        <w:rPr>
          <w:sz w:val="24"/>
          <w:lang w:val="et-EE"/>
        </w:rPr>
        <w:t xml:space="preserve"> nr</w:t>
      </w:r>
      <w:r w:rsidRPr="004F30EE">
        <w:rPr>
          <w:sz w:val="24"/>
          <w:lang w:val="et-EE"/>
        </w:rPr>
        <w:t> 182/2011 artikli 6 lõike 3 kohaselt võib komisjon loa anda, kuid ei pea seda tegema, kui apellatsioonikomitees ei ole selle toetuseks saavutatud liikmesriikide kvalifitseeritud häälteenamust.</w:t>
      </w:r>
    </w:p>
  </w:footnote>
  <w:footnote w:id="17">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r w:rsidRPr="004F30EE">
        <w:rPr>
          <w:sz w:val="24"/>
          <w:lang w:val="et-EE"/>
        </w:rPr>
        <w:t>Euroopa Parlamend</w:t>
      </w:r>
      <w:r w:rsidR="00B9576D">
        <w:rPr>
          <w:sz w:val="24"/>
          <w:lang w:val="et-EE"/>
        </w:rPr>
        <w:t>i ja nõukogu 28. jaanuari 2002. </w:t>
      </w:r>
      <w:r w:rsidRPr="004F30EE">
        <w:rPr>
          <w:sz w:val="24"/>
          <w:lang w:val="et-EE"/>
        </w:rPr>
        <w:t>aasta määrus (EÜ) nr 178/2002, millega sätestatakse toidualaste õigusnormide üldised põhimõtted ja nõuded, asutatakse Euroopa Toiduohutusamet ja kehtestatakse toidu ohutusega seotud menetlused (EÜT L 31, 1.2.2002, lk 1, ELI: </w:t>
      </w:r>
      <w:hyperlink r:id="rId14" w:tooltip="Juurdepääs dokumendile ELI URI kaudu." w:history="1">
        <w:r w:rsidRPr="004F30EE">
          <w:rPr>
            <w:rStyle w:val="Hyperlink"/>
            <w:sz w:val="24"/>
            <w:lang w:val="et-EE"/>
          </w:rPr>
          <w:t>http://data.europa.eu/eli/reg/2002/178/oj</w:t>
        </w:r>
      </w:hyperlink>
      <w:r w:rsidRPr="004F30EE">
        <w:rPr>
          <w:sz w:val="24"/>
          <w:lang w:val="et-EE"/>
        </w:rPr>
        <w:t>).</w:t>
      </w:r>
    </w:p>
  </w:footnote>
  <w:footnote w:id="18">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hyperlink r:id="rId15" w:history="1">
        <w:r w:rsidRPr="004F30EE">
          <w:rPr>
            <w:rStyle w:val="Hyperlink"/>
            <w:sz w:val="24"/>
            <w:lang w:val="et-EE"/>
          </w:rPr>
          <w:t>https://tillymetz.lu/wp-content/uploads/2020/09/Co-signed-letter-MEP-Metz.pdf</w:t>
        </w:r>
      </w:hyperlink>
      <w:r w:rsidRPr="004F30EE">
        <w:rPr>
          <w:rStyle w:val="Hyperlink"/>
          <w:sz w:val="24"/>
          <w:lang w:val="et-EE"/>
        </w:rPr>
        <w:t>.</w:t>
      </w:r>
    </w:p>
  </w:footnote>
  <w:footnote w:id="19">
    <w:p w:rsidR="00A33C30" w:rsidRPr="004F30EE" w:rsidRDefault="00A33C30" w:rsidP="004F30EE">
      <w:pPr>
        <w:pStyle w:val="FootnoteText"/>
        <w:ind w:left="567" w:hanging="567"/>
        <w:rPr>
          <w:sz w:val="24"/>
          <w:lang w:val="et-EE"/>
        </w:rPr>
      </w:pPr>
      <w:r w:rsidRPr="004F30EE">
        <w:rPr>
          <w:rStyle w:val="FootnoteReference"/>
          <w:sz w:val="24"/>
          <w:lang w:val="et-EE"/>
        </w:rPr>
        <w:footnoteRef/>
      </w:r>
      <w:r w:rsidR="004F30EE" w:rsidRPr="004F30EE">
        <w:rPr>
          <w:sz w:val="24"/>
          <w:lang w:val="et-EE"/>
        </w:rPr>
        <w:t xml:space="preserve"> </w:t>
      </w:r>
      <w:r w:rsidR="004F30EE" w:rsidRPr="004F30EE">
        <w:rPr>
          <w:sz w:val="24"/>
          <w:lang w:val="et-EE"/>
        </w:rPr>
        <w:tab/>
      </w:r>
      <w:r w:rsidRPr="004F30EE">
        <w:rPr>
          <w:sz w:val="24"/>
          <w:lang w:val="et-EE"/>
        </w:rPr>
        <w:t>Euroopa Parlamendi 15. jaanuari 2020. aasta resolutsioon Euroopa rohelise kokkuleppe kohta (ELT C 270, 7.7.2021, lk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0E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0E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30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5/2024"/>
    <w:docVar w:name="dvlangue" w:val="ET"/>
    <w:docVar w:name="dvnumam" w:val="0"/>
    <w:docVar w:name="dvpe" w:val="764.959"/>
    <w:docVar w:name="dvtitre" w:val="Euroopa Parlamendi .... 2024. aasta resolutsioon komisjoni rakendusotsuse eelnõu kohta, millega lubatakse viia turule geneetiliselt muundatud puuvilla COT102 sisaldavaid, sellest koosnevaid või sellest toodetud tooteid vastavalt Euroopa Parlamendi ja nõukogu määrusele (EÜ) nr 1829/2003(D098499/04 – 2024/2835(RSP))"/>
  </w:docVars>
  <w:rsids>
    <w:rsidRoot w:val="00035E1C"/>
    <w:rsid w:val="00002272"/>
    <w:rsid w:val="00035E1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0EE"/>
    <w:rsid w:val="0050519A"/>
    <w:rsid w:val="005072A1"/>
    <w:rsid w:val="00514517"/>
    <w:rsid w:val="00545827"/>
    <w:rsid w:val="00560270"/>
    <w:rsid w:val="005A4AD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C30"/>
    <w:rsid w:val="00A43E52"/>
    <w:rsid w:val="00A4678D"/>
    <w:rsid w:val="00A778C7"/>
    <w:rsid w:val="00AB441E"/>
    <w:rsid w:val="00AB6293"/>
    <w:rsid w:val="00AE0928"/>
    <w:rsid w:val="00AF3B82"/>
    <w:rsid w:val="00B12E95"/>
    <w:rsid w:val="00B22876"/>
    <w:rsid w:val="00B558F0"/>
    <w:rsid w:val="00B9576D"/>
    <w:rsid w:val="00BD48FE"/>
    <w:rsid w:val="00BD7BD8"/>
    <w:rsid w:val="00BE6ADC"/>
    <w:rsid w:val="00C04C00"/>
    <w:rsid w:val="00C05BFE"/>
    <w:rsid w:val="00C23CD4"/>
    <w:rsid w:val="00C61C0C"/>
    <w:rsid w:val="00C941CB"/>
    <w:rsid w:val="00CB6EAF"/>
    <w:rsid w:val="00CC2357"/>
    <w:rsid w:val="00CF071A"/>
    <w:rsid w:val="00D058B8"/>
    <w:rsid w:val="00D56C11"/>
    <w:rsid w:val="00D74AE0"/>
    <w:rsid w:val="00D834A0"/>
    <w:rsid w:val="00D872DF"/>
    <w:rsid w:val="00D91E21"/>
    <w:rsid w:val="00DA7FCD"/>
    <w:rsid w:val="00DF5507"/>
    <w:rsid w:val="00E24E17"/>
    <w:rsid w:val="00E365E1"/>
    <w:rsid w:val="00E820A4"/>
    <w:rsid w:val="00EB006A"/>
    <w:rsid w:val="00EB4772"/>
    <w:rsid w:val="00ED169E"/>
    <w:rsid w:val="00ED4235"/>
    <w:rsid w:val="00F04346"/>
    <w:rsid w:val="00F075DC"/>
    <w:rsid w:val="00F149E9"/>
    <w:rsid w:val="00F21813"/>
    <w:rsid w:val="00F5134D"/>
    <w:rsid w:val="00F74202"/>
    <w:rsid w:val="00F8766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4F337"/>
  <w15:chartTrackingRefBased/>
  <w15:docId w15:val="{E62E6A68-D107-41FC-81CE-FD9E14962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3C30"/>
    <w:pPr>
      <w:spacing w:before="480" w:after="240"/>
    </w:pPr>
  </w:style>
  <w:style w:type="paragraph" w:customStyle="1" w:styleId="NormalHanging12a">
    <w:name w:val="NormalHanging12a"/>
    <w:basedOn w:val="Normal"/>
    <w:rsid w:val="00A33C30"/>
    <w:pPr>
      <w:spacing w:after="240"/>
      <w:ind w:left="567" w:hanging="567"/>
    </w:pPr>
  </w:style>
  <w:style w:type="character" w:styleId="Hyperlink">
    <w:name w:val="Hyperlink"/>
    <w:basedOn w:val="DefaultParagraphFont"/>
    <w:uiPriority w:val="99"/>
    <w:rsid w:val="00A33C30"/>
    <w:rPr>
      <w:color w:val="0563C1" w:themeColor="hyperlink"/>
      <w:u w:val="single"/>
    </w:rPr>
  </w:style>
  <w:style w:type="paragraph" w:styleId="BalloonText">
    <w:name w:val="Balloon Text"/>
    <w:basedOn w:val="Normal"/>
    <w:link w:val="BalloonTextChar"/>
    <w:rsid w:val="00B9576D"/>
    <w:rPr>
      <w:rFonts w:ascii="Segoe UI" w:hAnsi="Segoe UI" w:cs="Segoe UI"/>
      <w:sz w:val="18"/>
      <w:szCs w:val="18"/>
    </w:rPr>
  </w:style>
  <w:style w:type="character" w:customStyle="1" w:styleId="BalloonTextChar">
    <w:name w:val="Balloon Text Char"/>
    <w:basedOn w:val="DefaultParagraphFont"/>
    <w:link w:val="BalloonText"/>
    <w:rsid w:val="00B9576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biotech.org/wp-content/uploads/2023/12/RAGES_report-Insecticidal-Bt-plants.pdf" TargetMode="External"/><Relationship Id="rId13" Type="http://schemas.openxmlformats.org/officeDocument/2006/relationships/hyperlink" Target="https://efsa.onlinelibrary.wiley.com/action/downloadSupplement?doi=10.2903/j.efsa.2023.8031&amp;file=efs28031-sup-0008-Annex8.pdf" TargetMode="External"/><Relationship Id="rId3" Type="http://schemas.openxmlformats.org/officeDocument/2006/relationships/hyperlink" Target="http://data.europa.eu/eli/reg/2011/182/oj" TargetMode="External"/><Relationship Id="rId7" Type="http://schemas.openxmlformats.org/officeDocument/2006/relationships/hyperlink" Target="https://doi.org/10.3389/fenvs.2015.00071" TargetMode="External"/><Relationship Id="rId12" Type="http://schemas.openxmlformats.org/officeDocument/2006/relationships/hyperlink" Target="https://www.who.int/campaigns/world-amr-awareness-week/2024/amr-is-invisible-i-am-not" TargetMode="External"/><Relationship Id="rId2" Type="http://schemas.openxmlformats.org/officeDocument/2006/relationships/hyperlink" Target="http://data.europa.eu/eli/reg/2003/1829/oj" TargetMode="External"/><Relationship Id="rId1" Type="http://schemas.openxmlformats.org/officeDocument/2006/relationships/hyperlink" Target="http://data.europa.eu/eli/dec_impl/2024/2627/oj" TargetMode="External"/><Relationship Id="rId6" Type="http://schemas.openxmlformats.org/officeDocument/2006/relationships/hyperlink" Target="https://onlinelibrary.wiley.com/doi/full/10.1002/jat.3252" TargetMode="External"/><Relationship Id="rId11" Type="http://schemas.openxmlformats.org/officeDocument/2006/relationships/hyperlink" Target="http://data.europa.eu/eli/reg_impl/2013/503/oj" TargetMode="External"/><Relationship Id="rId5" Type="http://schemas.openxmlformats.org/officeDocument/2006/relationships/hyperlink" Target="https://pubs.acs.org/doi/abs/10.1021/jf00094a051" TargetMode="External"/><Relationship Id="rId15" Type="http://schemas.openxmlformats.org/officeDocument/2006/relationships/hyperlink" Target="https://tillymetz.lu/wp-content/uploads/2020/09/Co-signed-letter-MEP-Metz.pdf" TargetMode="External"/><Relationship Id="rId10" Type="http://schemas.openxmlformats.org/officeDocument/2006/relationships/hyperlink" Target="http://data.europa.eu/eli/dir/2001/18/oj" TargetMode="External"/><Relationship Id="rId4" Type="http://schemas.openxmlformats.org/officeDocument/2006/relationships/hyperlink" Target="https://doi.org/10.2903/j.efsa.2023.8031" TargetMode="External"/><Relationship Id="rId9" Type="http://schemas.openxmlformats.org/officeDocument/2006/relationships/hyperlink" Target="https://commission.europa.eu/document/2c64e540-c07a-4376-a1da-368d289f4afe_en" TargetMode="External"/><Relationship Id="rId14"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992E3-FD2B-42E0-8405-D391EC933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1580</Words>
  <Characters>11721</Characters>
  <Application>Microsoft Office Word</Application>
  <DocSecurity>0</DocSecurity>
  <Lines>234</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2</cp:revision>
  <cp:lastPrinted>2004-11-19T15:42:00Z</cp:lastPrinted>
  <dcterms:created xsi:type="dcterms:W3CDTF">2024-12-17T10:32:00Z</dcterms:created>
  <dcterms:modified xsi:type="dcterms:W3CDTF">2024-12-17T10:32:00Z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B10-0145/2024</vt:lpwstr>
  </property>
  <property fmtid="{D5CDD505-2E9C-101B-9397-08002B2CF9AE}" pid="4" name="&lt;Type&gt;">
    <vt:lpwstr>RR</vt:lpwstr>
  </property>
</Properties>
</file>