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5FAC" w:rsidTr="0010095E">
        <w:trPr>
          <w:trHeight w:hRule="exact" w:val="1418"/>
        </w:trPr>
        <w:tc>
          <w:tcPr>
            <w:tcW w:w="6804" w:type="dxa"/>
            <w:shd w:val="clear" w:color="auto" w:fill="auto"/>
            <w:vAlign w:val="center"/>
          </w:tcPr>
          <w:p w:rsidR="00751A4A" w:rsidRPr="004D5FAC" w:rsidRDefault="00616305" w:rsidP="00CC6658">
            <w:pPr>
              <w:pStyle w:val="EPName"/>
              <w:widowControl/>
            </w:pPr>
            <w:bookmarkStart w:id="0" w:name="_GoBack"/>
            <w:bookmarkEnd w:id="0"/>
            <w:r w:rsidRPr="004D5FAC">
              <w:t>Euroopan parlamentti</w:t>
            </w:r>
          </w:p>
          <w:p w:rsidR="00751A4A" w:rsidRPr="004D5FAC" w:rsidRDefault="005F1B17" w:rsidP="00CC6658">
            <w:pPr>
              <w:pStyle w:val="EPTerm"/>
              <w:widowControl/>
              <w:rPr>
                <w:rStyle w:val="HideTWBExt"/>
                <w:noProof w:val="0"/>
                <w:vanish w:val="0"/>
                <w:color w:val="auto"/>
              </w:rPr>
            </w:pPr>
            <w:r w:rsidRPr="004D5FAC">
              <w:t>2024</w:t>
            </w:r>
            <w:r w:rsidR="00817416" w:rsidRPr="004D5FAC">
              <w:t>-202</w:t>
            </w:r>
            <w:r w:rsidRPr="004D5FAC">
              <w:t>9</w:t>
            </w:r>
          </w:p>
        </w:tc>
        <w:tc>
          <w:tcPr>
            <w:tcW w:w="2268" w:type="dxa"/>
            <w:shd w:val="clear" w:color="auto" w:fill="auto"/>
          </w:tcPr>
          <w:p w:rsidR="00751A4A" w:rsidRPr="004D5FAC" w:rsidRDefault="00187494" w:rsidP="00CC6658">
            <w:pPr>
              <w:pStyle w:val="EPLogo"/>
              <w:widowControl/>
            </w:pPr>
            <w:r w:rsidRPr="004D5FAC">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5FAC" w:rsidRDefault="00D058B8" w:rsidP="00CC6658">
      <w:pPr>
        <w:pStyle w:val="LineTop"/>
        <w:widowControl/>
      </w:pPr>
    </w:p>
    <w:p w:rsidR="00680577" w:rsidRPr="004D5FAC" w:rsidRDefault="00616305" w:rsidP="00CC6658">
      <w:pPr>
        <w:pStyle w:val="EPBodyTA1"/>
        <w:widowControl/>
      </w:pPr>
      <w:r w:rsidRPr="004D5FAC">
        <w:t>HYVÄKSYTYT TEKSTIT</w:t>
      </w:r>
    </w:p>
    <w:p w:rsidR="00D058B8" w:rsidRPr="004D5FAC" w:rsidRDefault="00D058B8" w:rsidP="00CC6658">
      <w:pPr>
        <w:pStyle w:val="LineBottom"/>
        <w:widowControl/>
      </w:pPr>
    </w:p>
    <w:p w:rsidR="00616305" w:rsidRPr="004D5FAC" w:rsidRDefault="00616305" w:rsidP="00CC6658">
      <w:pPr>
        <w:pStyle w:val="ATHeading1"/>
      </w:pPr>
      <w:bookmarkStart w:id="1" w:name="TANumber"/>
      <w:r w:rsidRPr="004D5FAC">
        <w:t>P10_</w:t>
      </w:r>
      <w:proofErr w:type="gramStart"/>
      <w:r w:rsidRPr="004D5FAC">
        <w:t>TA(</w:t>
      </w:r>
      <w:proofErr w:type="gramEnd"/>
      <w:r w:rsidRPr="004D5FAC">
        <w:t>2024)00</w:t>
      </w:r>
      <w:r w:rsidR="004D5FAC" w:rsidRPr="004D5FAC">
        <w:t>39</w:t>
      </w:r>
      <w:bookmarkEnd w:id="1"/>
    </w:p>
    <w:p w:rsidR="00616305" w:rsidRPr="004D5FAC" w:rsidRDefault="008961AB" w:rsidP="00CC6658">
      <w:pPr>
        <w:pStyle w:val="ATHeading2"/>
      </w:pPr>
      <w:bookmarkStart w:id="2" w:name="title"/>
      <w:r w:rsidRPr="004D5FAC">
        <w:t>M</w:t>
      </w:r>
      <w:r w:rsidR="00616305" w:rsidRPr="004D5FAC">
        <w:t>uuntogeeni</w:t>
      </w:r>
      <w:r w:rsidRPr="004D5FAC">
        <w:t>nen</w:t>
      </w:r>
      <w:r w:rsidR="00616305" w:rsidRPr="004D5FAC">
        <w:t xml:space="preserve"> puuvill</w:t>
      </w:r>
      <w:r w:rsidRPr="004D5FAC">
        <w:t>a COT102</w:t>
      </w:r>
      <w:bookmarkEnd w:id="2"/>
    </w:p>
    <w:p w:rsidR="00616305" w:rsidRPr="004D5FAC" w:rsidRDefault="00616305" w:rsidP="00CC6658">
      <w:pPr>
        <w:widowControl/>
        <w:rPr>
          <w:i/>
          <w:vanish/>
        </w:rPr>
      </w:pPr>
      <w:r w:rsidRPr="004D5FAC">
        <w:rPr>
          <w:i/>
        </w:rPr>
        <w:fldChar w:fldCharType="begin"/>
      </w:r>
      <w:r w:rsidRPr="004D5FAC">
        <w:rPr>
          <w:i/>
        </w:rPr>
        <w:instrText xml:space="preserve"> TC"(</w:instrText>
      </w:r>
      <w:bookmarkStart w:id="3" w:name="DocNumber"/>
      <w:r w:rsidRPr="004D5FAC">
        <w:rPr>
          <w:i/>
        </w:rPr>
        <w:instrText>B10-0145/2024</w:instrText>
      </w:r>
      <w:bookmarkEnd w:id="3"/>
      <w:r w:rsidRPr="004D5FAC">
        <w:rPr>
          <w:i/>
        </w:rPr>
        <w:instrText xml:space="preserve">)"\l3 \n&gt; \* MERGEFORMAT </w:instrText>
      </w:r>
      <w:r w:rsidRPr="004D5FAC">
        <w:rPr>
          <w:i/>
        </w:rPr>
        <w:fldChar w:fldCharType="end"/>
      </w:r>
    </w:p>
    <w:p w:rsidR="00616305" w:rsidRPr="004D5FAC" w:rsidRDefault="00616305" w:rsidP="00CC6658">
      <w:pPr>
        <w:widowControl/>
        <w:rPr>
          <w:vanish/>
        </w:rPr>
      </w:pPr>
      <w:bookmarkStart w:id="4" w:name="PE"/>
      <w:r w:rsidRPr="004D5FAC">
        <w:rPr>
          <w:vanish/>
        </w:rPr>
        <w:t>PE764.959</w:t>
      </w:r>
      <w:bookmarkEnd w:id="4"/>
    </w:p>
    <w:p w:rsidR="00616305" w:rsidRPr="004D5FAC" w:rsidRDefault="00616305" w:rsidP="00CC6658">
      <w:pPr>
        <w:pStyle w:val="ATHeading3"/>
      </w:pPr>
      <w:bookmarkStart w:id="5" w:name="Sujet"/>
      <w:r w:rsidRPr="004D5FAC">
        <w:t>Euroopan parlamentin päätöslauselma 26. marraskuuta 2024 komission täytäntöönpanopäätökse</w:t>
      </w:r>
      <w:r w:rsidR="008961AB" w:rsidRPr="004D5FAC">
        <w:t>stä (EU) 2024/2627</w:t>
      </w:r>
      <w:r w:rsidRPr="004D5FAC">
        <w:t xml:space="preserve"> luvan myöntämisestä muuntogeenistä puuvillaa COT102 sisältävien, siitä koostuvien tai siitä valmistettujen tuotteiden markkinoille saattamiseen Euroopan parlamentin ja neuvoston asetuksen (EY) </w:t>
      </w:r>
      <w:proofErr w:type="gramStart"/>
      <w:r w:rsidRPr="004D5FAC">
        <w:t>N:o</w:t>
      </w:r>
      <w:proofErr w:type="gramEnd"/>
      <w:r w:rsidRPr="004D5FAC">
        <w:t xml:space="preserve"> 1829/2003 mukaisesti</w:t>
      </w:r>
      <w:bookmarkEnd w:id="5"/>
      <w:r w:rsidRPr="004D5FAC">
        <w:t xml:space="preserve"> </w:t>
      </w:r>
      <w:bookmarkStart w:id="6" w:name="References"/>
      <w:r w:rsidRPr="004D5FAC">
        <w:t>(2024/2835(RSP))</w:t>
      </w:r>
      <w:bookmarkEnd w:id="6"/>
    </w:p>
    <w:p w:rsidR="00CE3542" w:rsidRPr="004D5FAC" w:rsidRDefault="00CE3542" w:rsidP="00CC6658">
      <w:pPr>
        <w:pStyle w:val="EPComma"/>
        <w:widowControl/>
      </w:pPr>
      <w:bookmarkStart w:id="7" w:name="TextBodyBegin"/>
      <w:bookmarkEnd w:id="7"/>
      <w:r w:rsidRPr="004D5FAC">
        <w:rPr>
          <w:i/>
          <w:iCs/>
        </w:rPr>
        <w:t>Euroopan parlamentti</w:t>
      </w:r>
      <w:r w:rsidRPr="004D5FAC">
        <w:t>, joka</w:t>
      </w:r>
    </w:p>
    <w:p w:rsidR="00CE3542" w:rsidRPr="004D5FAC" w:rsidRDefault="00CE3542" w:rsidP="00CC6658">
      <w:pPr>
        <w:pStyle w:val="NormalHanging12a"/>
        <w:widowControl/>
        <w:rPr>
          <w:szCs w:val="24"/>
        </w:rPr>
      </w:pPr>
      <w:r w:rsidRPr="004D5FAC">
        <w:t>–</w:t>
      </w:r>
      <w:r w:rsidRPr="004D5FAC">
        <w:tab/>
        <w:t>ottaa huomioon luvan myöntämisestä muuntogeenistä puuvillaa COT102 sisältävien, siitä koostuvien tai siitä valmistettujen tuotteiden markkinoille saattamiseen Euroopan parlamentin ja neuvoston asetuksen (EY) N:o 1829/2003 mukaisesti</w:t>
      </w:r>
      <w:r w:rsidR="00077149" w:rsidRPr="004D5FAC">
        <w:t xml:space="preserve"> annetun komission täytäntöönpanopäätöksen (EU) 2024/2627</w:t>
      </w:r>
      <w:r w:rsidR="008961AB" w:rsidRPr="004D5FAC">
        <w:rPr>
          <w:rStyle w:val="FootnoteReference"/>
        </w:rPr>
        <w:footnoteReference w:id="1"/>
      </w:r>
      <w:r w:rsidRPr="004D5FAC">
        <w:t>,</w:t>
      </w:r>
    </w:p>
    <w:p w:rsidR="00CE3542" w:rsidRPr="004D5FAC" w:rsidRDefault="00CE3542" w:rsidP="00CC6658">
      <w:pPr>
        <w:pStyle w:val="NormalHanging12a"/>
        <w:widowControl/>
        <w:rPr>
          <w:szCs w:val="24"/>
        </w:rPr>
      </w:pPr>
      <w:r w:rsidRPr="004D5FAC">
        <w:t>–</w:t>
      </w:r>
      <w:r w:rsidRPr="004D5FAC">
        <w:tab/>
        <w:t>ottaa huomioon muuntogeenisistä elintarvikkeista ja rehuista 22. syyskuuta 2003 annetun Euroopan parlamentin ja neuvoston asetuksen (EY) N:o 1829/2003</w:t>
      </w:r>
      <w:r w:rsidRPr="004D5FAC">
        <w:rPr>
          <w:rStyle w:val="FootnoteReference"/>
          <w:szCs w:val="24"/>
        </w:rPr>
        <w:footnoteReference w:id="2"/>
      </w:r>
      <w:r w:rsidRPr="004D5FAC">
        <w:t xml:space="preserve"> ja erityisesti sen 7 artiklan 3 kohdan ja 19 artiklan 3 kohdan,</w:t>
      </w:r>
    </w:p>
    <w:p w:rsidR="00CE3542" w:rsidRPr="004D5FAC" w:rsidRDefault="00CE3542" w:rsidP="00CC6658">
      <w:pPr>
        <w:pStyle w:val="NormalHanging12a"/>
        <w:widowControl/>
        <w:rPr>
          <w:szCs w:val="24"/>
        </w:rPr>
      </w:pPr>
      <w:r w:rsidRPr="004D5FAC">
        <w:t>–</w:t>
      </w:r>
      <w:r w:rsidRPr="004D5FAC">
        <w:tab/>
        <w:t xml:space="preserve">ottaa huomioon asetuksen (EY) </w:t>
      </w:r>
      <w:proofErr w:type="gramStart"/>
      <w:r w:rsidRPr="004D5FAC">
        <w:t>N:o</w:t>
      </w:r>
      <w:proofErr w:type="gramEnd"/>
      <w:r w:rsidRPr="004D5FAC">
        <w:t xml:space="preserve"> 1829/2003 35 artiklassa tarkoitetussa pysyvässä kasvi-, eläin-, elintarvike- ja rehukomiteassa 8. heinäkuuta 2024 toimitetun äänestyksen, jossa päätettiin olla antamatta lausuntoa, ja muutoksenhakukomiteassa 3. syyskuuta 2024 toimitetun äänestyksen, jossa päätettiin niin ikään olla antamatta lausuntoa,</w:t>
      </w:r>
    </w:p>
    <w:p w:rsidR="00CE3542" w:rsidRPr="004D5FAC" w:rsidRDefault="00CE3542" w:rsidP="00CC6658">
      <w:pPr>
        <w:pStyle w:val="NormalHanging12a"/>
        <w:widowControl/>
        <w:rPr>
          <w:szCs w:val="24"/>
        </w:rPr>
      </w:pPr>
      <w:r w:rsidRPr="004D5FAC">
        <w:t>–</w:t>
      </w:r>
      <w:r w:rsidRPr="004D5FAC">
        <w:tab/>
        <w:t>ottaa huomioon yleisistä säännöistä ja periaatteista, joiden mukaisesti jäsenvaltiot valvovat komission täytäntöönpanovallan käyttöä, 16. helmikuuta 2011 annetun Euroopan parlamentin ja neuvoston asetuksen (EU) N:o 182/2011</w:t>
      </w:r>
      <w:r w:rsidRPr="004D5FAC">
        <w:rPr>
          <w:rStyle w:val="FootnoteReference"/>
          <w:szCs w:val="24"/>
        </w:rPr>
        <w:footnoteReference w:id="3"/>
      </w:r>
      <w:r w:rsidRPr="004D5FAC">
        <w:t xml:space="preserve"> 11 artiklan,</w:t>
      </w:r>
    </w:p>
    <w:p w:rsidR="00CE3542" w:rsidRPr="004D5FAC" w:rsidRDefault="00CE3542" w:rsidP="00CC6658">
      <w:pPr>
        <w:pStyle w:val="NormalHanging12a"/>
        <w:widowControl/>
        <w:rPr>
          <w:szCs w:val="24"/>
        </w:rPr>
      </w:pPr>
      <w:r w:rsidRPr="004D5FAC">
        <w:t>–</w:t>
      </w:r>
      <w:r w:rsidRPr="004D5FAC">
        <w:tab/>
        <w:t>ottaa huomioon Euroopan elintarviketurvallisuusviranomaisen (EFSA) 10. toukokuuta 2023 antaman lausunnon, joka julkaistiin 26. kesäkuuta 2023</w:t>
      </w:r>
      <w:r w:rsidRPr="004D5FAC">
        <w:rPr>
          <w:rStyle w:val="FootnoteReference"/>
          <w:szCs w:val="24"/>
        </w:rPr>
        <w:footnoteReference w:id="4"/>
      </w:r>
      <w:r w:rsidRPr="004D5FAC">
        <w:t>,</w:t>
      </w:r>
    </w:p>
    <w:p w:rsidR="00CE3542" w:rsidRPr="004D5FAC" w:rsidRDefault="00CE3542" w:rsidP="00CC6658">
      <w:pPr>
        <w:pStyle w:val="NormalHanging12a"/>
        <w:widowControl/>
      </w:pPr>
      <w:r w:rsidRPr="004D5FAC">
        <w:lastRenderedPageBreak/>
        <w:t>–</w:t>
      </w:r>
      <w:r w:rsidRPr="004D5FAC">
        <w:tab/>
        <w:t>ottaa huomioon aikaisemmat päätöslauselmansa, joissa vastustetaan lupien myöntämistä muuntogeenisille organismeille</w:t>
      </w:r>
      <w:r w:rsidRPr="004D5FAC">
        <w:rPr>
          <w:rStyle w:val="FootnoteReference"/>
        </w:rPr>
        <w:footnoteReference w:id="5"/>
      </w:r>
      <w:r w:rsidRPr="004D5FAC">
        <w:t>,</w:t>
      </w:r>
    </w:p>
    <w:p w:rsidR="00CE3542" w:rsidRPr="004D5FAC" w:rsidRDefault="00CE3542" w:rsidP="00CC6658">
      <w:pPr>
        <w:pStyle w:val="NormalHanging12a"/>
        <w:widowControl/>
        <w:rPr>
          <w:szCs w:val="24"/>
        </w:rPr>
      </w:pPr>
      <w:r w:rsidRPr="004D5FAC">
        <w:t>–</w:t>
      </w:r>
      <w:r w:rsidRPr="004D5FAC">
        <w:tab/>
        <w:t>ottaa huomioon työjärjestyksen 115 artiklan 2 ja 3 kohdan,</w:t>
      </w:r>
    </w:p>
    <w:p w:rsidR="00CE3542" w:rsidRPr="004D5FAC" w:rsidRDefault="00CE3542" w:rsidP="00CC6658">
      <w:pPr>
        <w:pStyle w:val="NormalHanging12a"/>
        <w:widowControl/>
        <w:rPr>
          <w:szCs w:val="24"/>
        </w:rPr>
      </w:pPr>
      <w:r w:rsidRPr="004D5FAC">
        <w:t>–</w:t>
      </w:r>
      <w:r w:rsidRPr="004D5FAC">
        <w:tab/>
        <w:t>ottaa huomioon ympäristön, kansanterveyden ja elintarvikkeiden turvallisuuden valiokunnan päätöslauselmaesityksen,</w:t>
      </w:r>
    </w:p>
    <w:p w:rsidR="00CE3542" w:rsidRPr="004D5FAC" w:rsidRDefault="00CE3542" w:rsidP="00CC6658">
      <w:pPr>
        <w:pStyle w:val="NormalHanging12a"/>
        <w:widowControl/>
        <w:rPr>
          <w:szCs w:val="24"/>
        </w:rPr>
      </w:pPr>
      <w:r w:rsidRPr="004D5FAC">
        <w:t>A.</w:t>
      </w:r>
      <w:r w:rsidRPr="004D5FAC">
        <w:tab/>
        <w:t xml:space="preserve">ottaa huomioon, että Belgiaan sijoittautunut </w:t>
      </w:r>
      <w:proofErr w:type="spellStart"/>
      <w:r w:rsidRPr="004D5FAC">
        <w:t>Syngenta</w:t>
      </w:r>
      <w:proofErr w:type="spellEnd"/>
      <w:r w:rsidRPr="004D5FAC">
        <w:t xml:space="preserve"> </w:t>
      </w:r>
      <w:proofErr w:type="spellStart"/>
      <w:r w:rsidRPr="004D5FAC">
        <w:t>Crop</w:t>
      </w:r>
      <w:proofErr w:type="spellEnd"/>
      <w:r w:rsidRPr="004D5FAC">
        <w:t xml:space="preserve"> </w:t>
      </w:r>
      <w:proofErr w:type="spellStart"/>
      <w:r w:rsidRPr="004D5FAC">
        <w:t>Protection</w:t>
      </w:r>
      <w:proofErr w:type="spellEnd"/>
      <w:r w:rsidRPr="004D5FAC">
        <w:t xml:space="preserve"> NV/SA toimitti 31. maaliskuuta 2017 Sveitsiin sijoittautuneen yrityksen </w:t>
      </w:r>
      <w:proofErr w:type="spellStart"/>
      <w:r w:rsidRPr="004D5FAC">
        <w:t>Syngenta</w:t>
      </w:r>
      <w:proofErr w:type="spellEnd"/>
      <w:r w:rsidRPr="004D5FAC">
        <w:t xml:space="preserve"> </w:t>
      </w:r>
      <w:proofErr w:type="spellStart"/>
      <w:r w:rsidRPr="004D5FAC">
        <w:t>Crop</w:t>
      </w:r>
      <w:proofErr w:type="spellEnd"/>
      <w:r w:rsidRPr="004D5FAC">
        <w:t xml:space="preserve"> </w:t>
      </w:r>
      <w:proofErr w:type="spellStart"/>
      <w:r w:rsidRPr="004D5FAC">
        <w:t>Protection</w:t>
      </w:r>
      <w:proofErr w:type="spellEnd"/>
      <w:r w:rsidRPr="004D5FAC">
        <w:t xml:space="preserve"> AG puolesta Saksan kansalliselle toimivaltaiselle viranomaiselle asetuksen (EY) N:o 1829/2003 5 ja 17 artiklan mukaisesti hakemuksen muuntogeenistä puuvillaa COT102, jäljempänä ’muuntogeeninen puuvilla’, sisältävien, siitä koostuvien tai siitä valmistettujen elintarvikkeiden, elintarvikkeiden ainesosien ja rehun saattamiseksi markkinoille, jäljempänä ’hakemus’; ottaa huomioon, että hakemus kattoi myös muuntogeenistä puuvillaa sisältävien tai siitä koostuvien tuotteiden saattamisen markkinoille muuhun kuin elintarvike- ja rehukäyttöön, viljelyä lukuun ottamatta; </w:t>
      </w:r>
    </w:p>
    <w:p w:rsidR="00CE3542" w:rsidRPr="004D5FAC" w:rsidRDefault="00CE3542" w:rsidP="00CC6658">
      <w:pPr>
        <w:pStyle w:val="NormalHanging12a"/>
        <w:widowControl/>
        <w:rPr>
          <w:szCs w:val="24"/>
        </w:rPr>
      </w:pPr>
      <w:r w:rsidRPr="004D5FAC">
        <w:t>B.</w:t>
      </w:r>
      <w:r w:rsidRPr="004D5FAC">
        <w:tab/>
        <w:t>ottaa huomioon, että EFSA antoi 10. toukokuuta 2023 myönteisen lausunnon, joka julkaistiin 26. kesäkuuta 2023 ja jossa todettiin, että muuntogeeninen puuvilla on yhtä turvallista kuin sen ei-muuntogeeninen vertailukohde ja testatut ei-muuntogeeniset puuvillan lajikkeet, kun tarkastellaan niiden mahdollisia vaikutuksia ihmisten ja eläinten terveyteen sekä ympäristöön;</w:t>
      </w:r>
    </w:p>
    <w:p w:rsidR="00CE3542" w:rsidRPr="004D5FAC" w:rsidRDefault="00CE3542" w:rsidP="00CC6658">
      <w:pPr>
        <w:pStyle w:val="NormalHanging12a"/>
        <w:widowControl/>
        <w:rPr>
          <w:szCs w:val="24"/>
        </w:rPr>
      </w:pPr>
      <w:r w:rsidRPr="004D5FAC">
        <w:t>C.</w:t>
      </w:r>
      <w:r w:rsidRPr="004D5FAC">
        <w:tab/>
        <w:t>ottaa huomioon, että muuntogeeninen puuvilla sisältää geenejä, jotka tuottavat hyönteisiä torjuvia proteiineja (</w:t>
      </w:r>
      <w:proofErr w:type="spellStart"/>
      <w:r w:rsidRPr="004D5FAC">
        <w:t>Bt</w:t>
      </w:r>
      <w:proofErr w:type="spellEnd"/>
      <w:r w:rsidRPr="004D5FAC">
        <w:t>-toksiinit), sekä antibioottiresistenssin merkkigeenin;</w:t>
      </w:r>
    </w:p>
    <w:p w:rsidR="00CE3542" w:rsidRPr="004D5FAC" w:rsidRDefault="00CE3542" w:rsidP="00CC6658">
      <w:pPr>
        <w:pStyle w:val="NormalHanging12a"/>
        <w:widowControl/>
        <w:rPr>
          <w:szCs w:val="24"/>
        </w:rPr>
      </w:pPr>
      <w:r w:rsidRPr="004D5FAC">
        <w:t>D.</w:t>
      </w:r>
      <w:r w:rsidRPr="004D5FAC">
        <w:tab/>
        <w:t xml:space="preserve">ottaa huomioon, että </w:t>
      </w:r>
      <w:proofErr w:type="spellStart"/>
      <w:r w:rsidRPr="004D5FAC">
        <w:t>puuvillansiemenöljyä</w:t>
      </w:r>
      <w:proofErr w:type="spellEnd"/>
      <w:r w:rsidRPr="004D5FAC">
        <w:t xml:space="preserve"> voidaan käyttää monenlaisten elintarvikkeiden, kuten salaatinkastikkeiden, majoneesin, konditoriatuotteiden, suklaalevitteiden ja ranskanperunoiden, valmistuksessa; ottaa huomioon, että puuvillansiemenjauheen käyttö on todennäköisin tapa, jolla ihmiset voivat altistua geneettisen muuntamisen tuloksena syntyville kahdelle proteiinille; ottaa huomioon, että puuvillaa käytetään yleisesti rehuissa sellaisten siementen ja jauheiden muodossa, joista ei ole poistettu kuituja; </w:t>
      </w:r>
    </w:p>
    <w:p w:rsidR="00CE3542" w:rsidRPr="004D5FAC" w:rsidRDefault="00CE3542" w:rsidP="00CC6658">
      <w:pPr>
        <w:pStyle w:val="NormalHanging12a"/>
        <w:keepNext/>
        <w:widowControl/>
        <w:ind w:left="0" w:firstLine="0"/>
        <w:rPr>
          <w:b/>
          <w:i/>
        </w:rPr>
      </w:pPr>
      <w:proofErr w:type="spellStart"/>
      <w:r w:rsidRPr="004D5FAC">
        <w:rPr>
          <w:b/>
          <w:i/>
        </w:rPr>
        <w:t>Bt</w:t>
      </w:r>
      <w:proofErr w:type="spellEnd"/>
      <w:r w:rsidRPr="004D5FAC">
        <w:rPr>
          <w:b/>
          <w:i/>
        </w:rPr>
        <w:t>-toksiineihin liittyvät avoimet kysymykset</w:t>
      </w:r>
    </w:p>
    <w:p w:rsidR="00CE3542" w:rsidRPr="004D5FAC" w:rsidRDefault="00CE3542" w:rsidP="00CC6658">
      <w:pPr>
        <w:pStyle w:val="NormalHanging12a"/>
        <w:widowControl/>
        <w:rPr>
          <w:szCs w:val="24"/>
        </w:rPr>
      </w:pPr>
      <w:r w:rsidRPr="004D5FAC">
        <w:t>E.</w:t>
      </w:r>
      <w:r w:rsidRPr="004D5FAC">
        <w:tab/>
        <w:t xml:space="preserve">ottaa huomioon, että </w:t>
      </w:r>
      <w:proofErr w:type="spellStart"/>
      <w:r w:rsidRPr="004D5FAC">
        <w:t>Bt</w:t>
      </w:r>
      <w:proofErr w:type="spellEnd"/>
      <w:r w:rsidRPr="004D5FAC">
        <w:t xml:space="preserve">-toksiinien toksisuutta arvioitiin sellaisten ruokintatutkimusten perusteella, joissa käytettiin ainoastaan bakteerien tuottamia eristettyjä </w:t>
      </w:r>
      <w:proofErr w:type="spellStart"/>
      <w:r w:rsidRPr="004D5FAC">
        <w:t>Bt</w:t>
      </w:r>
      <w:proofErr w:type="spellEnd"/>
      <w:r w:rsidRPr="004D5FAC">
        <w:t xml:space="preserve">-proteiineja; ottaa huomioon, että eristetyillä proteiineilla tehdyillä toksikologisilla kokeilla ei ole juurikaan merkitystä, sillä muuntogeenisissä viljelykasveissa, kuten maississa, puuvillassa ja soijassa, esiintyvät </w:t>
      </w:r>
      <w:proofErr w:type="spellStart"/>
      <w:r w:rsidRPr="004D5FAC">
        <w:t>Bt</w:t>
      </w:r>
      <w:proofErr w:type="spellEnd"/>
      <w:r w:rsidRPr="004D5FAC">
        <w:t xml:space="preserve">-toksiinit ovat luonnostaan toksisempia kuin eristetyt </w:t>
      </w:r>
      <w:proofErr w:type="spellStart"/>
      <w:r w:rsidRPr="004D5FAC">
        <w:t>Bt</w:t>
      </w:r>
      <w:proofErr w:type="spellEnd"/>
      <w:r w:rsidRPr="004D5FAC">
        <w:t xml:space="preserve">-toksiinit; ottaa huomioon, että tämä johtuu siitä, että kasvikudoksessa olevat </w:t>
      </w:r>
      <w:proofErr w:type="spellStart"/>
      <w:r w:rsidRPr="004D5FAC">
        <w:t>proteaasi</w:t>
      </w:r>
      <w:proofErr w:type="spellEnd"/>
      <w:r w:rsidRPr="004D5FAC">
        <w:t xml:space="preserve">-inhibiittorit (PI) voivat lisätä </w:t>
      </w:r>
      <w:proofErr w:type="spellStart"/>
      <w:r w:rsidRPr="004D5FAC">
        <w:t>Bt</w:t>
      </w:r>
      <w:proofErr w:type="spellEnd"/>
      <w:r w:rsidRPr="004D5FAC">
        <w:t xml:space="preserve">-toksiinien toksisuutta hidastamalla niiden hajoamista; ottaa huomioon, että tämä ilmiö on osoitettu erinäisissä tieteellisissä tutkimuksissa, kuten eräässä </w:t>
      </w:r>
      <w:proofErr w:type="spellStart"/>
      <w:r w:rsidRPr="004D5FAC">
        <w:t>Monsantolle</w:t>
      </w:r>
      <w:proofErr w:type="spellEnd"/>
      <w:r w:rsidRPr="004D5FAC">
        <w:t xml:space="preserve"> tehdyssä tutkimuksessa, jossa todettiin, että </w:t>
      </w:r>
      <w:r w:rsidRPr="004D5FAC">
        <w:lastRenderedPageBreak/>
        <w:t xml:space="preserve">jopa erittäin alhaiset PI-pitoisuudet vahvistivat </w:t>
      </w:r>
      <w:proofErr w:type="spellStart"/>
      <w:r w:rsidRPr="004D5FAC">
        <w:t>Bt</w:t>
      </w:r>
      <w:proofErr w:type="spellEnd"/>
      <w:r w:rsidRPr="004D5FAC">
        <w:t>-toksiinien toksisuutta jopa 20</w:t>
      </w:r>
      <w:r w:rsidRPr="004D5FAC">
        <w:noBreakHyphen/>
        <w:t>kertaiseksi</w:t>
      </w:r>
      <w:r w:rsidRPr="004D5FAC">
        <w:rPr>
          <w:rStyle w:val="FootnoteReference"/>
          <w:szCs w:val="24"/>
        </w:rPr>
        <w:footnoteReference w:id="6"/>
      </w:r>
      <w:r w:rsidRPr="004D5FAC">
        <w:t>;</w:t>
      </w:r>
    </w:p>
    <w:p w:rsidR="00CE3542" w:rsidRPr="004D5FAC" w:rsidRDefault="00CE3542" w:rsidP="00CC6658">
      <w:pPr>
        <w:pStyle w:val="NormalHanging12a"/>
        <w:widowControl/>
        <w:rPr>
          <w:szCs w:val="24"/>
        </w:rPr>
      </w:pPr>
      <w:r w:rsidRPr="004D5FAC">
        <w:t>F.</w:t>
      </w:r>
      <w:r w:rsidRPr="004D5FAC">
        <w:tab/>
        <w:t xml:space="preserve">ottaa huomioon, että tätä kasvanutta toksisuutta ei oteta huomioon </w:t>
      </w:r>
      <w:proofErr w:type="spellStart"/>
      <w:r w:rsidRPr="004D5FAC">
        <w:t>EFSAn</w:t>
      </w:r>
      <w:proofErr w:type="spellEnd"/>
      <w:r w:rsidRPr="004D5FAC">
        <w:t xml:space="preserve"> riskinarvioinneissa, vaikka se on merkityksellistä kaikkien tuontia tai viljelyä varten unionissa hyväksyttävien </w:t>
      </w:r>
      <w:proofErr w:type="spellStart"/>
      <w:r w:rsidRPr="004D5FAC">
        <w:t>Bt</w:t>
      </w:r>
      <w:proofErr w:type="spellEnd"/>
      <w:r w:rsidRPr="004D5FAC">
        <w:t xml:space="preserve">-kasvien osalta; toteaa, että sen vuoksi ei voida sulkea pois, että tästä </w:t>
      </w:r>
      <w:proofErr w:type="spellStart"/>
      <w:r w:rsidRPr="004D5FAC">
        <w:t>PI:n</w:t>
      </w:r>
      <w:proofErr w:type="spellEnd"/>
      <w:r w:rsidRPr="004D5FAC">
        <w:t xml:space="preserve"> ja </w:t>
      </w:r>
      <w:proofErr w:type="spellStart"/>
      <w:r w:rsidRPr="004D5FAC">
        <w:t>Bt</w:t>
      </w:r>
      <w:proofErr w:type="spellEnd"/>
      <w:r w:rsidRPr="004D5FAC">
        <w:t xml:space="preserve">-toksiinien väliseen vuorovaikutukseen liittyvästä kasvaneesta toksisuudesta aiheutuu riskejä ihmisille ja eläimille, jotka käyttävät </w:t>
      </w:r>
      <w:proofErr w:type="spellStart"/>
      <w:r w:rsidRPr="004D5FAC">
        <w:t>Bt</w:t>
      </w:r>
      <w:proofErr w:type="spellEnd"/>
      <w:r w:rsidRPr="004D5FAC">
        <w:t>-toksiineja sisältäviä elintarvikkeita ja rehuja;</w:t>
      </w:r>
    </w:p>
    <w:p w:rsidR="00CE3542" w:rsidRPr="004D5FAC" w:rsidRDefault="00CE3542" w:rsidP="00CC6658">
      <w:pPr>
        <w:pStyle w:val="NormalHanging12a"/>
        <w:widowControl/>
        <w:rPr>
          <w:szCs w:val="24"/>
        </w:rPr>
      </w:pPr>
      <w:r w:rsidRPr="004D5FAC">
        <w:t>G.</w:t>
      </w:r>
      <w:r w:rsidRPr="004D5FAC">
        <w:tab/>
        <w:t xml:space="preserve">ottaa huomioon, että erinäisissä tutkimuksissa on havaittu </w:t>
      </w:r>
      <w:proofErr w:type="spellStart"/>
      <w:r w:rsidRPr="004D5FAC">
        <w:t>Bt</w:t>
      </w:r>
      <w:proofErr w:type="spellEnd"/>
      <w:r w:rsidRPr="004D5FAC">
        <w:t xml:space="preserve">-toksiineille altistumisen seurauksena sivuvaikutuksia, jotka saattavat vaikuttaa immuunijärjestelmään, ja havaittu, että joillakin </w:t>
      </w:r>
      <w:proofErr w:type="spellStart"/>
      <w:r w:rsidRPr="004D5FAC">
        <w:t>Bt</w:t>
      </w:r>
      <w:proofErr w:type="spellEnd"/>
      <w:r w:rsidRPr="004D5FAC">
        <w:t xml:space="preserve">-toksiineilla voi olla </w:t>
      </w:r>
      <w:proofErr w:type="spellStart"/>
      <w:r w:rsidRPr="004D5FAC">
        <w:t>adjuvanttiominaisuuksia</w:t>
      </w:r>
      <w:proofErr w:type="spellEnd"/>
      <w:r w:rsidRPr="004D5FAC">
        <w:rPr>
          <w:rStyle w:val="FootnoteReference"/>
          <w:szCs w:val="24"/>
        </w:rPr>
        <w:footnoteReference w:id="7"/>
      </w:r>
      <w:r w:rsidRPr="004D5FAC">
        <w:t>, mikä tarkoittaa, että ne voivat lisätä muiden proteiinien allergeenisuutta joutuessaan kosketuksiin niiden kanssa;</w:t>
      </w:r>
    </w:p>
    <w:p w:rsidR="00CE3542" w:rsidRPr="004D5FAC" w:rsidRDefault="00CE3542" w:rsidP="00CC6658">
      <w:pPr>
        <w:pStyle w:val="NormalHanging12a"/>
        <w:keepNext/>
        <w:widowControl/>
        <w:ind w:left="0" w:firstLine="0"/>
        <w:rPr>
          <w:b/>
          <w:i/>
          <w:szCs w:val="24"/>
        </w:rPr>
      </w:pPr>
      <w:proofErr w:type="spellStart"/>
      <w:r w:rsidRPr="004D5FAC">
        <w:rPr>
          <w:b/>
          <w:i/>
        </w:rPr>
        <w:t>Bt</w:t>
      </w:r>
      <w:proofErr w:type="spellEnd"/>
      <w:r w:rsidRPr="004D5FAC">
        <w:rPr>
          <w:b/>
          <w:i/>
        </w:rPr>
        <w:t>-viljelykasvit: vaikutukset muihin kuin torjuttaviin organismeihin</w:t>
      </w:r>
    </w:p>
    <w:p w:rsidR="00CE3542" w:rsidRPr="004D5FAC" w:rsidRDefault="00CE3542" w:rsidP="00CC6658">
      <w:pPr>
        <w:pStyle w:val="NormalHanging12a"/>
        <w:widowControl/>
      </w:pPr>
      <w:r w:rsidRPr="004D5FAC">
        <w:t>H.</w:t>
      </w:r>
      <w:r w:rsidRPr="004D5FAC">
        <w:tab/>
        <w:t xml:space="preserve">ottaa huomioon, että toisin kuin hyönteismyrkkyjen käyttö, jossa altistuminen tapahtuu ruiskutuksen yhteydessä ja rajoitetun ajan sen jälkeen, muuntogeenisten </w:t>
      </w:r>
      <w:proofErr w:type="spellStart"/>
      <w:r w:rsidRPr="004D5FAC">
        <w:t>Bt</w:t>
      </w:r>
      <w:proofErr w:type="spellEnd"/>
      <w:r w:rsidRPr="004D5FAC">
        <w:t xml:space="preserve">-viljelykasvien käyttö johtaa sekä torjuttavien että muiden kuin torjuttavien organismien jatkuvaan altistumiseen </w:t>
      </w:r>
      <w:proofErr w:type="spellStart"/>
      <w:r w:rsidRPr="004D5FAC">
        <w:t>Bt</w:t>
      </w:r>
      <w:proofErr w:type="spellEnd"/>
      <w:r w:rsidRPr="004D5FAC">
        <w:t>-toksiineille;</w:t>
      </w:r>
    </w:p>
    <w:p w:rsidR="00CE3542" w:rsidRPr="004D5FAC" w:rsidRDefault="00CE3542" w:rsidP="00CC6658">
      <w:pPr>
        <w:pStyle w:val="NormalHanging12a"/>
        <w:widowControl/>
      </w:pPr>
      <w:r w:rsidRPr="004D5FAC">
        <w:t>I.</w:t>
      </w:r>
      <w:r w:rsidRPr="004D5FAC">
        <w:tab/>
        <w:t xml:space="preserve">ottaa huomioon, että oletusta, jonka mukaan </w:t>
      </w:r>
      <w:proofErr w:type="spellStart"/>
      <w:r w:rsidRPr="004D5FAC">
        <w:t>Bt</w:t>
      </w:r>
      <w:proofErr w:type="spellEnd"/>
      <w:r w:rsidRPr="004D5FAC">
        <w:t>-toksiineilla on yksi kohdekohtainen toimintamalli, ei voida enää pitää oikeana eikä vaikutuksia muihin kuin torjuttaviin organismeihin voida sulkea pois</w:t>
      </w:r>
      <w:r w:rsidRPr="004D5FAC">
        <w:rPr>
          <w:rStyle w:val="FootnoteReference"/>
        </w:rPr>
        <w:footnoteReference w:id="8"/>
      </w:r>
      <w:r w:rsidRPr="004D5FAC">
        <w:t xml:space="preserve">; </w:t>
      </w:r>
    </w:p>
    <w:p w:rsidR="00CE3542" w:rsidRPr="004D5FAC" w:rsidRDefault="00CE3542" w:rsidP="00CC6658">
      <w:pPr>
        <w:pStyle w:val="NormalHanging12a"/>
        <w:widowControl/>
      </w:pPr>
      <w:r w:rsidRPr="004D5FAC">
        <w:t>J.</w:t>
      </w:r>
      <w:r w:rsidRPr="004D5FAC">
        <w:tab/>
        <w:t xml:space="preserve">ottaa huomioon, että vaikutusten on raportoitu kohdistuvan monin tavoin yhä useampiin muihin kuin torjuttaviin organismeihin; ottaa huomioon, että tuoreessa katsauksessa mainitaan 39 vertaisarvioitua julkaisua, joissa kerrotaan </w:t>
      </w:r>
      <w:proofErr w:type="spellStart"/>
      <w:r w:rsidRPr="004D5FAC">
        <w:t>Bt</w:t>
      </w:r>
      <w:proofErr w:type="spellEnd"/>
      <w:r w:rsidRPr="004D5FAC">
        <w:t>-toksiinien merkittävistä haittavaikutuksista muille kuin kohteena oleville lajeille</w:t>
      </w:r>
      <w:r w:rsidRPr="004D5FAC">
        <w:rPr>
          <w:rStyle w:val="FootnoteReference"/>
        </w:rPr>
        <w:footnoteReference w:id="9"/>
      </w:r>
      <w:r w:rsidRPr="004D5FAC">
        <w:t>;</w:t>
      </w:r>
    </w:p>
    <w:p w:rsidR="00CE3542" w:rsidRPr="004D5FAC" w:rsidRDefault="00CE3542" w:rsidP="00CC6658">
      <w:pPr>
        <w:pStyle w:val="NormalHanging12a"/>
        <w:keepNext/>
        <w:widowControl/>
        <w:ind w:left="0" w:firstLine="0"/>
        <w:rPr>
          <w:b/>
          <w:i/>
        </w:rPr>
      </w:pPr>
      <w:r w:rsidRPr="004D5FAC">
        <w:rPr>
          <w:b/>
          <w:i/>
        </w:rPr>
        <w:t>Riippuvuuden vähentäminen tuontirehuista</w:t>
      </w:r>
    </w:p>
    <w:p w:rsidR="00CE3542" w:rsidRPr="004D5FAC" w:rsidRDefault="00CE3542" w:rsidP="00CC6658">
      <w:pPr>
        <w:pStyle w:val="NormalHanging12a"/>
        <w:widowControl/>
      </w:pPr>
      <w:r w:rsidRPr="004D5FAC">
        <w:t>K.</w:t>
      </w:r>
      <w:r w:rsidRPr="004D5FAC">
        <w:tab/>
        <w:t xml:space="preserve">ottaa huomioon, että yksi covid-19-kriisistä ja Ukrainassa edelleen jatkuvasta sodasta saatu opetus on se, että unioni ei saa enää olla riippuvainen eräistä kriittisistä </w:t>
      </w:r>
      <w:r w:rsidRPr="004D5FAC">
        <w:lastRenderedPageBreak/>
        <w:t xml:space="preserve">materiaaleista; ottaa huomioon, että komission puheenjohtaja Ursula von </w:t>
      </w:r>
      <w:proofErr w:type="spellStart"/>
      <w:r w:rsidRPr="004D5FAC">
        <w:t>der</w:t>
      </w:r>
      <w:proofErr w:type="spellEnd"/>
      <w:r w:rsidRPr="004D5FAC">
        <w:t xml:space="preserve"> </w:t>
      </w:r>
      <w:proofErr w:type="spellStart"/>
      <w:r w:rsidRPr="004D5FAC">
        <w:t>Leyen</w:t>
      </w:r>
      <w:proofErr w:type="spellEnd"/>
      <w:r w:rsidRPr="004D5FAC">
        <w:t xml:space="preserve"> pyytää komission jäsenehdokkaalle </w:t>
      </w:r>
      <w:proofErr w:type="spellStart"/>
      <w:r w:rsidRPr="004D5FAC">
        <w:t>Christophe</w:t>
      </w:r>
      <w:proofErr w:type="spellEnd"/>
      <w:r w:rsidRPr="004D5FAC">
        <w:t xml:space="preserve"> Hansenille osoitetussa toimeksiantokirjeessä häntä tarkastelemaan keinoja vähentää kriittisten hyödykkeiden tuontia</w:t>
      </w:r>
      <w:r w:rsidRPr="004D5FAC">
        <w:rPr>
          <w:rStyle w:val="FootnoteReference"/>
        </w:rPr>
        <w:footnoteReference w:id="10"/>
      </w:r>
      <w:r w:rsidRPr="004D5FAC">
        <w:t xml:space="preserve">; </w:t>
      </w:r>
    </w:p>
    <w:p w:rsidR="00CE3542" w:rsidRPr="004D5FAC" w:rsidRDefault="00CE3542" w:rsidP="00CC6658">
      <w:pPr>
        <w:pStyle w:val="NormalHanging12a"/>
        <w:keepNext/>
        <w:widowControl/>
        <w:ind w:left="0" w:firstLine="0"/>
        <w:rPr>
          <w:b/>
          <w:i/>
        </w:rPr>
      </w:pPr>
      <w:r w:rsidRPr="004D5FAC">
        <w:rPr>
          <w:b/>
          <w:i/>
        </w:rPr>
        <w:t>Antibioottiresistenssin merkkigeenin sisällyttäminen</w:t>
      </w:r>
    </w:p>
    <w:p w:rsidR="00CE3542" w:rsidRPr="004D5FAC" w:rsidRDefault="00CE3542" w:rsidP="00CC6658">
      <w:pPr>
        <w:pStyle w:val="NormalHanging12a"/>
        <w:widowControl/>
      </w:pPr>
      <w:r w:rsidRPr="004D5FAC">
        <w:t>L.</w:t>
      </w:r>
      <w:r w:rsidRPr="004D5FAC">
        <w:tab/>
        <w:t xml:space="preserve">ottaa huomioon, että muuntogeeninen puuvilla tuottaa APH4-proteiinia, jota käytetään antibioottiresistenssin merkkigeeninä ja joka </w:t>
      </w:r>
      <w:proofErr w:type="spellStart"/>
      <w:r w:rsidRPr="004D5FAC">
        <w:t>deaktivoi</w:t>
      </w:r>
      <w:proofErr w:type="spellEnd"/>
      <w:r w:rsidRPr="004D5FAC">
        <w:t xml:space="preserve"> antibioottisen </w:t>
      </w:r>
      <w:proofErr w:type="spellStart"/>
      <w:r w:rsidRPr="004D5FAC">
        <w:t>hygromysiini</w:t>
      </w:r>
      <w:proofErr w:type="spellEnd"/>
      <w:r w:rsidRPr="004D5FAC">
        <w:t xml:space="preserve"> B:n toiminnan;</w:t>
      </w:r>
    </w:p>
    <w:p w:rsidR="00CE3542" w:rsidRPr="004D5FAC" w:rsidRDefault="00CE3542" w:rsidP="00CC6658">
      <w:pPr>
        <w:pStyle w:val="NormalHanging12a"/>
        <w:widowControl/>
      </w:pPr>
      <w:r w:rsidRPr="004D5FAC">
        <w:t>M.</w:t>
      </w:r>
      <w:r w:rsidRPr="004D5FAC">
        <w:tab/>
        <w:t>ottaa huomioon, että Euroopan parlamentin ja neuvoston direktiivin 2001/18/EY</w:t>
      </w:r>
      <w:r w:rsidRPr="004D5FAC">
        <w:rPr>
          <w:rStyle w:val="FootnoteReference"/>
        </w:rPr>
        <w:footnoteReference w:id="11"/>
      </w:r>
      <w:r w:rsidRPr="004D5FAC">
        <w:t xml:space="preserve"> 4 artiklan 2 kohdassa edellytetään, että ihmisten ja eläinten hoidossa käytettäville antibiooteille resistenssiä ilmentäviä geenejä sisältävät muuntogeeniset organismit otetaan erityisesti huomioon ympäristöriskien arvioinnissa, jotta niistä voitaisiin tunnistaa ja poistaa sellaiset antibioottiresistenssimarkkerit, joilla voi olla haitallisia vaikutuksia ihmisten terveyteen ja ympäristöön, ja että siinä vahvistetaan vuosi 2004 määräajaksi, jonka jälkeen niitä ei pitäisi saattaa unionin markkinoille;</w:t>
      </w:r>
    </w:p>
    <w:p w:rsidR="00CE3542" w:rsidRPr="004D5FAC" w:rsidRDefault="00CE3542" w:rsidP="00CC6658">
      <w:pPr>
        <w:pStyle w:val="NormalHanging12a"/>
        <w:widowControl/>
      </w:pPr>
      <w:r w:rsidRPr="004D5FAC">
        <w:t>N.</w:t>
      </w:r>
      <w:r w:rsidRPr="004D5FAC">
        <w:tab/>
        <w:t>ottaa huomioon, että komission täytäntöönpanoasetuksessa (EU) N:o 503/2013</w:t>
      </w:r>
      <w:r w:rsidRPr="004D5FAC">
        <w:rPr>
          <w:rStyle w:val="FootnoteReference"/>
        </w:rPr>
        <w:footnoteReference w:id="12"/>
      </w:r>
      <w:r w:rsidRPr="004D5FAC">
        <w:t xml:space="preserve"> todetaan, että nyt on mahdollista kehittää muuntogeenisiä organismeja käyttämättä antibioottiresistenssin merkkigeenejä;</w:t>
      </w:r>
    </w:p>
    <w:p w:rsidR="00CE3542" w:rsidRPr="004D5FAC" w:rsidRDefault="00CE3542" w:rsidP="00CC6658">
      <w:pPr>
        <w:pStyle w:val="NormalHanging12a"/>
        <w:widowControl/>
      </w:pPr>
      <w:r w:rsidRPr="004D5FAC">
        <w:t>O.</w:t>
      </w:r>
      <w:r w:rsidRPr="004D5FAC">
        <w:tab/>
        <w:t>ottaa huomioon, että useat jäsenvaltiot esittivät kriittisiä kommentteja antibioottiresistenssin merkkigeenien käytöstä ja totesivat muun muassa, että nykyisen antibioottiresistenssiä koskevan kriisin vuoksi olisi viisasta noudattaa ennalta varautumisen periaatetta, etenkin tässä tapauksessa, jossa antibioottiresistenssin merkkigeenin käyttö on täysin tarpeetonta ja antibioottiresistenssin merkkigeenin poistaminen kasvin genomista on mahdollista; ottaa huomioon, että yhden jäsenvaltion toimivaltainen viranomainen antoi luvasta kielteisen lausunnon sillä perusteella, että muuntogeenisen puuvillan genomissa oli antibioottiresistenssin merkkigeeni;</w:t>
      </w:r>
    </w:p>
    <w:p w:rsidR="00CE3542" w:rsidRPr="004D5FAC" w:rsidRDefault="00CE3542" w:rsidP="00CC6658">
      <w:pPr>
        <w:pStyle w:val="NormalHanging12a"/>
        <w:widowControl/>
      </w:pPr>
      <w:r w:rsidRPr="004D5FAC">
        <w:t>P.</w:t>
      </w:r>
      <w:r w:rsidRPr="004D5FAC">
        <w:tab/>
        <w:t xml:space="preserve">ottaa huomioon, että Euroopan lääkevirasto on vahvistanut, että jäsenvaltioissa ei ole terapeuttiseen, ennalta ehkäisevään tai muuhun lääketieteelliseen käyttöön ihmisillä tai eläimillä luvan saaneita </w:t>
      </w:r>
      <w:proofErr w:type="spellStart"/>
      <w:r w:rsidRPr="004D5FAC">
        <w:t>hygromysiini</w:t>
      </w:r>
      <w:proofErr w:type="spellEnd"/>
      <w:r w:rsidRPr="004D5FAC">
        <w:t xml:space="preserve"> B:tä sisältäviä tuotteita ja ettei </w:t>
      </w:r>
      <w:proofErr w:type="spellStart"/>
      <w:r w:rsidRPr="004D5FAC">
        <w:t>hygromysiini</w:t>
      </w:r>
      <w:proofErr w:type="spellEnd"/>
      <w:r w:rsidRPr="004D5FAC">
        <w:t xml:space="preserve"> B11:tä sisältäville </w:t>
      </w:r>
      <w:proofErr w:type="spellStart"/>
      <w:r w:rsidRPr="004D5FAC">
        <w:t>ihmis</w:t>
      </w:r>
      <w:proofErr w:type="spellEnd"/>
      <w:r w:rsidRPr="004D5FAC">
        <w:t xml:space="preserve">- tai eläinkäyttöön tarkoitetuille lääkevalmisteille ole myönnetty keskitetysti mitään lupia; ottaa huomioon, että </w:t>
      </w:r>
      <w:proofErr w:type="spellStart"/>
      <w:r w:rsidRPr="004D5FAC">
        <w:t>EFSAn</w:t>
      </w:r>
      <w:proofErr w:type="spellEnd"/>
      <w:r w:rsidRPr="004D5FAC">
        <w:t xml:space="preserve"> lausunnossa todetaan, että muuntogeenisiä organismeja käsittelevän tiedelautakunnan mukaan riskinarviointia voi olla tarpeen päivittää, jos </w:t>
      </w:r>
      <w:proofErr w:type="spellStart"/>
      <w:r w:rsidRPr="004D5FAC">
        <w:t>hygromysiini</w:t>
      </w:r>
      <w:proofErr w:type="spellEnd"/>
      <w:r w:rsidRPr="004D5FAC">
        <w:t xml:space="preserve"> B:tä tai muita APH4-entsyymin substraatteja sisältäville tuotteille myönnetään jatkossa myyntilupa EU:ssa; ottaa kuitenkin </w:t>
      </w:r>
      <w:r w:rsidRPr="004D5FAC">
        <w:lastRenderedPageBreak/>
        <w:t xml:space="preserve">huomioon, että </w:t>
      </w:r>
      <w:proofErr w:type="spellStart"/>
      <w:r w:rsidRPr="004D5FAC">
        <w:t>hygromysiini</w:t>
      </w:r>
      <w:proofErr w:type="spellEnd"/>
      <w:r w:rsidRPr="004D5FAC">
        <w:t xml:space="preserve"> B:tä käytetään unionin ulkopuolella myytävissä eläinlääkkeissä; </w:t>
      </w:r>
    </w:p>
    <w:p w:rsidR="00CE3542" w:rsidRPr="004D5FAC" w:rsidRDefault="00CE3542" w:rsidP="00CC6658">
      <w:pPr>
        <w:pStyle w:val="NormalHanging12a"/>
        <w:widowControl/>
      </w:pPr>
      <w:r w:rsidRPr="004D5FAC">
        <w:t>Q.</w:t>
      </w:r>
      <w:r w:rsidRPr="004D5FAC">
        <w:tab/>
        <w:t>ottaa huomioon, että parlamentti on ainakin kerran aiemmin vastustanut sellaisten muuntogeenisten viljelykasvien tuontia, jotka sisälsivät antibioottiresistenssin merkkigeenejä</w:t>
      </w:r>
      <w:r w:rsidRPr="004D5FAC">
        <w:rPr>
          <w:rStyle w:val="FootnoteReference"/>
        </w:rPr>
        <w:footnoteReference w:id="13"/>
      </w:r>
      <w:r w:rsidRPr="004D5FAC">
        <w:t>;</w:t>
      </w:r>
    </w:p>
    <w:p w:rsidR="00CE3542" w:rsidRPr="004D5FAC" w:rsidRDefault="00CE3542" w:rsidP="00CC6658">
      <w:pPr>
        <w:pStyle w:val="NormalHanging12a"/>
        <w:widowControl/>
      </w:pPr>
      <w:r w:rsidRPr="004D5FAC">
        <w:t>R.</w:t>
      </w:r>
      <w:r w:rsidRPr="004D5FAC">
        <w:tab/>
        <w:t>ottaa huomioon, että mikrobilääkeresistenssi uhkaa maailmanlaajuisesti terveyttä, ruokaturvaa sekä vuodeksi 2030 asetettujen kestävän kehityksen tavoitteiden saavuttamista ja että lääkeresistentit infektiot eivät tunne rajoja</w:t>
      </w:r>
      <w:r w:rsidRPr="004D5FAC">
        <w:rPr>
          <w:rStyle w:val="FootnoteReference"/>
        </w:rPr>
        <w:footnoteReference w:id="14"/>
      </w:r>
      <w:r w:rsidRPr="004D5FAC">
        <w:t>;</w:t>
      </w:r>
    </w:p>
    <w:p w:rsidR="00CE3542" w:rsidRPr="004D5FAC" w:rsidRDefault="00CE3542" w:rsidP="00CC6658">
      <w:pPr>
        <w:pStyle w:val="NormalHanging12a"/>
        <w:keepNext/>
        <w:widowControl/>
        <w:ind w:left="0" w:firstLine="0"/>
        <w:rPr>
          <w:b/>
          <w:i/>
        </w:rPr>
      </w:pPr>
      <w:r w:rsidRPr="004D5FAC">
        <w:rPr>
          <w:b/>
          <w:i/>
        </w:rPr>
        <w:t>Jäsenvaltioiden toimivaltaisten viranomaisten ja sidosryhmien huomautukset</w:t>
      </w:r>
    </w:p>
    <w:p w:rsidR="00CE3542" w:rsidRPr="004D5FAC" w:rsidRDefault="00CE3542" w:rsidP="00CC6658">
      <w:pPr>
        <w:pStyle w:val="NormalHanging12a"/>
        <w:widowControl/>
      </w:pPr>
      <w:r w:rsidRPr="004D5FAC">
        <w:t>S.</w:t>
      </w:r>
      <w:r w:rsidRPr="004D5FAC">
        <w:tab/>
        <w:t xml:space="preserve">ottaa huomioon, että jäsenvaltiot esittivät </w:t>
      </w:r>
      <w:proofErr w:type="spellStart"/>
      <w:r w:rsidRPr="004D5FAC">
        <w:t>EFSAlle</w:t>
      </w:r>
      <w:proofErr w:type="spellEnd"/>
      <w:r w:rsidRPr="004D5FAC">
        <w:t xml:space="preserve"> kolmen kuukauden kuulemisjakson aikana useita kriittisiä huomautuksia</w:t>
      </w:r>
      <w:r w:rsidRPr="004D5FAC">
        <w:rPr>
          <w:rStyle w:val="FootnoteReference"/>
        </w:rPr>
        <w:footnoteReference w:id="15"/>
      </w:r>
      <w:r w:rsidRPr="004D5FAC">
        <w:t xml:space="preserve">, kuten sen, että muuntogeenisen puuvillan viljelyä maatalouskäytössä olevilla pelloilla on pidettävä luonnonympäristön tahallisena saastuttamisena antibioottiresistenssigeeneillä, sekä sen, että molekyylibiologisesta luonnehdinnasta, koostumuksesta ja toksikologiasta toimitetut tiedot ovat riittämättömiä, minkä vuoksi </w:t>
      </w:r>
      <w:proofErr w:type="spellStart"/>
      <w:r w:rsidRPr="004D5FAC">
        <w:t>EFSAn</w:t>
      </w:r>
      <w:proofErr w:type="spellEnd"/>
      <w:r w:rsidRPr="004D5FAC">
        <w:t xml:space="preserve"> päätelmät muuntogeenisen puuvillan vastaavuudesta perinteisen puuvillan kanssa ovat ennenaikaisia siltä osin kuin on kyse elintarvikkeiden ja rehujen turvallisuudesta;</w:t>
      </w:r>
    </w:p>
    <w:p w:rsidR="00CE3542" w:rsidRPr="004D5FAC" w:rsidRDefault="00CE3542" w:rsidP="00CC6658">
      <w:pPr>
        <w:pStyle w:val="NormalHanging12a"/>
        <w:widowControl/>
      </w:pPr>
      <w:r w:rsidRPr="004D5FAC">
        <w:t>T.</w:t>
      </w:r>
      <w:r w:rsidRPr="004D5FAC">
        <w:tab/>
        <w:t>ottaa huomioon, että asetuksessa (EY) N:o 1829/2003 todetaan, että muuntogeeniset elintarvikkeet tai rehut eivät saa vaikuttaa haitallisesti ihmisten terveyteen, eläinten terveyteen tai ympäristöön, ja edellytetään komission ottavan päätöstään laatiessaan huomioon kaikki unionin lainsäädännön asiaankuuluvat säännökset sekä muut perustellut tekijät, jotka liittyvät tarkasteltavaan asiaan; katsoo, että tällaisiin perusteltuihin tekijöihin olisi sisällyttävä unionin sitoumukset mikrobilääkeresistenssin torjumiseksi;</w:t>
      </w:r>
    </w:p>
    <w:p w:rsidR="00CE3542" w:rsidRPr="004D5FAC" w:rsidRDefault="00CE3542" w:rsidP="00CC6658">
      <w:pPr>
        <w:pStyle w:val="NormalHanging12a"/>
        <w:keepNext/>
        <w:widowControl/>
        <w:ind w:left="0" w:firstLine="0"/>
        <w:rPr>
          <w:b/>
          <w:i/>
        </w:rPr>
      </w:pPr>
      <w:r w:rsidRPr="004D5FAC">
        <w:rPr>
          <w:b/>
          <w:i/>
        </w:rPr>
        <w:t>Epädemokraattinen päätöksenteko</w:t>
      </w:r>
    </w:p>
    <w:p w:rsidR="00CE3542" w:rsidRPr="004D5FAC" w:rsidRDefault="00CE3542" w:rsidP="00CC6658">
      <w:pPr>
        <w:pStyle w:val="NormalHanging12a"/>
        <w:widowControl/>
      </w:pPr>
      <w:r w:rsidRPr="004D5FAC">
        <w:t>U.</w:t>
      </w:r>
      <w:r w:rsidRPr="004D5FAC">
        <w:tab/>
        <w:t>ottaa huomioon, että parlamentti antoi kahdeksannella vaalikaudella kaikkiaan 36 päätöslauselmaa, joissa vastustettiin elintarvike- ja rehukäyttöön tarkoitettujen muuntogeenisten organismien markkinoille saattamista (33 päätöslauselmaa) ja muuntogeenisten organismien viljelyä unionissa (kolme päätöslauselmaa); ottaa huomioon, että yhdeksännellä vaalikaudella parlamentti antoi 38 vastalausetta, jotka koskivat muuntogeenisten organismien markkinoille saattamista;</w:t>
      </w:r>
    </w:p>
    <w:p w:rsidR="00CE3542" w:rsidRPr="004D5FAC" w:rsidRDefault="00CE3542" w:rsidP="00CC6658">
      <w:pPr>
        <w:pStyle w:val="NormalHanging12a"/>
        <w:widowControl/>
      </w:pPr>
      <w:r w:rsidRPr="004D5FAC">
        <w:lastRenderedPageBreak/>
        <w:t>V.</w:t>
      </w:r>
      <w:r w:rsidRPr="004D5FAC">
        <w:tab/>
        <w:t>toteaa, että komissio jatkaa lupien myöntämistä muuntogeenisille organismeille, vaikka se itse myöntää demokraattisuuden puutteen, ja huolimatta jäsenvaltioiden tuen puuttumisesta ja parlamentin vastustuksesta;</w:t>
      </w:r>
    </w:p>
    <w:p w:rsidR="00CE3542" w:rsidRPr="004D5FAC" w:rsidRDefault="00CE3542" w:rsidP="00CC6658">
      <w:pPr>
        <w:pStyle w:val="NormalHanging12a"/>
        <w:widowControl/>
      </w:pPr>
      <w:r w:rsidRPr="004D5FAC">
        <w:t>W.</w:t>
      </w:r>
      <w:r w:rsidRPr="004D5FAC">
        <w:tab/>
        <w:t>ottaa huomioon, että lainsäädäntöä ei tarvitse muuttaa, jotta komissio voi olla myöntämättä lupia muuntogeenisille organismeille, kun jäsenvaltioiden määräenemmistö ei muutoksenhakukomiteassa puolla luvan myöntämistä</w:t>
      </w:r>
      <w:r w:rsidRPr="004D5FAC">
        <w:rPr>
          <w:rStyle w:val="FootnoteReference"/>
        </w:rPr>
        <w:footnoteReference w:id="16"/>
      </w:r>
      <w:r w:rsidRPr="004D5FAC">
        <w:t>;</w:t>
      </w:r>
    </w:p>
    <w:p w:rsidR="00CE3542" w:rsidRPr="004D5FAC" w:rsidRDefault="00CE3542" w:rsidP="00CC6658">
      <w:pPr>
        <w:pStyle w:val="NormalHanging12a"/>
        <w:widowControl/>
      </w:pPr>
      <w:r w:rsidRPr="004D5FAC">
        <w:t>X.</w:t>
      </w:r>
      <w:r w:rsidRPr="004D5FAC">
        <w:tab/>
        <w:t xml:space="preserve">ottaa huomioon, että asetuksen (EY) </w:t>
      </w:r>
      <w:proofErr w:type="gramStart"/>
      <w:r w:rsidRPr="004D5FAC">
        <w:t>N:o</w:t>
      </w:r>
      <w:proofErr w:type="gramEnd"/>
      <w:r w:rsidRPr="004D5FAC">
        <w:t xml:space="preserve"> 1829/2003 35 artiklassa tarkoitetussa pysyvässä kasvi-, eläin-, elintarvike- ja rehukomiteassa 8. heinäkuuta 2024 toimitetussa äänestyksessä päätettiin olla antamatta lausuntoa, mikä tarkoittaa, että jäsenvaltioiden määräenemmistö ei tukenut luvan myöntämistä; ottaa huomioon, että muutoksenhakukomiteassa 3. syyskuuta 2024 toimitetussa äänestyksessä päätettiin niin ikään olla antamatta lausuntoa;</w:t>
      </w:r>
    </w:p>
    <w:p w:rsidR="00CE3542" w:rsidRPr="004D5FAC" w:rsidRDefault="00CE3542" w:rsidP="00CC6658">
      <w:pPr>
        <w:pStyle w:val="NormalHanging12a"/>
        <w:widowControl/>
      </w:pPr>
      <w:r w:rsidRPr="004D5FAC">
        <w:t>1.</w:t>
      </w:r>
      <w:r w:rsidRPr="004D5FAC">
        <w:tab/>
        <w:t>katsoo, että komission täytäntöönpanopäätös</w:t>
      </w:r>
      <w:r w:rsidR="008961AB" w:rsidRPr="004D5FAC">
        <w:t xml:space="preserve"> (EU) 2024/2627</w:t>
      </w:r>
      <w:r w:rsidRPr="004D5FAC">
        <w:t xml:space="preserve"> ylittää asetuksessa (EY) </w:t>
      </w:r>
      <w:proofErr w:type="gramStart"/>
      <w:r w:rsidRPr="004D5FAC">
        <w:t>N:o</w:t>
      </w:r>
      <w:proofErr w:type="gramEnd"/>
      <w:r w:rsidRPr="004D5FAC">
        <w:t> 1829/2003 säädetyn täytäntöönpanovallan;</w:t>
      </w:r>
    </w:p>
    <w:p w:rsidR="00CE3542" w:rsidRPr="004D5FAC" w:rsidRDefault="00CE3542" w:rsidP="00CC6658">
      <w:pPr>
        <w:pStyle w:val="NormalHanging12a"/>
        <w:widowControl/>
      </w:pPr>
      <w:r w:rsidRPr="004D5FAC">
        <w:t>2.</w:t>
      </w:r>
      <w:r w:rsidRPr="004D5FAC">
        <w:tab/>
        <w:t xml:space="preserve">katsoo, että komission täytäntöönpanopäätös </w:t>
      </w:r>
      <w:r w:rsidR="008961AB" w:rsidRPr="004D5FAC">
        <w:t xml:space="preserve">(EU) 2024/2627 </w:t>
      </w:r>
      <w:r w:rsidRPr="004D5FAC">
        <w:t>ei ole unionin oikeuden mukainen, sillä se ei ole sopusoinnussa asetuksen (EY) N:o 1829/2003 tavoitteen kanssa; toteaa, että kyseisen asetuksen tavoitteena on Euroopan parlamentin ja neuvoston asetuksessa (EY) N:o 178/2002</w:t>
      </w:r>
      <w:r w:rsidRPr="004D5FAC">
        <w:rPr>
          <w:rStyle w:val="FootnoteReference"/>
        </w:rPr>
        <w:footnoteReference w:id="17"/>
      </w:r>
      <w:r w:rsidRPr="004D5FAC">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rsidR="00CE3542" w:rsidRPr="004D5FAC" w:rsidRDefault="00CE3542" w:rsidP="00CC6658">
      <w:pPr>
        <w:pStyle w:val="NormalHanging12a"/>
        <w:widowControl/>
      </w:pPr>
      <w:r w:rsidRPr="004D5FAC">
        <w:t>3.</w:t>
      </w:r>
      <w:r w:rsidRPr="004D5FAC">
        <w:tab/>
        <w:t xml:space="preserve">pyytää komissiota </w:t>
      </w:r>
      <w:r w:rsidR="008961AB" w:rsidRPr="004D5FAC">
        <w:t>kumoa</w:t>
      </w:r>
      <w:r w:rsidRPr="004D5FAC">
        <w:t>maan täytäntöönpanopäätökse</w:t>
      </w:r>
      <w:r w:rsidR="008961AB" w:rsidRPr="004D5FAC">
        <w:t>n (EU) 2024/2627</w:t>
      </w:r>
      <w:r w:rsidRPr="004D5FAC">
        <w:t xml:space="preserve"> ja toimittamaan komitealle uuden ehdotuksen;</w:t>
      </w:r>
    </w:p>
    <w:p w:rsidR="00CE3542" w:rsidRPr="004D5FAC" w:rsidRDefault="00CE3542" w:rsidP="00CC6658">
      <w:pPr>
        <w:pStyle w:val="NormalHanging12a"/>
        <w:widowControl/>
      </w:pPr>
      <w:r w:rsidRPr="004D5FAC">
        <w:t>4.</w:t>
      </w:r>
      <w:r w:rsidRPr="004D5FAC">
        <w:tab/>
        <w:t xml:space="preserve">toistaa komissiolle esittämänsä kehotuksen olla hyväksymättä minkään sellaisen muuntogeenisen kasvin markkinoille saattamista, joka sisältää mikrobilääkeresistenssiä aiheuttavia geenejä; toteaa, että luvan myöntäminen olisi vastoin direktiivin 2001/18/EY 4 artiklan 2 kohtaa, jossa kehotetaan poistamaan asteittain sellaiset antibioottiresistenssin merkkigeenit, joilla voi olla haitallisia vaikutuksia ihmisten terveydelle ja ympäristölle; </w:t>
      </w:r>
    </w:p>
    <w:p w:rsidR="00CE3542" w:rsidRPr="004D5FAC" w:rsidRDefault="00CE3542" w:rsidP="00CC6658">
      <w:pPr>
        <w:pStyle w:val="NormalHanging12a"/>
        <w:widowControl/>
      </w:pPr>
      <w:r w:rsidRPr="004D5FAC">
        <w:t>5.</w:t>
      </w:r>
      <w:r w:rsidRPr="004D5FAC">
        <w:tab/>
        <w:t>on tyytyväinen siihen, että komissio myönsi lopulta 11. syyskuuta 2020 päivätyssä kirjeessään parlamentin jäsenille, että muuntogeenisiä organismeja koskevissa lupapäätöksissä on otettava huomioon kestävyysnäkökohdat</w:t>
      </w:r>
      <w:r w:rsidRPr="004D5FAC">
        <w:rPr>
          <w:rStyle w:val="FootnoteReference"/>
        </w:rPr>
        <w:footnoteReference w:id="18"/>
      </w:r>
      <w:r w:rsidRPr="004D5FAC">
        <w:t xml:space="preserve">; on kuitenkin erittäin pettynyt siihen, että komissio on sen jälkeen edelleen myöntänyt lupia muuntogeenisten </w:t>
      </w:r>
      <w:r w:rsidRPr="004D5FAC">
        <w:lastRenderedPageBreak/>
        <w:t>organismien tuonnille unioniin, vaikka parlamentti vastustaa sitä jatkuvasti ja jäsenvaltioiden enemmistö äänestää sitä vastaan;</w:t>
      </w:r>
    </w:p>
    <w:p w:rsidR="00CE3542" w:rsidRPr="004D5FAC" w:rsidRDefault="00CE3542" w:rsidP="00CC6658">
      <w:pPr>
        <w:pStyle w:val="NormalHanging12a"/>
        <w:widowControl/>
      </w:pPr>
      <w:r w:rsidRPr="004D5FAC">
        <w:t>6.</w:t>
      </w:r>
      <w:r w:rsidRPr="004D5FAC">
        <w:tab/>
        <w:t>kehottaa jälleen komissiota ottamaan huomioon kansainvälisistä sopimuksista, kuten Pariisin ilmastosopimuksesta, biologista monimuotoisuutta koskevasta YK:n yleissopimuksesta ja YK:n kestävän kehityksen tavoitteista, johtuvat unionin velvoitteet; kehottaa jälleen liittämään ehdotuksiin täytäntöönpanosäädöksiksi perustelut, joissa selitetään, miten niissä varmistetaan vahingon välttämisen periaatteen noudattaminen</w:t>
      </w:r>
      <w:r w:rsidRPr="004D5FAC">
        <w:rPr>
          <w:rStyle w:val="FootnoteReference"/>
        </w:rPr>
        <w:footnoteReference w:id="19"/>
      </w:r>
      <w:r w:rsidRPr="004D5FAC">
        <w:t>;</w:t>
      </w:r>
    </w:p>
    <w:p w:rsidR="00E365E1" w:rsidRPr="004D5FAC" w:rsidRDefault="00CE3542" w:rsidP="00CC6658">
      <w:pPr>
        <w:widowControl/>
        <w:spacing w:after="240"/>
        <w:ind w:left="567" w:hanging="567"/>
      </w:pPr>
      <w:r w:rsidRPr="004D5FAC">
        <w:t>7.</w:t>
      </w:r>
      <w:r w:rsidRPr="004D5FAC">
        <w:tab/>
        <w:t>kehottaa puhemiestä välittämään tämän päätöslauselman neuvostolle ja komissiolle sekä jäsenvaltioiden hallituksille ja parlamenteille.</w:t>
      </w:r>
    </w:p>
    <w:sectPr w:rsidR="00E365E1" w:rsidRPr="004D5FAC" w:rsidSect="00AE0BD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305" w:rsidRPr="00AE0BDA" w:rsidRDefault="00616305">
      <w:r w:rsidRPr="00AE0BDA">
        <w:separator/>
      </w:r>
    </w:p>
  </w:endnote>
  <w:endnote w:type="continuationSeparator" w:id="0">
    <w:p w:rsidR="00616305" w:rsidRPr="00AE0BDA" w:rsidRDefault="00616305">
      <w:r w:rsidRPr="00AE0B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305" w:rsidRPr="00AE0BDA" w:rsidRDefault="00616305">
      <w:r w:rsidRPr="00AE0BDA">
        <w:separator/>
      </w:r>
    </w:p>
  </w:footnote>
  <w:footnote w:type="continuationSeparator" w:id="0">
    <w:p w:rsidR="00616305" w:rsidRPr="00AE0BDA" w:rsidRDefault="00616305">
      <w:r w:rsidRPr="00AE0BDA">
        <w:continuationSeparator/>
      </w:r>
    </w:p>
  </w:footnote>
  <w:footnote w:id="1">
    <w:p w:rsidR="008961AB" w:rsidRPr="004D5FAC" w:rsidRDefault="008961AB" w:rsidP="004D5FAC">
      <w:pPr>
        <w:pStyle w:val="FootnoteText"/>
        <w:ind w:left="567" w:hanging="567"/>
        <w:rPr>
          <w:lang w:val="fi-FI"/>
        </w:rPr>
      </w:pPr>
      <w:r>
        <w:rPr>
          <w:rStyle w:val="FootnoteReference"/>
        </w:rPr>
        <w:footnoteRef/>
      </w:r>
      <w:r w:rsidRPr="004D5FAC">
        <w:rPr>
          <w:lang w:val="fi-FI"/>
        </w:rPr>
        <w:tab/>
      </w:r>
      <w:r w:rsidRPr="004D5FAC">
        <w:rPr>
          <w:sz w:val="24"/>
          <w:szCs w:val="24"/>
          <w:lang w:val="fi-FI"/>
        </w:rPr>
        <w:t>EUVL L, 2024/2627, 10.10.2024, ELI: http://data.europa.eu/eli/dec_impl/2024/2627/oj</w:t>
      </w:r>
      <w:r>
        <w:rPr>
          <w:sz w:val="24"/>
          <w:szCs w:val="24"/>
          <w:lang w:val="fi-FI"/>
        </w:rPr>
        <w:t>.</w:t>
      </w:r>
    </w:p>
  </w:footnote>
  <w:footnote w:id="2">
    <w:p w:rsidR="00CE3542" w:rsidRPr="008961AB" w:rsidRDefault="00CE3542" w:rsidP="00AE0BDA">
      <w:pPr>
        <w:pStyle w:val="FootnoteText"/>
        <w:ind w:left="567" w:hanging="567"/>
        <w:rPr>
          <w:sz w:val="24"/>
        </w:rPr>
      </w:pPr>
      <w:r w:rsidRPr="00AE0BDA">
        <w:rPr>
          <w:rStyle w:val="FootnoteReference"/>
          <w:sz w:val="24"/>
          <w:lang w:val="fi-FI"/>
        </w:rPr>
        <w:footnoteRef/>
      </w:r>
      <w:r w:rsidR="00AE0BDA" w:rsidRPr="008961AB">
        <w:rPr>
          <w:sz w:val="24"/>
        </w:rPr>
        <w:t xml:space="preserve"> </w:t>
      </w:r>
      <w:r w:rsidR="00AE0BDA" w:rsidRPr="008961AB">
        <w:rPr>
          <w:sz w:val="24"/>
        </w:rPr>
        <w:tab/>
      </w:r>
      <w:r w:rsidRPr="008961AB">
        <w:rPr>
          <w:sz w:val="24"/>
        </w:rPr>
        <w:t>EUVL L 268, 18.10.2003, s. 1, ELI: </w:t>
      </w:r>
      <w:hyperlink r:id="rId1" w:tooltip="Linkki asiakirjaan sen ELI-tunnukseen perustuvan URI-osoitteen kautta." w:history="1">
        <w:r w:rsidRPr="008961AB">
          <w:rPr>
            <w:rStyle w:val="Hyperlink"/>
            <w:sz w:val="24"/>
          </w:rPr>
          <w:t>http://data.europa.eu/eli/reg/2003/1829/oj</w:t>
        </w:r>
      </w:hyperlink>
      <w:r w:rsidRPr="008961AB">
        <w:rPr>
          <w:sz w:val="24"/>
        </w:rPr>
        <w:t>.</w:t>
      </w:r>
    </w:p>
  </w:footnote>
  <w:footnote w:id="3">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r w:rsidRPr="00AE0BDA">
        <w:rPr>
          <w:sz w:val="24"/>
          <w:lang w:val="fi-FI"/>
        </w:rPr>
        <w:t xml:space="preserve">EUVL L 55, 28.2.2011, s. 13, ELI: </w:t>
      </w:r>
      <w:hyperlink r:id="rId2" w:tooltip="Linkki asiakirjaan sen ELI-tunnukseen perustuvan URI-osoitteen kautta." w:history="1">
        <w:r w:rsidRPr="00AE0BDA">
          <w:rPr>
            <w:rStyle w:val="Hyperlink"/>
            <w:sz w:val="24"/>
            <w:lang w:val="fi-FI"/>
          </w:rPr>
          <w:t>http://data.europa.eu/eli/reg/2011/182/oj</w:t>
        </w:r>
      </w:hyperlink>
      <w:r w:rsidRPr="00AE0BDA">
        <w:rPr>
          <w:sz w:val="24"/>
          <w:lang w:val="fi-FI"/>
        </w:rPr>
        <w:t>.</w:t>
      </w:r>
    </w:p>
  </w:footnote>
  <w:footnote w:id="4">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r w:rsidRPr="00AE0BDA">
        <w:rPr>
          <w:sz w:val="24"/>
          <w:lang w:val="fi-FI"/>
        </w:rPr>
        <w:t xml:space="preserve">Muuntogeenisiä organismeja käsittelevän </w:t>
      </w:r>
      <w:proofErr w:type="spellStart"/>
      <w:r w:rsidRPr="00AE0BDA">
        <w:rPr>
          <w:sz w:val="24"/>
          <w:lang w:val="fi-FI"/>
        </w:rPr>
        <w:t>EFSAn</w:t>
      </w:r>
      <w:proofErr w:type="spellEnd"/>
      <w:r w:rsidRPr="00AE0BDA">
        <w:rPr>
          <w:sz w:val="24"/>
          <w:lang w:val="fi-FI"/>
        </w:rPr>
        <w:t xml:space="preserve"> tiedelautakunnan tieteellinen lausunto ”</w:t>
      </w:r>
      <w:proofErr w:type="spellStart"/>
      <w:r w:rsidRPr="00AE0BDA">
        <w:rPr>
          <w:sz w:val="24"/>
          <w:lang w:val="fi-FI"/>
        </w:rPr>
        <w:t>Assessment</w:t>
      </w:r>
      <w:proofErr w:type="spellEnd"/>
      <w:r w:rsidRPr="00AE0BDA">
        <w:rPr>
          <w:sz w:val="24"/>
          <w:lang w:val="fi-FI"/>
        </w:rPr>
        <w:t xml:space="preserve"> of </w:t>
      </w:r>
      <w:proofErr w:type="spellStart"/>
      <w:r w:rsidRPr="00AE0BDA">
        <w:rPr>
          <w:sz w:val="24"/>
          <w:lang w:val="fi-FI"/>
        </w:rPr>
        <w:t>genetically</w:t>
      </w:r>
      <w:proofErr w:type="spellEnd"/>
      <w:r w:rsidRPr="00AE0BDA">
        <w:rPr>
          <w:sz w:val="24"/>
          <w:lang w:val="fi-FI"/>
        </w:rPr>
        <w:t xml:space="preserve"> </w:t>
      </w:r>
      <w:proofErr w:type="spellStart"/>
      <w:r w:rsidRPr="00AE0BDA">
        <w:rPr>
          <w:sz w:val="24"/>
          <w:lang w:val="fi-FI"/>
        </w:rPr>
        <w:t>modified</w:t>
      </w:r>
      <w:proofErr w:type="spellEnd"/>
      <w:r w:rsidRPr="00AE0BDA">
        <w:rPr>
          <w:sz w:val="24"/>
          <w:lang w:val="fi-FI"/>
        </w:rPr>
        <w:t xml:space="preserve"> </w:t>
      </w:r>
      <w:proofErr w:type="spellStart"/>
      <w:r w:rsidRPr="00AE0BDA">
        <w:rPr>
          <w:sz w:val="24"/>
          <w:lang w:val="fi-FI"/>
        </w:rPr>
        <w:t>cotton</w:t>
      </w:r>
      <w:proofErr w:type="spellEnd"/>
      <w:r w:rsidRPr="00AE0BDA">
        <w:rPr>
          <w:sz w:val="24"/>
          <w:lang w:val="fi-FI"/>
        </w:rPr>
        <w:t xml:space="preserve"> COT102 for food and </w:t>
      </w:r>
      <w:proofErr w:type="spellStart"/>
      <w:r w:rsidRPr="00AE0BDA">
        <w:rPr>
          <w:sz w:val="24"/>
          <w:lang w:val="fi-FI"/>
        </w:rPr>
        <w:t>feed</w:t>
      </w:r>
      <w:proofErr w:type="spellEnd"/>
      <w:r w:rsidRPr="00AE0BDA">
        <w:rPr>
          <w:sz w:val="24"/>
          <w:lang w:val="fi-FI"/>
        </w:rPr>
        <w:t xml:space="preserve"> </w:t>
      </w:r>
      <w:proofErr w:type="spellStart"/>
      <w:r w:rsidRPr="00AE0BDA">
        <w:rPr>
          <w:sz w:val="24"/>
          <w:lang w:val="fi-FI"/>
        </w:rPr>
        <w:t>uses</w:t>
      </w:r>
      <w:proofErr w:type="spellEnd"/>
      <w:r w:rsidRPr="00AE0BDA">
        <w:rPr>
          <w:sz w:val="24"/>
          <w:lang w:val="fi-FI"/>
        </w:rPr>
        <w:t xml:space="preserve">, </w:t>
      </w:r>
      <w:proofErr w:type="spellStart"/>
      <w:r w:rsidRPr="00AE0BDA">
        <w:rPr>
          <w:sz w:val="24"/>
          <w:lang w:val="fi-FI"/>
        </w:rPr>
        <w:t>under</w:t>
      </w:r>
      <w:proofErr w:type="spellEnd"/>
      <w:r w:rsidRPr="00AE0BDA">
        <w:rPr>
          <w:sz w:val="24"/>
          <w:lang w:val="fi-FI"/>
        </w:rPr>
        <w:t xml:space="preserve"> </w:t>
      </w:r>
      <w:proofErr w:type="spellStart"/>
      <w:r w:rsidRPr="00AE0BDA">
        <w:rPr>
          <w:sz w:val="24"/>
          <w:lang w:val="fi-FI"/>
        </w:rPr>
        <w:t>Regulation</w:t>
      </w:r>
      <w:proofErr w:type="spellEnd"/>
      <w:r w:rsidRPr="00AE0BDA">
        <w:rPr>
          <w:sz w:val="24"/>
          <w:lang w:val="fi-FI"/>
        </w:rPr>
        <w:t xml:space="preserve"> (EC) No 1829/2003 (</w:t>
      </w:r>
      <w:proofErr w:type="spellStart"/>
      <w:r w:rsidRPr="00AE0BDA">
        <w:rPr>
          <w:sz w:val="24"/>
          <w:lang w:val="fi-FI"/>
        </w:rPr>
        <w:t>application</w:t>
      </w:r>
      <w:proofErr w:type="spellEnd"/>
      <w:r w:rsidRPr="00AE0BDA">
        <w:rPr>
          <w:sz w:val="24"/>
          <w:lang w:val="fi-FI"/>
        </w:rPr>
        <w:t xml:space="preserve"> EFSA-GMO-DE-2017-141)”, EFSA Journal 2023; 21(6):8031, </w:t>
      </w:r>
      <w:hyperlink r:id="rId3" w:history="1">
        <w:r w:rsidRPr="00AE0BDA">
          <w:rPr>
            <w:rStyle w:val="Hyperlink"/>
            <w:sz w:val="24"/>
            <w:lang w:val="fi-FI"/>
          </w:rPr>
          <w:t>https://doi.org/10.2903/j.efsa.2023.8031</w:t>
        </w:r>
      </w:hyperlink>
      <w:r w:rsidRPr="00AE0BDA">
        <w:rPr>
          <w:sz w:val="24"/>
          <w:lang w:val="fi-FI"/>
        </w:rPr>
        <w:t>.</w:t>
      </w:r>
    </w:p>
  </w:footnote>
  <w:footnote w:id="5">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color w:val="000000" w:themeColor="text1"/>
          <w:sz w:val="24"/>
          <w:lang w:val="fi-FI"/>
        </w:rPr>
        <w:t xml:space="preserve"> </w:t>
      </w:r>
      <w:r w:rsidR="00AE0BDA" w:rsidRPr="00AE0BDA">
        <w:rPr>
          <w:color w:val="000000" w:themeColor="text1"/>
          <w:sz w:val="24"/>
          <w:lang w:val="fi-FI"/>
        </w:rPr>
        <w:tab/>
      </w:r>
      <w:r w:rsidRPr="00AE0BDA">
        <w:rPr>
          <w:color w:val="000000" w:themeColor="text1"/>
          <w:sz w:val="24"/>
          <w:lang w:val="fi-FI"/>
        </w:rPr>
        <w:t>Kahdeksannella vaalikaudella parlamentti hyväksyi 36 päätöslauselmaa ja yhdeksännellä vaalikaudella 38 päätöslauselmaa, joissa vastustettiin lupien myöntämistä muuntogeenisille organismeille.</w:t>
      </w:r>
    </w:p>
  </w:footnote>
  <w:footnote w:id="6">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proofErr w:type="spellStart"/>
      <w:r w:rsidRPr="00AE0BDA">
        <w:rPr>
          <w:sz w:val="24"/>
          <w:lang w:val="fi-FI"/>
        </w:rPr>
        <w:t>MacIntosh</w:t>
      </w:r>
      <w:proofErr w:type="spellEnd"/>
      <w:r w:rsidRPr="00AE0BDA">
        <w:rPr>
          <w:sz w:val="24"/>
          <w:lang w:val="fi-FI"/>
        </w:rPr>
        <w:t xml:space="preserve">, S.C., </w:t>
      </w:r>
      <w:proofErr w:type="spellStart"/>
      <w:r w:rsidRPr="00AE0BDA">
        <w:rPr>
          <w:sz w:val="24"/>
          <w:lang w:val="fi-FI"/>
        </w:rPr>
        <w:t>Kishore</w:t>
      </w:r>
      <w:proofErr w:type="spellEnd"/>
      <w:r w:rsidRPr="00AE0BDA">
        <w:rPr>
          <w:sz w:val="24"/>
          <w:lang w:val="fi-FI"/>
        </w:rPr>
        <w:t xml:space="preserve">, G.M., </w:t>
      </w:r>
      <w:proofErr w:type="spellStart"/>
      <w:r w:rsidRPr="00AE0BDA">
        <w:rPr>
          <w:sz w:val="24"/>
          <w:lang w:val="fi-FI"/>
        </w:rPr>
        <w:t>Perlak</w:t>
      </w:r>
      <w:proofErr w:type="spellEnd"/>
      <w:r w:rsidRPr="00AE0BDA">
        <w:rPr>
          <w:sz w:val="24"/>
          <w:lang w:val="fi-FI"/>
        </w:rPr>
        <w:t xml:space="preserve">, F.J., </w:t>
      </w:r>
      <w:proofErr w:type="spellStart"/>
      <w:r w:rsidRPr="00AE0BDA">
        <w:rPr>
          <w:sz w:val="24"/>
          <w:lang w:val="fi-FI"/>
        </w:rPr>
        <w:t>Marrone</w:t>
      </w:r>
      <w:proofErr w:type="spellEnd"/>
      <w:r w:rsidRPr="00AE0BDA">
        <w:rPr>
          <w:sz w:val="24"/>
          <w:lang w:val="fi-FI"/>
        </w:rPr>
        <w:t xml:space="preserve">, P.G., Stone, T.B., </w:t>
      </w:r>
      <w:proofErr w:type="spellStart"/>
      <w:r w:rsidRPr="00AE0BDA">
        <w:rPr>
          <w:sz w:val="24"/>
          <w:lang w:val="fi-FI"/>
        </w:rPr>
        <w:t>Sims</w:t>
      </w:r>
      <w:proofErr w:type="spellEnd"/>
      <w:r w:rsidRPr="00AE0BDA">
        <w:rPr>
          <w:sz w:val="24"/>
          <w:lang w:val="fi-FI"/>
        </w:rPr>
        <w:t xml:space="preserve">, S.R., </w:t>
      </w:r>
      <w:proofErr w:type="spellStart"/>
      <w:r w:rsidRPr="00AE0BDA">
        <w:rPr>
          <w:sz w:val="24"/>
          <w:lang w:val="fi-FI"/>
        </w:rPr>
        <w:t>Fuchs</w:t>
      </w:r>
      <w:proofErr w:type="spellEnd"/>
      <w:r w:rsidRPr="00AE0BDA">
        <w:rPr>
          <w:sz w:val="24"/>
          <w:lang w:val="fi-FI"/>
        </w:rPr>
        <w:t>, R.L., ”</w:t>
      </w:r>
      <w:proofErr w:type="spellStart"/>
      <w:r w:rsidRPr="00AE0BDA">
        <w:rPr>
          <w:sz w:val="24"/>
          <w:lang w:val="fi-FI"/>
        </w:rPr>
        <w:t>Potentiation</w:t>
      </w:r>
      <w:proofErr w:type="spellEnd"/>
      <w:r w:rsidRPr="00AE0BDA">
        <w:rPr>
          <w:sz w:val="24"/>
          <w:lang w:val="fi-FI"/>
        </w:rPr>
        <w:t xml:space="preserve"> of </w:t>
      </w:r>
      <w:proofErr w:type="spellStart"/>
      <w:r w:rsidRPr="00AE0BDA">
        <w:rPr>
          <w:i/>
          <w:sz w:val="24"/>
          <w:lang w:val="fi-FI"/>
        </w:rPr>
        <w:t>Bacillus</w:t>
      </w:r>
      <w:proofErr w:type="spellEnd"/>
      <w:r w:rsidRPr="00AE0BDA">
        <w:rPr>
          <w:i/>
          <w:sz w:val="24"/>
          <w:lang w:val="fi-FI"/>
        </w:rPr>
        <w:t xml:space="preserve"> </w:t>
      </w:r>
      <w:proofErr w:type="spellStart"/>
      <w:r w:rsidRPr="00AE0BDA">
        <w:rPr>
          <w:i/>
          <w:sz w:val="24"/>
          <w:lang w:val="fi-FI"/>
        </w:rPr>
        <w:t>thuringiensis</w:t>
      </w:r>
      <w:proofErr w:type="spellEnd"/>
      <w:r w:rsidRPr="00AE0BDA">
        <w:rPr>
          <w:sz w:val="24"/>
          <w:lang w:val="fi-FI"/>
        </w:rPr>
        <w:t> </w:t>
      </w:r>
      <w:proofErr w:type="spellStart"/>
      <w:r w:rsidRPr="00AE0BDA">
        <w:rPr>
          <w:sz w:val="24"/>
          <w:lang w:val="fi-FI"/>
        </w:rPr>
        <w:t>insecticidal</w:t>
      </w:r>
      <w:proofErr w:type="spellEnd"/>
      <w:r w:rsidRPr="00AE0BDA">
        <w:rPr>
          <w:sz w:val="24"/>
          <w:lang w:val="fi-FI"/>
        </w:rPr>
        <w:t xml:space="preserve"> </w:t>
      </w:r>
      <w:proofErr w:type="spellStart"/>
      <w:r w:rsidRPr="00AE0BDA">
        <w:rPr>
          <w:sz w:val="24"/>
          <w:lang w:val="fi-FI"/>
        </w:rPr>
        <w:t>activity</w:t>
      </w:r>
      <w:proofErr w:type="spellEnd"/>
      <w:r w:rsidRPr="00AE0BDA">
        <w:rPr>
          <w:sz w:val="24"/>
          <w:lang w:val="fi-FI"/>
        </w:rPr>
        <w:t xml:space="preserve"> </w:t>
      </w:r>
      <w:proofErr w:type="spellStart"/>
      <w:r w:rsidRPr="00AE0BDA">
        <w:rPr>
          <w:sz w:val="24"/>
          <w:lang w:val="fi-FI"/>
        </w:rPr>
        <w:t>by</w:t>
      </w:r>
      <w:proofErr w:type="spellEnd"/>
      <w:r w:rsidRPr="00AE0BDA">
        <w:rPr>
          <w:sz w:val="24"/>
          <w:lang w:val="fi-FI"/>
        </w:rPr>
        <w:t xml:space="preserve"> </w:t>
      </w:r>
      <w:proofErr w:type="spellStart"/>
      <w:r w:rsidRPr="00AE0BDA">
        <w:rPr>
          <w:sz w:val="24"/>
          <w:lang w:val="fi-FI"/>
        </w:rPr>
        <w:t>serine</w:t>
      </w:r>
      <w:proofErr w:type="spellEnd"/>
      <w:r w:rsidRPr="00AE0BDA">
        <w:rPr>
          <w:sz w:val="24"/>
          <w:lang w:val="fi-FI"/>
        </w:rPr>
        <w:t xml:space="preserve"> </w:t>
      </w:r>
      <w:proofErr w:type="spellStart"/>
      <w:r w:rsidRPr="00AE0BDA">
        <w:rPr>
          <w:sz w:val="24"/>
          <w:lang w:val="fi-FI"/>
        </w:rPr>
        <w:t>protease</w:t>
      </w:r>
      <w:proofErr w:type="spellEnd"/>
      <w:r w:rsidRPr="00AE0BDA">
        <w:rPr>
          <w:sz w:val="24"/>
          <w:lang w:val="fi-FI"/>
        </w:rPr>
        <w:t xml:space="preserve"> </w:t>
      </w:r>
      <w:proofErr w:type="spellStart"/>
      <w:r w:rsidRPr="00AE0BDA">
        <w:rPr>
          <w:sz w:val="24"/>
          <w:lang w:val="fi-FI"/>
        </w:rPr>
        <w:t>inhibitors</w:t>
      </w:r>
      <w:proofErr w:type="spellEnd"/>
      <w:r w:rsidRPr="00AE0BDA">
        <w:rPr>
          <w:sz w:val="24"/>
          <w:lang w:val="fi-FI"/>
        </w:rPr>
        <w:t xml:space="preserve">”, Journal of Agricultural and Food </w:t>
      </w:r>
      <w:proofErr w:type="spellStart"/>
      <w:r w:rsidRPr="00AE0BDA">
        <w:rPr>
          <w:sz w:val="24"/>
          <w:lang w:val="fi-FI"/>
        </w:rPr>
        <w:t>Chemistry</w:t>
      </w:r>
      <w:proofErr w:type="spellEnd"/>
      <w:r w:rsidRPr="00AE0BDA">
        <w:rPr>
          <w:sz w:val="24"/>
          <w:lang w:val="fi-FI"/>
        </w:rPr>
        <w:t xml:space="preserve">, 1990, 38,4, s. 1145–1152, </w:t>
      </w:r>
      <w:hyperlink r:id="rId4" w:history="1">
        <w:r w:rsidRPr="00AE0BDA">
          <w:rPr>
            <w:rStyle w:val="Hyperlink"/>
            <w:sz w:val="24"/>
            <w:lang w:val="fi-FI"/>
          </w:rPr>
          <w:t>https://pubs.acs.org/doi/abs/10.1021/jf00094a051</w:t>
        </w:r>
      </w:hyperlink>
      <w:r w:rsidRPr="00AE0BDA">
        <w:rPr>
          <w:sz w:val="24"/>
          <w:lang w:val="fi-FI"/>
        </w:rPr>
        <w:t>.</w:t>
      </w:r>
    </w:p>
  </w:footnote>
  <w:footnote w:id="7">
    <w:p w:rsidR="00CE3542" w:rsidRPr="004D5FAC" w:rsidRDefault="00CE3542" w:rsidP="00AE0BDA">
      <w:pPr>
        <w:pStyle w:val="FootnoteText"/>
        <w:ind w:left="567" w:hanging="567"/>
        <w:rPr>
          <w:sz w:val="24"/>
          <w:lang w:val="en-GB"/>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r w:rsidRPr="00AE0BDA">
        <w:rPr>
          <w:sz w:val="24"/>
          <w:lang w:val="fi-FI"/>
        </w:rPr>
        <w:t xml:space="preserve">Katsaus aiheeseen, ks. </w:t>
      </w:r>
      <w:r w:rsidRPr="004D5FAC">
        <w:rPr>
          <w:sz w:val="24"/>
          <w:lang w:val="en-GB"/>
        </w:rPr>
        <w:t>Rubio-</w:t>
      </w:r>
      <w:proofErr w:type="spellStart"/>
      <w:r w:rsidRPr="004D5FAC">
        <w:rPr>
          <w:sz w:val="24"/>
          <w:lang w:val="en-GB"/>
        </w:rPr>
        <w:t>Infante</w:t>
      </w:r>
      <w:proofErr w:type="spellEnd"/>
      <w:r w:rsidRPr="004D5FAC">
        <w:rPr>
          <w:sz w:val="24"/>
          <w:lang w:val="en-GB"/>
        </w:rPr>
        <w:t>, N., Moreno-</w:t>
      </w:r>
      <w:proofErr w:type="spellStart"/>
      <w:r w:rsidRPr="004D5FAC">
        <w:rPr>
          <w:sz w:val="24"/>
          <w:lang w:val="en-GB"/>
        </w:rPr>
        <w:t>Fierros</w:t>
      </w:r>
      <w:proofErr w:type="spellEnd"/>
      <w:r w:rsidRPr="004D5FAC">
        <w:rPr>
          <w:sz w:val="24"/>
          <w:lang w:val="en-GB"/>
        </w:rPr>
        <w:t>, L., ”An overview of the safety and biological effects of </w:t>
      </w:r>
      <w:r w:rsidRPr="004D5FAC">
        <w:rPr>
          <w:i/>
          <w:sz w:val="24"/>
          <w:lang w:val="en-GB"/>
        </w:rPr>
        <w:t xml:space="preserve">Bacillus </w:t>
      </w:r>
      <w:proofErr w:type="spellStart"/>
      <w:r w:rsidRPr="004D5FAC">
        <w:rPr>
          <w:i/>
          <w:sz w:val="24"/>
          <w:lang w:val="en-GB"/>
        </w:rPr>
        <w:t>thuringiensis</w:t>
      </w:r>
      <w:proofErr w:type="spellEnd"/>
      <w:r w:rsidRPr="004D5FAC">
        <w:rPr>
          <w:sz w:val="24"/>
          <w:lang w:val="en-GB"/>
        </w:rPr>
        <w:t xml:space="preserve"> Cry toxins in mammals”, Journal of Applied Toxicology, </w:t>
      </w:r>
      <w:proofErr w:type="spellStart"/>
      <w:r w:rsidRPr="004D5FAC">
        <w:rPr>
          <w:sz w:val="24"/>
          <w:lang w:val="en-GB"/>
        </w:rPr>
        <w:t>toukokuu</w:t>
      </w:r>
      <w:proofErr w:type="spellEnd"/>
      <w:r w:rsidRPr="004D5FAC">
        <w:rPr>
          <w:sz w:val="24"/>
          <w:lang w:val="en-GB"/>
        </w:rPr>
        <w:t xml:space="preserve"> 2016, 36,5, s. 630–648, </w:t>
      </w:r>
      <w:hyperlink r:id="rId5" w:history="1">
        <w:r w:rsidRPr="004D5FAC">
          <w:rPr>
            <w:rStyle w:val="Hyperlink"/>
            <w:sz w:val="24"/>
            <w:lang w:val="en-GB"/>
          </w:rPr>
          <w:t>https://onlinelibrary.wiley.com/doi/full/10.1002/jat.3252</w:t>
        </w:r>
      </w:hyperlink>
      <w:r w:rsidRPr="004D5FAC">
        <w:rPr>
          <w:sz w:val="24"/>
          <w:lang w:val="en-GB"/>
        </w:rPr>
        <w:t>.</w:t>
      </w:r>
    </w:p>
  </w:footnote>
  <w:footnote w:id="8">
    <w:p w:rsidR="00CE3542" w:rsidRPr="008961AB" w:rsidRDefault="00CE3542" w:rsidP="00AE0BDA">
      <w:pPr>
        <w:pStyle w:val="FootnoteText"/>
        <w:ind w:left="567" w:hanging="567"/>
        <w:rPr>
          <w:sz w:val="24"/>
          <w:lang w:val="en-GB"/>
        </w:rPr>
      </w:pPr>
      <w:r w:rsidRPr="00AE0BDA">
        <w:rPr>
          <w:rStyle w:val="FootnoteReference"/>
          <w:sz w:val="24"/>
          <w:lang w:val="fi-FI"/>
        </w:rPr>
        <w:footnoteRef/>
      </w:r>
      <w:r w:rsidR="00AE0BDA" w:rsidRPr="008961AB">
        <w:rPr>
          <w:sz w:val="24"/>
          <w:lang w:val="en-GB"/>
        </w:rPr>
        <w:t xml:space="preserve"> </w:t>
      </w:r>
      <w:r w:rsidR="00AE0BDA" w:rsidRPr="008961AB">
        <w:rPr>
          <w:sz w:val="24"/>
          <w:lang w:val="en-GB"/>
        </w:rPr>
        <w:tab/>
      </w:r>
      <w:r w:rsidRPr="008961AB">
        <w:rPr>
          <w:sz w:val="24"/>
          <w:lang w:val="en-GB"/>
        </w:rPr>
        <w:t xml:space="preserve">Ks. </w:t>
      </w:r>
      <w:proofErr w:type="spellStart"/>
      <w:r w:rsidRPr="008961AB">
        <w:rPr>
          <w:sz w:val="24"/>
          <w:lang w:val="en-GB"/>
        </w:rPr>
        <w:t>esim</w:t>
      </w:r>
      <w:proofErr w:type="spellEnd"/>
      <w:r w:rsidRPr="008961AB">
        <w:rPr>
          <w:sz w:val="24"/>
          <w:lang w:val="en-GB"/>
        </w:rPr>
        <w:t xml:space="preserve">. </w:t>
      </w:r>
      <w:proofErr w:type="spellStart"/>
      <w:r w:rsidRPr="008961AB">
        <w:rPr>
          <w:sz w:val="24"/>
          <w:lang w:val="en-GB"/>
        </w:rPr>
        <w:t>Hilbeck</w:t>
      </w:r>
      <w:proofErr w:type="spellEnd"/>
      <w:r w:rsidRPr="008961AB">
        <w:rPr>
          <w:sz w:val="24"/>
          <w:lang w:val="en-GB"/>
        </w:rPr>
        <w:t>, A., Otto, M.</w:t>
      </w:r>
      <w:proofErr w:type="gramStart"/>
      <w:r w:rsidRPr="008961AB">
        <w:rPr>
          <w:sz w:val="24"/>
          <w:lang w:val="en-GB"/>
        </w:rPr>
        <w:t>, ”</w:t>
      </w:r>
      <w:proofErr w:type="gramEnd"/>
      <w:r w:rsidRPr="008961AB">
        <w:rPr>
          <w:sz w:val="24"/>
          <w:lang w:val="en-GB"/>
        </w:rPr>
        <w:t>Specificity and combinatorial effects of </w:t>
      </w:r>
      <w:r w:rsidRPr="008961AB">
        <w:rPr>
          <w:i/>
          <w:sz w:val="24"/>
          <w:lang w:val="en-GB"/>
        </w:rPr>
        <w:t xml:space="preserve">Bacillus </w:t>
      </w:r>
      <w:proofErr w:type="spellStart"/>
      <w:r w:rsidRPr="008961AB">
        <w:rPr>
          <w:i/>
          <w:sz w:val="24"/>
          <w:lang w:val="en-GB"/>
        </w:rPr>
        <w:t>thuringiensis</w:t>
      </w:r>
      <w:proofErr w:type="spellEnd"/>
      <w:r w:rsidRPr="008961AB">
        <w:rPr>
          <w:sz w:val="24"/>
          <w:lang w:val="en-GB"/>
        </w:rPr>
        <w:t xml:space="preserve"> Cry toxins in the context of GMO environmental risk assessment”, Frontiers in Environmental Science 2015, 3:71, </w:t>
      </w:r>
      <w:hyperlink r:id="rId6" w:history="1">
        <w:r w:rsidRPr="008961AB">
          <w:rPr>
            <w:rStyle w:val="Hyperlink"/>
            <w:sz w:val="24"/>
            <w:lang w:val="en-GB"/>
          </w:rPr>
          <w:t>https://doi.org/10.3389/fenvs.2015.00071</w:t>
        </w:r>
      </w:hyperlink>
      <w:r w:rsidRPr="008961AB">
        <w:rPr>
          <w:sz w:val="24"/>
          <w:lang w:val="en-GB"/>
        </w:rPr>
        <w:t>.</w:t>
      </w:r>
    </w:p>
  </w:footnote>
  <w:footnote w:id="9">
    <w:p w:rsidR="00CE3542" w:rsidRPr="008961AB" w:rsidRDefault="00CE3542" w:rsidP="00AE0BDA">
      <w:pPr>
        <w:pStyle w:val="FootnoteText"/>
        <w:ind w:left="567" w:hanging="567"/>
        <w:rPr>
          <w:sz w:val="24"/>
          <w:lang w:val="en-GB"/>
        </w:rPr>
      </w:pPr>
      <w:r w:rsidRPr="00AE0BDA">
        <w:rPr>
          <w:rStyle w:val="FootnoteReference"/>
          <w:sz w:val="24"/>
          <w:lang w:val="fi-FI"/>
        </w:rPr>
        <w:footnoteRef/>
      </w:r>
      <w:r w:rsidR="00AE0BDA" w:rsidRPr="008961AB">
        <w:rPr>
          <w:sz w:val="24"/>
          <w:lang w:val="en-GB"/>
        </w:rPr>
        <w:t xml:space="preserve"> </w:t>
      </w:r>
      <w:r w:rsidR="00AE0BDA" w:rsidRPr="008961AB">
        <w:rPr>
          <w:sz w:val="24"/>
          <w:lang w:val="en-GB"/>
        </w:rPr>
        <w:tab/>
      </w:r>
      <w:proofErr w:type="spellStart"/>
      <w:r w:rsidRPr="008961AB">
        <w:rPr>
          <w:sz w:val="24"/>
          <w:lang w:val="en-GB"/>
        </w:rPr>
        <w:t>Hilbeck</w:t>
      </w:r>
      <w:proofErr w:type="spellEnd"/>
      <w:r w:rsidRPr="008961AB">
        <w:rPr>
          <w:sz w:val="24"/>
          <w:lang w:val="en-GB"/>
        </w:rPr>
        <w:t xml:space="preserve">, A., </w:t>
      </w:r>
      <w:proofErr w:type="spellStart"/>
      <w:r w:rsidRPr="008961AB">
        <w:rPr>
          <w:sz w:val="24"/>
          <w:lang w:val="en-GB"/>
        </w:rPr>
        <w:t>Defarge</w:t>
      </w:r>
      <w:proofErr w:type="spellEnd"/>
      <w:r w:rsidRPr="008961AB">
        <w:rPr>
          <w:sz w:val="24"/>
          <w:lang w:val="en-GB"/>
        </w:rPr>
        <w:t xml:space="preserve">, N., </w:t>
      </w:r>
      <w:proofErr w:type="spellStart"/>
      <w:r w:rsidRPr="008961AB">
        <w:rPr>
          <w:sz w:val="24"/>
          <w:lang w:val="en-GB"/>
        </w:rPr>
        <w:t>Lebrecht</w:t>
      </w:r>
      <w:proofErr w:type="spellEnd"/>
      <w:r w:rsidRPr="008961AB">
        <w:rPr>
          <w:sz w:val="24"/>
          <w:lang w:val="en-GB"/>
        </w:rPr>
        <w:t xml:space="preserve">, T., </w:t>
      </w:r>
      <w:proofErr w:type="spellStart"/>
      <w:r w:rsidRPr="008961AB">
        <w:rPr>
          <w:sz w:val="24"/>
          <w:lang w:val="en-GB"/>
        </w:rPr>
        <w:t>Bøhn</w:t>
      </w:r>
      <w:proofErr w:type="spellEnd"/>
      <w:r w:rsidRPr="008961AB">
        <w:rPr>
          <w:sz w:val="24"/>
          <w:lang w:val="en-GB"/>
        </w:rPr>
        <w:t>, T.</w:t>
      </w:r>
      <w:proofErr w:type="gramStart"/>
      <w:r w:rsidRPr="008961AB">
        <w:rPr>
          <w:sz w:val="24"/>
          <w:lang w:val="en-GB"/>
        </w:rPr>
        <w:t>, ”</w:t>
      </w:r>
      <w:proofErr w:type="gramEnd"/>
      <w:r w:rsidRPr="008961AB">
        <w:rPr>
          <w:sz w:val="24"/>
          <w:lang w:val="en-GB"/>
        </w:rPr>
        <w:t xml:space="preserve">Insecticidal </w:t>
      </w:r>
      <w:proofErr w:type="spellStart"/>
      <w:r w:rsidRPr="008961AB">
        <w:rPr>
          <w:sz w:val="24"/>
          <w:lang w:val="en-GB"/>
        </w:rPr>
        <w:t>Bt</w:t>
      </w:r>
      <w:proofErr w:type="spellEnd"/>
      <w:r w:rsidRPr="008961AB">
        <w:rPr>
          <w:sz w:val="24"/>
          <w:lang w:val="en-GB"/>
        </w:rPr>
        <w:t xml:space="preserve"> crops. EFSA’s risk assessment approach for GM </w:t>
      </w:r>
      <w:proofErr w:type="spellStart"/>
      <w:r w:rsidRPr="008961AB">
        <w:rPr>
          <w:sz w:val="24"/>
          <w:lang w:val="en-GB"/>
        </w:rPr>
        <w:t>Bt</w:t>
      </w:r>
      <w:proofErr w:type="spellEnd"/>
      <w:r w:rsidRPr="008961AB">
        <w:rPr>
          <w:sz w:val="24"/>
          <w:lang w:val="en-GB"/>
        </w:rPr>
        <w:t xml:space="preserve"> plants fails by design”, RAGES 2020, s. </w:t>
      </w:r>
      <w:proofErr w:type="gramStart"/>
      <w:r w:rsidRPr="008961AB">
        <w:rPr>
          <w:sz w:val="24"/>
          <w:lang w:val="en-GB"/>
        </w:rPr>
        <w:t>4</w:t>
      </w:r>
      <w:proofErr w:type="gramEnd"/>
      <w:r w:rsidRPr="008961AB">
        <w:rPr>
          <w:sz w:val="24"/>
          <w:lang w:val="en-GB"/>
        </w:rPr>
        <w:t xml:space="preserve">, </w:t>
      </w:r>
      <w:hyperlink r:id="rId7" w:history="1">
        <w:r w:rsidRPr="008961AB">
          <w:rPr>
            <w:rStyle w:val="Hyperlink"/>
            <w:sz w:val="24"/>
            <w:lang w:val="en-GB"/>
          </w:rPr>
          <w:t>https://www.testbiotech.org/wp-content/uploads/2023/12/RAGES_report-Insecticidal-Bt-plants.pdf</w:t>
        </w:r>
      </w:hyperlink>
      <w:r w:rsidRPr="008961AB">
        <w:rPr>
          <w:sz w:val="24"/>
          <w:lang w:val="en-GB"/>
        </w:rPr>
        <w:t>.</w:t>
      </w:r>
      <w:r w:rsidRPr="008961AB">
        <w:rPr>
          <w:rStyle w:val="Hyperlink"/>
          <w:sz w:val="24"/>
          <w:lang w:val="en-GB"/>
        </w:rPr>
        <w:t xml:space="preserve"> </w:t>
      </w:r>
    </w:p>
  </w:footnote>
  <w:footnote w:id="10">
    <w:p w:rsidR="00CE3542" w:rsidRPr="008961AB" w:rsidRDefault="00CE3542" w:rsidP="00AE0BDA">
      <w:pPr>
        <w:pStyle w:val="FootnoteText"/>
        <w:ind w:left="567" w:hanging="567"/>
        <w:rPr>
          <w:sz w:val="24"/>
          <w:lang w:val="en-GB"/>
        </w:rPr>
      </w:pPr>
      <w:r w:rsidRPr="00AE0BDA">
        <w:rPr>
          <w:rStyle w:val="FootnoteReference"/>
          <w:sz w:val="24"/>
          <w:lang w:val="fi-FI"/>
        </w:rPr>
        <w:footnoteRef/>
      </w:r>
      <w:r w:rsidR="00AE0BDA" w:rsidRPr="008961AB">
        <w:rPr>
          <w:sz w:val="24"/>
          <w:lang w:val="en-GB"/>
        </w:rPr>
        <w:t xml:space="preserve"> </w:t>
      </w:r>
      <w:r w:rsidR="00AE0BDA" w:rsidRPr="008961AB">
        <w:rPr>
          <w:sz w:val="24"/>
          <w:lang w:val="en-GB"/>
        </w:rPr>
        <w:tab/>
      </w:r>
      <w:hyperlink r:id="rId8" w:history="1">
        <w:r w:rsidRPr="008961AB">
          <w:rPr>
            <w:rStyle w:val="Hyperlink"/>
            <w:sz w:val="24"/>
            <w:lang w:val="en-GB"/>
          </w:rPr>
          <w:t>https://commission.europa.eu/document/2c64e540-c07a-4376-a1da-368d289f4afe_en</w:t>
        </w:r>
      </w:hyperlink>
    </w:p>
  </w:footnote>
  <w:footnote w:id="11">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r w:rsidRPr="00AE0BDA">
        <w:rPr>
          <w:sz w:val="24"/>
          <w:lang w:val="fi-FI"/>
        </w:rPr>
        <w:t>Euroopan parlamentin ja neuvoston direktiivi 2001/18/EY, annettu 12. maaliskuuta 2001, geneettisesti muunnettujen organismien tarkoituksellisesta levittämisestä ympäristöön ja neuvoston direktiivin 90/220/ETY kumoamisesta (EYVL L 106, 17.4.2001, s. 1, ELI: </w:t>
      </w:r>
      <w:hyperlink r:id="rId9" w:tooltip="Linkki asiakirjaan sen ELI-tunnukseen perustuvan URI-osoitteen kautta." w:history="1">
        <w:r w:rsidRPr="00AE0BDA">
          <w:rPr>
            <w:rStyle w:val="Hyperlink"/>
            <w:sz w:val="24"/>
            <w:lang w:val="fi-FI"/>
          </w:rPr>
          <w:t>http://data.europa.eu/eli/dir/2001/18/oj</w:t>
        </w:r>
      </w:hyperlink>
      <w:r w:rsidRPr="00AE0BDA">
        <w:rPr>
          <w:sz w:val="24"/>
          <w:lang w:val="fi-FI"/>
        </w:rPr>
        <w:t>).</w:t>
      </w:r>
    </w:p>
  </w:footnote>
  <w:footnote w:id="12">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r w:rsidRPr="00AE0BDA">
        <w:rPr>
          <w:sz w:val="24"/>
          <w:lang w:val="fi-FI"/>
        </w:rPr>
        <w:t>Komission täytäntöönpanoasetus (EU) N:o 503/2013, annettu 3. huhtikuuta 2013, Euroopan parlamentin ja neuvoston asetuksen (EY) N:o 1829/2003 mukaisista muuntogeenisten elintarvikkeiden ja rehujen lupahakemuksista sekä komission asetusten (EY) N:o 641/2004 ja (EY) N:o 1981/2006 muuttamisesta (EUVL L 157, 8.6.2013, s. 1, ELI: </w:t>
      </w:r>
      <w:hyperlink r:id="rId10" w:tooltip="Linkki asiakirjaan sen ELI-tunnukseen perustuvan URI-osoitteen kautta." w:history="1">
        <w:r w:rsidRPr="00AE0BDA">
          <w:rPr>
            <w:rStyle w:val="Hyperlink"/>
            <w:sz w:val="24"/>
            <w:lang w:val="fi-FI"/>
          </w:rPr>
          <w:t>http://data.europa.eu/eli/reg_impl/2013/503/oj</w:t>
        </w:r>
      </w:hyperlink>
      <w:r w:rsidRPr="00AE0BDA">
        <w:rPr>
          <w:sz w:val="24"/>
          <w:lang w:val="fi-FI"/>
        </w:rPr>
        <w:t>).</w:t>
      </w:r>
    </w:p>
  </w:footnote>
  <w:footnote w:id="13">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r w:rsidRPr="00AE0BDA">
        <w:rPr>
          <w:sz w:val="24"/>
          <w:lang w:val="fi-FI"/>
        </w:rPr>
        <w:t xml:space="preserve">Euroopan parlamentin päätöslauselma 11. marraskuuta 2020 ehdotuksesta komission täytäntöönpanopäätökseksi muuntogeenistä maissia MON 87427 × MON 87460 × MON 89034 × MIR162 × NK603 ja muunnostapahtumista MON 87427, MON 87460, MON 89034, MIR162 ja NK603 kahta, kolmea tai neljää yhdistelemällä aikaansaatua muuntogeenistä maissia sisältävien, siitä koostuvien tai siitä valmistettujen tuotteiden markkinoille saattamisen sallimisesta Euroopan parlamentin ja neuvoston asetuksen (EY) N:o 1829/2003 mukaisesti (EUVL C 415, 13.10.2021, s. 15). </w:t>
      </w:r>
    </w:p>
  </w:footnote>
  <w:footnote w:id="14">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hyperlink r:id="rId11" w:history="1">
        <w:r w:rsidRPr="00AE0BDA">
          <w:rPr>
            <w:rStyle w:val="Hyperlink"/>
            <w:sz w:val="24"/>
            <w:lang w:val="fi-FI"/>
          </w:rPr>
          <w:t>https://www.who.int/campaigns/world-amr-awareness-week/2024/amr-is-invisible-i-am-not</w:t>
        </w:r>
      </w:hyperlink>
    </w:p>
  </w:footnote>
  <w:footnote w:id="15">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hyperlink r:id="rId12" w:history="1">
        <w:r w:rsidR="008961AB" w:rsidRPr="008B0FBB">
          <w:rPr>
            <w:rStyle w:val="Hyperlink"/>
            <w:sz w:val="24"/>
            <w:lang w:val="fi-FI"/>
          </w:rPr>
          <w:t>https://efsa.onlinelibrary.wiley.com/action/downloadSupplement?</w:t>
        </w:r>
        <w:r w:rsidR="008961AB" w:rsidRPr="008B0FBB">
          <w:rPr>
            <w:rStyle w:val="Hyperlink"/>
            <w:sz w:val="24"/>
            <w:lang w:val="fi-FI"/>
          </w:rPr>
          <w:br/>
          <w:t>doi=10.2903%2Fj.efsa.2023.8031&amp;file=efs28031-sup-0008-Annex8.pdf</w:t>
        </w:r>
      </w:hyperlink>
      <w:r w:rsidRPr="00AE0BDA">
        <w:rPr>
          <w:sz w:val="24"/>
          <w:lang w:val="fi-FI"/>
        </w:rPr>
        <w:t>.</w:t>
      </w:r>
    </w:p>
  </w:footnote>
  <w:footnote w:id="16">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r w:rsidRPr="00AE0BDA">
        <w:rPr>
          <w:sz w:val="24"/>
          <w:lang w:val="fi-FI"/>
        </w:rPr>
        <w:t xml:space="preserve">Asetuksen (EU) </w:t>
      </w:r>
      <w:proofErr w:type="gramStart"/>
      <w:r w:rsidRPr="00AE0BDA">
        <w:rPr>
          <w:sz w:val="24"/>
          <w:lang w:val="fi-FI"/>
        </w:rPr>
        <w:t>N:o</w:t>
      </w:r>
      <w:proofErr w:type="gramEnd"/>
      <w:r w:rsidRPr="00AE0BDA">
        <w:rPr>
          <w:sz w:val="24"/>
          <w:lang w:val="fi-FI"/>
        </w:rPr>
        <w:t> 182/2011 6 artiklan 3 kohdan mukaisesti komissio ”voi hyväksyä” luvan – eikä ”hyväksyy” luvan – jos jäsenvaltiot eivät muutoksenhakukomiteassa anna määräenemmistöllä puoltavaa lausuntoa.</w:t>
      </w:r>
    </w:p>
  </w:footnote>
  <w:footnote w:id="17">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r w:rsidRPr="00AE0BDA">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13" w:tooltip="Linkki asiakirjaan sen ELI-tunnukseen perustuvan URI-osoitteen kautta." w:history="1">
        <w:r w:rsidRPr="00AE0BDA">
          <w:rPr>
            <w:rStyle w:val="Hyperlink"/>
            <w:sz w:val="24"/>
            <w:lang w:val="fi-FI"/>
          </w:rPr>
          <w:t>http://data.europa.eu/eli/reg/2002/178/oj</w:t>
        </w:r>
      </w:hyperlink>
      <w:r w:rsidRPr="00AE0BDA">
        <w:rPr>
          <w:sz w:val="24"/>
          <w:lang w:val="fi-FI"/>
        </w:rPr>
        <w:t>).</w:t>
      </w:r>
    </w:p>
  </w:footnote>
  <w:footnote w:id="18">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hyperlink r:id="rId14" w:history="1">
        <w:r w:rsidRPr="00AE0BDA">
          <w:rPr>
            <w:rStyle w:val="Hyperlink"/>
            <w:sz w:val="24"/>
            <w:lang w:val="fi-FI"/>
          </w:rPr>
          <w:t>https://tillymetz.lu/wp-content/uploads/2020/09/Co-signed-letter-MEP-Metz.pdf</w:t>
        </w:r>
      </w:hyperlink>
      <w:r w:rsidRPr="00AE0BDA">
        <w:rPr>
          <w:rStyle w:val="Hyperlink"/>
          <w:sz w:val="24"/>
          <w:lang w:val="fi-FI"/>
        </w:rPr>
        <w:t>.</w:t>
      </w:r>
    </w:p>
  </w:footnote>
  <w:footnote w:id="19">
    <w:p w:rsidR="00CE3542" w:rsidRPr="00AE0BDA" w:rsidRDefault="00CE3542" w:rsidP="00AE0BDA">
      <w:pPr>
        <w:pStyle w:val="FootnoteText"/>
        <w:ind w:left="567" w:hanging="567"/>
        <w:rPr>
          <w:sz w:val="24"/>
          <w:lang w:val="fi-FI"/>
        </w:rPr>
      </w:pPr>
      <w:r w:rsidRPr="00AE0BDA">
        <w:rPr>
          <w:rStyle w:val="FootnoteReference"/>
          <w:sz w:val="24"/>
          <w:lang w:val="fi-FI"/>
        </w:rPr>
        <w:footnoteRef/>
      </w:r>
      <w:r w:rsidR="00AE0BDA" w:rsidRPr="00AE0BDA">
        <w:rPr>
          <w:sz w:val="24"/>
          <w:lang w:val="fi-FI"/>
        </w:rPr>
        <w:t xml:space="preserve"> </w:t>
      </w:r>
      <w:r w:rsidR="00AE0BDA" w:rsidRPr="00AE0BDA">
        <w:rPr>
          <w:sz w:val="24"/>
          <w:lang w:val="fi-FI"/>
        </w:rPr>
        <w:tab/>
      </w:r>
      <w:r w:rsidRPr="00AE0BDA">
        <w:rPr>
          <w:sz w:val="24"/>
          <w:lang w:val="fi-FI"/>
        </w:rPr>
        <w:t>Euroopan parlamentin päätöslauselma 15. tammikuuta 2020 Euroopan vihreän kehityksen ohjelmasta (EUVL C 270, 7.7.2021, s. 2), 102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FI"/>
    <w:docVar w:name="dvnumam" w:val="0"/>
    <w:docVar w:name="dvpe" w:val="764.959"/>
    <w:docVar w:name="dvtitre" w:val="Euroopan parlamentin päätöslauselma 26. marraskuuta 2024 ehdotuksesta komission täytäntöönpanopäätökseksi luvan myöntämisestä muuntogeenistä puuvillaa COT102 sisältävien, siitä koostuvien tai siitä valmistettujen tuotteiden markkinoille saattamiseen Euroopan parlamentin ja neuvoston asetuksen (EY) N:o 1829/2003 mukaisesti(D098499/04 – 2024/2835(RSP))"/>
  </w:docVars>
  <w:rsids>
    <w:rsidRoot w:val="00616305"/>
    <w:rsid w:val="00002272"/>
    <w:rsid w:val="00064002"/>
    <w:rsid w:val="000677B9"/>
    <w:rsid w:val="0007714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5FAC"/>
    <w:rsid w:val="0050519A"/>
    <w:rsid w:val="005072A1"/>
    <w:rsid w:val="00514517"/>
    <w:rsid w:val="00545827"/>
    <w:rsid w:val="00560270"/>
    <w:rsid w:val="005C2568"/>
    <w:rsid w:val="005F1B17"/>
    <w:rsid w:val="006037C0"/>
    <w:rsid w:val="0061630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1AB"/>
    <w:rsid w:val="008C2AC6"/>
    <w:rsid w:val="00930C23"/>
    <w:rsid w:val="0093193B"/>
    <w:rsid w:val="009509D8"/>
    <w:rsid w:val="00950B64"/>
    <w:rsid w:val="00981893"/>
    <w:rsid w:val="00A1687D"/>
    <w:rsid w:val="00A43E52"/>
    <w:rsid w:val="00A4678D"/>
    <w:rsid w:val="00A778C7"/>
    <w:rsid w:val="00A91656"/>
    <w:rsid w:val="00AB441E"/>
    <w:rsid w:val="00AB6293"/>
    <w:rsid w:val="00AE0928"/>
    <w:rsid w:val="00AE0BDA"/>
    <w:rsid w:val="00AF3B82"/>
    <w:rsid w:val="00B12E95"/>
    <w:rsid w:val="00B22876"/>
    <w:rsid w:val="00B558F0"/>
    <w:rsid w:val="00BD48FE"/>
    <w:rsid w:val="00BD7BD8"/>
    <w:rsid w:val="00BE6ADC"/>
    <w:rsid w:val="00C05BFE"/>
    <w:rsid w:val="00C23CD4"/>
    <w:rsid w:val="00C61C0C"/>
    <w:rsid w:val="00C941CB"/>
    <w:rsid w:val="00CC2357"/>
    <w:rsid w:val="00CC6658"/>
    <w:rsid w:val="00CE354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FBA6E"/>
  <w15:chartTrackingRefBased/>
  <w15:docId w15:val="{8E359BC5-BE43-41A6-8B7C-0BC831C1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665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E3542"/>
    <w:pPr>
      <w:spacing w:before="480" w:after="240"/>
    </w:pPr>
  </w:style>
  <w:style w:type="paragraph" w:customStyle="1" w:styleId="NormalHanging12a">
    <w:name w:val="NormalHanging12a"/>
    <w:basedOn w:val="Normal"/>
    <w:rsid w:val="00CE3542"/>
    <w:pPr>
      <w:spacing w:after="240"/>
      <w:ind w:left="567" w:hanging="567"/>
    </w:pPr>
  </w:style>
  <w:style w:type="character" w:styleId="Hyperlink">
    <w:name w:val="Hyperlink"/>
    <w:basedOn w:val="DefaultParagraphFont"/>
    <w:rsid w:val="00CE3542"/>
    <w:rPr>
      <w:color w:val="0563C1" w:themeColor="hyperlink"/>
      <w:u w:val="single"/>
    </w:rPr>
  </w:style>
  <w:style w:type="paragraph" w:styleId="Footer">
    <w:name w:val="footer"/>
    <w:basedOn w:val="Normal"/>
    <w:link w:val="FooterChar"/>
    <w:rsid w:val="00CC6658"/>
    <w:pPr>
      <w:tabs>
        <w:tab w:val="center" w:pos="4513"/>
        <w:tab w:val="right" w:pos="9026"/>
      </w:tabs>
    </w:pPr>
  </w:style>
  <w:style w:type="character" w:customStyle="1" w:styleId="FooterChar">
    <w:name w:val="Footer Char"/>
    <w:basedOn w:val="DefaultParagraphFont"/>
    <w:link w:val="Footer"/>
    <w:rsid w:val="00CC665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2c64e540-c07a-4376-a1da-368d289f4afe_en" TargetMode="External"/><Relationship Id="rId13" Type="http://schemas.openxmlformats.org/officeDocument/2006/relationships/hyperlink" Target="http://data.europa.eu/eli/reg/2002/178/oj" TargetMode="External"/><Relationship Id="rId3" Type="http://schemas.openxmlformats.org/officeDocument/2006/relationships/hyperlink" Target="https://doi.org/10.2903/j.efsa.2023.8031" TargetMode="External"/><Relationship Id="rId7" Type="http://schemas.openxmlformats.org/officeDocument/2006/relationships/hyperlink" Target="https://www.testbiotech.org/wp-content/uploads/2023/12/RAGES_report-Insecticidal-Bt-plants.pdf" TargetMode="External"/><Relationship Id="rId12" Type="http://schemas.openxmlformats.org/officeDocument/2006/relationships/hyperlink" Target="https://efsa.onlinelibrary.wiley.com/action/downloadSupplement?doi=10.2903%2Fj.efsa.2023.8031&amp;file=efs28031-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3389/fenvs.2015.00071" TargetMode="External"/><Relationship Id="rId11" Type="http://schemas.openxmlformats.org/officeDocument/2006/relationships/hyperlink" Target="https://www.who.int/campaigns/world-amr-awareness-week/2024/amr-is-invisible-i-am-not" TargetMode="External"/><Relationship Id="rId5" Type="http://schemas.openxmlformats.org/officeDocument/2006/relationships/hyperlink" Target="https://onlinelibrary.wiley.com/doi/full/10.1002/jat.3252" TargetMode="External"/><Relationship Id="rId10" Type="http://schemas.openxmlformats.org/officeDocument/2006/relationships/hyperlink" Target="http://data.europa.eu/eli/reg_impl/2013/503/oj" TargetMode="External"/><Relationship Id="rId4" Type="http://schemas.openxmlformats.org/officeDocument/2006/relationships/hyperlink" Target="https://pubs.acs.org/doi/abs/10.1021/jf00094a051" TargetMode="External"/><Relationship Id="rId9" Type="http://schemas.openxmlformats.org/officeDocument/2006/relationships/hyperlink" Target="http://data.europa.eu/eli/dir/2001/18/oj" TargetMode="External"/><Relationship Id="rId14"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C5DC7-5382-4373-82CB-E12BA9D07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1572</Words>
  <Characters>13187</Characters>
  <Application>Microsoft Office Word</Application>
  <DocSecurity>0</DocSecurity>
  <Lines>109</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2024-11-26T10:32:00Z</dcterms:created>
  <dcterms:modified xsi:type="dcterms:W3CDTF">2024-11-26T10:32:00Z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B10-0145/2024</vt:lpwstr>
  </property>
  <property fmtid="{D5CDD505-2E9C-101B-9397-08002B2CF9AE}" pid="4" name="&lt;Type&gt;">
    <vt:lpwstr>RR</vt:lpwstr>
  </property>
</Properties>
</file>