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389B" w:rsidTr="0010095E">
        <w:trPr>
          <w:trHeight w:hRule="exact" w:val="1418"/>
        </w:trPr>
        <w:tc>
          <w:tcPr>
            <w:tcW w:w="6804" w:type="dxa"/>
            <w:shd w:val="clear" w:color="auto" w:fill="auto"/>
            <w:vAlign w:val="center"/>
          </w:tcPr>
          <w:p w:rsidR="00751A4A" w:rsidRPr="00FD389B" w:rsidRDefault="00E12F79" w:rsidP="0010095E">
            <w:pPr>
              <w:pStyle w:val="EPName"/>
            </w:pPr>
            <w:r w:rsidRPr="00FD389B">
              <w:t>Europski parlament</w:t>
            </w:r>
          </w:p>
          <w:p w:rsidR="00751A4A" w:rsidRPr="00FD389B" w:rsidRDefault="005F1B17" w:rsidP="005F1B17">
            <w:pPr>
              <w:pStyle w:val="EPTerm"/>
              <w:rPr>
                <w:rStyle w:val="HideTWBExt"/>
                <w:noProof w:val="0"/>
                <w:vanish w:val="0"/>
                <w:color w:val="auto"/>
              </w:rPr>
            </w:pPr>
            <w:r w:rsidRPr="00FD389B">
              <w:t>2024</w:t>
            </w:r>
            <w:r w:rsidR="00817416" w:rsidRPr="00FD389B">
              <w:t>-202</w:t>
            </w:r>
            <w:r w:rsidRPr="00FD389B">
              <w:t>9</w:t>
            </w:r>
          </w:p>
        </w:tc>
        <w:tc>
          <w:tcPr>
            <w:tcW w:w="2268" w:type="dxa"/>
            <w:shd w:val="clear" w:color="auto" w:fill="auto"/>
          </w:tcPr>
          <w:p w:rsidR="00751A4A" w:rsidRPr="00FD389B" w:rsidRDefault="00187494" w:rsidP="0010095E">
            <w:pPr>
              <w:pStyle w:val="EPLogo"/>
            </w:pPr>
            <w:r w:rsidRPr="00FD389B">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389B" w:rsidRDefault="00D058B8" w:rsidP="004C5D52">
      <w:pPr>
        <w:pStyle w:val="LineTop"/>
      </w:pPr>
    </w:p>
    <w:p w:rsidR="00680577" w:rsidRPr="00FD389B" w:rsidRDefault="00E12F79" w:rsidP="00680577">
      <w:pPr>
        <w:pStyle w:val="EPBodyTA1"/>
      </w:pPr>
      <w:r w:rsidRPr="00FD389B">
        <w:t>USVOJENI TEKSTOVI</w:t>
      </w:r>
    </w:p>
    <w:p w:rsidR="00D058B8" w:rsidRPr="00FD389B" w:rsidRDefault="00D058B8" w:rsidP="00D058B8">
      <w:pPr>
        <w:pStyle w:val="LineBottom"/>
      </w:pPr>
    </w:p>
    <w:p w:rsidR="00E12F79" w:rsidRPr="00FD389B" w:rsidRDefault="00E12F79" w:rsidP="00E12F79">
      <w:pPr>
        <w:pStyle w:val="ATHeading1"/>
      </w:pPr>
      <w:bookmarkStart w:id="0" w:name="TANumber"/>
      <w:r w:rsidRPr="00FD389B">
        <w:t>P10_TA(2024)00</w:t>
      </w:r>
      <w:r w:rsidR="00A95096">
        <w:t>39</w:t>
      </w:r>
      <w:bookmarkEnd w:id="0"/>
    </w:p>
    <w:p w:rsidR="00E12F79" w:rsidRPr="00FD389B" w:rsidRDefault="00E12F79" w:rsidP="00E12F79">
      <w:pPr>
        <w:pStyle w:val="ATHeading2"/>
      </w:pPr>
      <w:bookmarkStart w:id="1" w:name="title"/>
      <w:bookmarkStart w:id="2" w:name="_GoBack"/>
      <w:bookmarkEnd w:id="2"/>
      <w:r w:rsidRPr="00FD389B">
        <w:t>Genetski modificirani pamuk COT102</w:t>
      </w:r>
      <w:bookmarkEnd w:id="1"/>
    </w:p>
    <w:p w:rsidR="00E12F79" w:rsidRPr="00FD389B" w:rsidRDefault="00E12F79" w:rsidP="00E12F79">
      <w:pPr>
        <w:rPr>
          <w:i/>
          <w:vanish/>
        </w:rPr>
      </w:pPr>
      <w:r w:rsidRPr="00FD389B">
        <w:rPr>
          <w:i/>
        </w:rPr>
        <w:fldChar w:fldCharType="begin"/>
      </w:r>
      <w:r w:rsidRPr="00FD389B">
        <w:rPr>
          <w:i/>
        </w:rPr>
        <w:instrText xml:space="preserve"> TC"(</w:instrText>
      </w:r>
      <w:bookmarkStart w:id="3" w:name="DocNumber"/>
      <w:r w:rsidRPr="00FD389B">
        <w:rPr>
          <w:i/>
        </w:rPr>
        <w:instrText>B10-0145/2024</w:instrText>
      </w:r>
      <w:bookmarkEnd w:id="3"/>
      <w:r w:rsidRPr="00FD389B">
        <w:rPr>
          <w:i/>
        </w:rPr>
        <w:instrText xml:space="preserve">)"\l3 \n&gt; \* MERGEFORMAT </w:instrText>
      </w:r>
      <w:r w:rsidRPr="00FD389B">
        <w:rPr>
          <w:i/>
        </w:rPr>
        <w:fldChar w:fldCharType="end"/>
      </w:r>
    </w:p>
    <w:p w:rsidR="00E12F79" w:rsidRPr="00FD389B" w:rsidRDefault="00E12F79" w:rsidP="00E12F79">
      <w:pPr>
        <w:rPr>
          <w:vanish/>
        </w:rPr>
      </w:pPr>
      <w:bookmarkStart w:id="4" w:name="PE"/>
      <w:r w:rsidRPr="00FD389B">
        <w:rPr>
          <w:vanish/>
        </w:rPr>
        <w:t>PE764.959</w:t>
      </w:r>
      <w:bookmarkEnd w:id="4"/>
    </w:p>
    <w:p w:rsidR="00E12F79" w:rsidRPr="00FD389B" w:rsidRDefault="00E12F79" w:rsidP="00E12F79">
      <w:pPr>
        <w:pStyle w:val="ATHeading3"/>
      </w:pPr>
      <w:bookmarkStart w:id="5" w:name="Sujet"/>
      <w:r w:rsidRPr="00FD389B">
        <w:t>Rezolu</w:t>
      </w:r>
      <w:r w:rsidR="00FD389B">
        <w:t>cija Europskog parlamenta od 26</w:t>
      </w:r>
      <w:r w:rsidRPr="00FD389B">
        <w:t xml:space="preserve">. </w:t>
      </w:r>
      <w:r w:rsidR="00FD389B">
        <w:t xml:space="preserve">studenoga </w:t>
      </w:r>
      <w:r w:rsidRPr="00FD389B">
        <w:t xml:space="preserve">2024. o </w:t>
      </w:r>
      <w:r w:rsidR="00FD389B">
        <w:t>P</w:t>
      </w:r>
      <w:r w:rsidRPr="00FD389B">
        <w:t>rovedben</w:t>
      </w:r>
      <w:r w:rsidR="00FD389B">
        <w:t>oj</w:t>
      </w:r>
      <w:r w:rsidRPr="00FD389B">
        <w:t xml:space="preserve"> odlu</w:t>
      </w:r>
      <w:r w:rsidR="00FD389B">
        <w:t>ci</w:t>
      </w:r>
      <w:r w:rsidRPr="00FD389B">
        <w:t xml:space="preserve"> Komisije </w:t>
      </w:r>
      <w:r w:rsidR="00FD389B">
        <w:t xml:space="preserve">(EU) 2024/2627 </w:t>
      </w:r>
      <w:r w:rsidRPr="00FD389B">
        <w:t>o odobravanju stavljanja na tržište proizvoda koji sadržavaju genetski modificirani pamuk COT102, sastoje se od njega ili su od njega proizvedeni, na temelju Uredbe (EZ) br. 1829/2003 Europskog parlamenta i Vijeća</w:t>
      </w:r>
      <w:bookmarkEnd w:id="5"/>
      <w:r w:rsidRPr="00FD389B">
        <w:t xml:space="preserve"> </w:t>
      </w:r>
      <w:bookmarkStart w:id="6" w:name="References"/>
      <w:r w:rsidRPr="00FD389B">
        <w:t>(2024/2835(RSP))</w:t>
      </w:r>
      <w:bookmarkEnd w:id="6"/>
    </w:p>
    <w:p w:rsidR="004B1E50" w:rsidRPr="00FD389B" w:rsidRDefault="004B1E50" w:rsidP="004B1E50">
      <w:pPr>
        <w:pStyle w:val="EPComma"/>
      </w:pPr>
      <w:bookmarkStart w:id="7" w:name="TextBodyBegin"/>
      <w:bookmarkEnd w:id="7"/>
      <w:r w:rsidRPr="00FD389B">
        <w:rPr>
          <w:i/>
          <w:iCs/>
        </w:rPr>
        <w:t>Europski parlament</w:t>
      </w:r>
      <w:r w:rsidRPr="00FD389B">
        <w:t>,</w:t>
      </w:r>
    </w:p>
    <w:p w:rsidR="004B1E50" w:rsidRPr="00FD389B" w:rsidRDefault="004B1E50" w:rsidP="004B1E50">
      <w:pPr>
        <w:pStyle w:val="NormalHanging12a"/>
        <w:rPr>
          <w:szCs w:val="24"/>
        </w:rPr>
      </w:pPr>
      <w:r w:rsidRPr="00FD389B">
        <w:t>–</w:t>
      </w:r>
      <w:r w:rsidRPr="00FD389B">
        <w:tab/>
        <w:t xml:space="preserve">uzimajući u obzir </w:t>
      </w:r>
      <w:r w:rsidR="00FD389B">
        <w:t>P</w:t>
      </w:r>
      <w:r w:rsidRPr="00FD389B">
        <w:t>rovedben</w:t>
      </w:r>
      <w:r w:rsidR="00FD389B">
        <w:t>u</w:t>
      </w:r>
      <w:r w:rsidRPr="00FD389B">
        <w:t xml:space="preserve"> odluk</w:t>
      </w:r>
      <w:r w:rsidR="00FD389B">
        <w:t>u</w:t>
      </w:r>
      <w:r w:rsidRPr="00FD389B">
        <w:t xml:space="preserve"> Komisije </w:t>
      </w:r>
      <w:r w:rsidR="00FD389B">
        <w:t xml:space="preserve">(EU) 2024/2627 </w:t>
      </w:r>
      <w:r w:rsidRPr="00FD389B">
        <w:t>o odobravanju stavljanja na tržište proizvoda koji sadržavaju genetski modificirani pamuk COT102, sastoje se od njega ili su od njega proizvedeni, na temelju Uredbe (EZ) br. 1829/2003 Europskog parlamenta i Vijeća</w:t>
      </w:r>
      <w:r w:rsidR="00FD389B">
        <w:rPr>
          <w:rStyle w:val="FootnoteReference"/>
        </w:rPr>
        <w:footnoteReference w:id="1"/>
      </w:r>
      <w:r w:rsidRPr="00FD389B">
        <w:t>,</w:t>
      </w:r>
    </w:p>
    <w:p w:rsidR="004B1E50" w:rsidRPr="00FD389B" w:rsidRDefault="004B1E50" w:rsidP="004B1E50">
      <w:pPr>
        <w:pStyle w:val="NormalHanging12a"/>
        <w:rPr>
          <w:szCs w:val="24"/>
        </w:rPr>
      </w:pPr>
      <w:r w:rsidRPr="00FD389B">
        <w:t>–</w:t>
      </w:r>
      <w:r w:rsidRPr="00FD389B">
        <w:tab/>
        <w:t>uzimajući u obzir Uredbu (EZ) br. 1829/2003 Europskog parlamenta i Vijeća od 22. rujna 2003. o genetski modificiranoj hrani i hrani za životinje</w:t>
      </w:r>
      <w:r w:rsidRPr="00FD389B">
        <w:rPr>
          <w:rStyle w:val="FootnoteReference"/>
          <w:szCs w:val="24"/>
        </w:rPr>
        <w:footnoteReference w:id="2"/>
      </w:r>
      <w:r w:rsidRPr="00FD389B">
        <w:t>, a posebno njezin članak 7. stavak 3. i članak 19. stavak 3.,</w:t>
      </w:r>
    </w:p>
    <w:p w:rsidR="004B1E50" w:rsidRPr="00FD389B" w:rsidRDefault="004B1E50" w:rsidP="004B1E50">
      <w:pPr>
        <w:pStyle w:val="NormalHanging12a"/>
        <w:rPr>
          <w:szCs w:val="24"/>
        </w:rPr>
      </w:pPr>
      <w:r w:rsidRPr="00FD389B">
        <w:t>–</w:t>
      </w:r>
      <w:r w:rsidRPr="00FD389B">
        <w:tab/>
        <w:t xml:space="preserve">uzimajući u obzir </w:t>
      </w:r>
      <w:r w:rsidRPr="00FD389B">
        <w:rPr>
          <w:shd w:val="clear" w:color="auto" w:fill="FFFFFF"/>
        </w:rPr>
        <w:t xml:space="preserve">glasovanje Stalnog odbora za bilje, životinje, hranu i hranu za životinje iz članka 35. Uredbe (EZ) br. 1829/2003, koje je održano 8. srpnja 2024. i na kojem nije doneseno mišljenje te glasovanje žalbenog odbora od 3. rujna 2024. tijekom kojega također nije </w:t>
      </w:r>
      <w:r w:rsidRPr="00FD389B">
        <w:t>doneseno mišljenje,</w:t>
      </w:r>
    </w:p>
    <w:p w:rsidR="004B1E50" w:rsidRPr="00FD389B" w:rsidRDefault="004B1E50" w:rsidP="004B1E50">
      <w:pPr>
        <w:pStyle w:val="NormalHanging12a"/>
        <w:rPr>
          <w:szCs w:val="24"/>
        </w:rPr>
      </w:pPr>
      <w:r w:rsidRPr="00FD389B">
        <w:t>–</w:t>
      </w:r>
      <w:r w:rsidRPr="00FD389B">
        <w:tab/>
        <w:t>uzimajući u obzir članak 11. Uredbe (EU) br. 182/2011 Europskog parlamenta i Vijeća od 16. veljače 2011. o utvrđivanju pravila i općih načela u vezi s mehanizmima nadzora država članica nad izvršavanjem provedbenih ovlasti Komisije</w:t>
      </w:r>
      <w:r w:rsidRPr="00FD389B">
        <w:rPr>
          <w:rStyle w:val="FootnoteReference"/>
          <w:szCs w:val="24"/>
        </w:rPr>
        <w:footnoteReference w:id="3"/>
      </w:r>
      <w:r w:rsidRPr="00FD389B">
        <w:t>,</w:t>
      </w:r>
    </w:p>
    <w:p w:rsidR="004B1E50" w:rsidRPr="00FD389B" w:rsidRDefault="004B1E50" w:rsidP="004B1E50">
      <w:pPr>
        <w:pStyle w:val="NormalHanging12a"/>
        <w:rPr>
          <w:szCs w:val="24"/>
        </w:rPr>
      </w:pPr>
      <w:r w:rsidRPr="00FD389B">
        <w:t>–</w:t>
      </w:r>
      <w:r w:rsidRPr="00FD389B">
        <w:tab/>
        <w:t>uzimajući u obzir mišljenje Europske agencije za sigurnost hrane (EFSA) doneseno 10. svibnja 2023. i objavljeno 26. lipnja 2023.</w:t>
      </w:r>
      <w:r w:rsidRPr="00FD389B">
        <w:rPr>
          <w:rStyle w:val="FootnoteReference"/>
          <w:szCs w:val="24"/>
        </w:rPr>
        <w:footnoteReference w:id="4"/>
      </w:r>
      <w:r w:rsidRPr="00FD389B">
        <w:t>,</w:t>
      </w:r>
    </w:p>
    <w:p w:rsidR="004B1E50" w:rsidRPr="00FD389B" w:rsidRDefault="004B1E50" w:rsidP="004B1E50">
      <w:pPr>
        <w:pStyle w:val="NormalHanging12a"/>
        <w:rPr>
          <w:szCs w:val="24"/>
          <w:shd w:val="clear" w:color="auto" w:fill="FFFFFF"/>
        </w:rPr>
      </w:pPr>
      <w:r w:rsidRPr="00FD389B">
        <w:lastRenderedPageBreak/>
        <w:t>–</w:t>
      </w:r>
      <w:r w:rsidRPr="00FD389B">
        <w:rPr>
          <w:shd w:val="clear" w:color="auto" w:fill="FFFFFF"/>
        </w:rPr>
        <w:tab/>
        <w:t>uzimajući u obzir svoje prethodne rezolucije u kojima se protivi odobravanju genetski modificiranih organizama („GMO”)</w:t>
      </w:r>
      <w:r w:rsidRPr="00FD389B">
        <w:rPr>
          <w:szCs w:val="24"/>
          <w:shd w:val="clear" w:color="auto" w:fill="FFFFFF"/>
          <w:vertAlign w:val="superscript"/>
        </w:rPr>
        <w:footnoteReference w:id="5"/>
      </w:r>
      <w:r w:rsidRPr="00FD389B">
        <w:rPr>
          <w:shd w:val="clear" w:color="auto" w:fill="FFFFFF"/>
        </w:rPr>
        <w:t>,</w:t>
      </w:r>
    </w:p>
    <w:p w:rsidR="004B1E50" w:rsidRPr="00FD389B" w:rsidRDefault="004B1E50" w:rsidP="004B1E50">
      <w:pPr>
        <w:pStyle w:val="NormalHanging12a"/>
        <w:rPr>
          <w:szCs w:val="24"/>
        </w:rPr>
      </w:pPr>
      <w:r w:rsidRPr="00FD389B">
        <w:t>–</w:t>
      </w:r>
      <w:r w:rsidRPr="00FD389B">
        <w:tab/>
        <w:t>uzimajući u obzir članak 115. stavke 2. i 3. Poslovnika,</w:t>
      </w:r>
    </w:p>
    <w:p w:rsidR="004B1E50" w:rsidRPr="00FD389B" w:rsidRDefault="004B1E50" w:rsidP="004B1E50">
      <w:pPr>
        <w:pStyle w:val="NormalHanging12a"/>
        <w:rPr>
          <w:szCs w:val="24"/>
        </w:rPr>
      </w:pPr>
      <w:r w:rsidRPr="00FD389B">
        <w:t>–</w:t>
      </w:r>
      <w:r w:rsidRPr="00FD389B">
        <w:tab/>
        <w:t>uzimajući u obzir Prijedlog rezolucije Odbora za okoliš, javno zdravlje i sigurnost hrane,</w:t>
      </w:r>
    </w:p>
    <w:p w:rsidR="004B1E50" w:rsidRPr="00FD389B" w:rsidRDefault="004B1E50" w:rsidP="004B1E50">
      <w:pPr>
        <w:pStyle w:val="NormalHanging12a"/>
        <w:rPr>
          <w:szCs w:val="24"/>
        </w:rPr>
      </w:pPr>
      <w:r w:rsidRPr="00FD389B">
        <w:t>A.</w:t>
      </w:r>
      <w:r w:rsidRPr="00FD389B">
        <w:tab/>
        <w:t xml:space="preserve">budući da je 31. ožujka 2017. društvo </w:t>
      </w:r>
      <w:proofErr w:type="spellStart"/>
      <w:r w:rsidRPr="00FD389B">
        <w:t>Syngenta</w:t>
      </w:r>
      <w:proofErr w:type="spellEnd"/>
      <w:r w:rsidRPr="00FD389B">
        <w:t xml:space="preserve"> </w:t>
      </w:r>
      <w:proofErr w:type="spellStart"/>
      <w:r w:rsidRPr="00FD389B">
        <w:t>Crop</w:t>
      </w:r>
      <w:proofErr w:type="spellEnd"/>
      <w:r w:rsidRPr="00FD389B">
        <w:t xml:space="preserve"> Protection NV/SA, sa sjedištem u Belgiji, u ime društva </w:t>
      </w:r>
      <w:proofErr w:type="spellStart"/>
      <w:r w:rsidRPr="00FD389B">
        <w:t>Syngenta</w:t>
      </w:r>
      <w:proofErr w:type="spellEnd"/>
      <w:r w:rsidRPr="00FD389B">
        <w:t xml:space="preserve"> </w:t>
      </w:r>
      <w:proofErr w:type="spellStart"/>
      <w:r w:rsidRPr="00FD389B">
        <w:t>Crop</w:t>
      </w:r>
      <w:proofErr w:type="spellEnd"/>
      <w:r w:rsidRPr="00FD389B">
        <w:t xml:space="preserve"> Protection AG, sa sjedištem u Švicarskoj, nacionalnom nadležnom tijelu Njemačke podnijelo zahtjev za stavljanje na tržište hrane, sastojaka hrane i hrane za životinje koji sadržavaju genetski modificirani pamuk COT102 („GM pamuk”), sastoje se od njega ili su od njega proizvedeni, u skladu s člancima 5. i 17. Uredbe (EZ) br. 1829/2003 („zahtjev”); budući da je taj zahtjev također obuhvaćao stavljanje na tržište proizvoda koji sadrže genetski modificiran kukuruz ili se sastoje od njega za druge namjene osim uporabe u hrani i hrani za životinje, no ne i za uzgoj; </w:t>
      </w:r>
    </w:p>
    <w:p w:rsidR="004B1E50" w:rsidRPr="00FD389B" w:rsidRDefault="004B1E50" w:rsidP="004B1E50">
      <w:pPr>
        <w:pStyle w:val="NormalHanging12a"/>
        <w:rPr>
          <w:szCs w:val="24"/>
        </w:rPr>
      </w:pPr>
      <w:r w:rsidRPr="00FD389B">
        <w:t>B.</w:t>
      </w:r>
      <w:r w:rsidRPr="00FD389B">
        <w:tab/>
        <w:t>budući da je EFSA 10. svibnja 2023. donijela pozitivno mišljenje, objavljeno 26. lipnja 2023., u kojem je zaključila da je genetski modificirani pamuk jednako siguran kao i usporedna sorta koja nije genetski modificirana i ispitane sorte pamuka koje nisu genetski modificirane u pogledu mogućih učinaka na zdravlje ljudi i životinja te na okoliš;</w:t>
      </w:r>
    </w:p>
    <w:p w:rsidR="004B1E50" w:rsidRPr="00FD389B" w:rsidRDefault="004B1E50" w:rsidP="004B1E50">
      <w:pPr>
        <w:pStyle w:val="NormalHanging12a"/>
        <w:rPr>
          <w:szCs w:val="24"/>
        </w:rPr>
      </w:pPr>
      <w:r w:rsidRPr="00FD389B">
        <w:t>C.</w:t>
      </w:r>
      <w:r w:rsidRPr="00FD389B">
        <w:tab/>
        <w:t>budući da genetski modificirani pamuk sadrži gene koji proizvode insekticidne bjelančevine („</w:t>
      </w:r>
      <w:proofErr w:type="spellStart"/>
      <w:r w:rsidRPr="00FD389B">
        <w:t>Bt</w:t>
      </w:r>
      <w:proofErr w:type="spellEnd"/>
      <w:r w:rsidRPr="00FD389B">
        <w:t xml:space="preserve"> toksini”) i marker gen otporan na antibiotike („ARMG”);</w:t>
      </w:r>
    </w:p>
    <w:p w:rsidR="004B1E50" w:rsidRPr="00FD389B" w:rsidRDefault="004B1E50" w:rsidP="004B1E50">
      <w:pPr>
        <w:pStyle w:val="NormalHanging12a"/>
        <w:rPr>
          <w:szCs w:val="24"/>
        </w:rPr>
      </w:pPr>
      <w:r w:rsidRPr="00FD389B">
        <w:t>D.</w:t>
      </w:r>
      <w:r w:rsidRPr="00FD389B">
        <w:tab/>
        <w:t xml:space="preserve">budući da se ulje pamuka može koristiti u proizvodnji raznih prehrambenih proizvoda kao što su preljevi, majoneza, fini pekarski proizvodi, čokoladni namazi i čips; budući da je konzumacija brašna od sjemenke pamuka najizgledniji način na koji bi ljudi mogli biti izloženi dvjema bjelančevinama koje nastaju genetskom modifikacijom; budući da se pamuk obično upotrebljava u hrani za životinje u obliku neoljuštenih sjemenki i brašna; </w:t>
      </w:r>
    </w:p>
    <w:p w:rsidR="004B1E50" w:rsidRPr="00FD389B" w:rsidRDefault="004B1E50" w:rsidP="004B1E50">
      <w:pPr>
        <w:pStyle w:val="NormalHanging12a"/>
        <w:rPr>
          <w:b/>
          <w:i/>
        </w:rPr>
      </w:pPr>
      <w:r w:rsidRPr="00FD389B">
        <w:rPr>
          <w:b/>
          <w:i/>
        </w:rPr>
        <w:t xml:space="preserve">Neriješena pitanja koja se odnose na </w:t>
      </w:r>
      <w:proofErr w:type="spellStart"/>
      <w:r w:rsidRPr="00FD389B">
        <w:rPr>
          <w:b/>
          <w:i/>
        </w:rPr>
        <w:t>Bt</w:t>
      </w:r>
      <w:proofErr w:type="spellEnd"/>
      <w:r w:rsidRPr="00FD389B">
        <w:rPr>
          <w:b/>
          <w:i/>
        </w:rPr>
        <w:t>-toksine</w:t>
      </w:r>
    </w:p>
    <w:p w:rsidR="004B1E50" w:rsidRPr="00FD389B" w:rsidRDefault="004B1E50" w:rsidP="004B1E50">
      <w:pPr>
        <w:pStyle w:val="NormalHanging12a"/>
        <w:rPr>
          <w:szCs w:val="24"/>
        </w:rPr>
      </w:pPr>
      <w:r w:rsidRPr="00FD389B">
        <w:t>E.</w:t>
      </w:r>
      <w:r w:rsidRPr="00FD389B">
        <w:tab/>
        <w:t xml:space="preserve">budući da je toksičnost </w:t>
      </w:r>
      <w:proofErr w:type="spellStart"/>
      <w:r w:rsidRPr="00FD389B">
        <w:t>Bt</w:t>
      </w:r>
      <w:proofErr w:type="spellEnd"/>
      <w:r w:rsidRPr="00FD389B">
        <w:t xml:space="preserve">-toksina procijenjena na temelju ispitivanja hranidbe, pri čemu su upotrijebljeni samo izolirani </w:t>
      </w:r>
      <w:proofErr w:type="spellStart"/>
      <w:r w:rsidRPr="00FD389B">
        <w:t>Bt</w:t>
      </w:r>
      <w:proofErr w:type="spellEnd"/>
      <w:r w:rsidRPr="00FD389B">
        <w:t xml:space="preserve">-proteini koje proizvode bakterije; budući da toksikološka ispitivanja koja se provode s izoliranim bjelančevinama imaju malu važnost zbog činjenice da su </w:t>
      </w:r>
      <w:proofErr w:type="spellStart"/>
      <w:r w:rsidRPr="00FD389B">
        <w:t>Bt</w:t>
      </w:r>
      <w:proofErr w:type="spellEnd"/>
      <w:r w:rsidRPr="00FD389B">
        <w:t xml:space="preserve">-toksini u genetski modificiranim usjevima, primjerice kukuruzu, pamuku i soji, sami po sebi toksičniji od izoliranih </w:t>
      </w:r>
      <w:proofErr w:type="spellStart"/>
      <w:r w:rsidRPr="00FD389B">
        <w:t>Bt</w:t>
      </w:r>
      <w:proofErr w:type="spellEnd"/>
      <w:r w:rsidRPr="00FD389B">
        <w:t xml:space="preserve">-toksina; budući da je to posljedica prisutnosti </w:t>
      </w:r>
      <w:proofErr w:type="spellStart"/>
      <w:r w:rsidRPr="00FD389B">
        <w:t>inhibitorâ</w:t>
      </w:r>
      <w:proofErr w:type="spellEnd"/>
      <w:r w:rsidRPr="00FD389B">
        <w:t xml:space="preserve"> </w:t>
      </w:r>
      <w:proofErr w:type="spellStart"/>
      <w:r w:rsidRPr="00FD389B">
        <w:t>proteaze</w:t>
      </w:r>
      <w:proofErr w:type="spellEnd"/>
      <w:r w:rsidRPr="00FD389B">
        <w:t xml:space="preserve"> (PI) u biljnom tkivu, zbog koje se može povećati toksičnost </w:t>
      </w:r>
      <w:proofErr w:type="spellStart"/>
      <w:r w:rsidRPr="00FD389B">
        <w:t>Bt</w:t>
      </w:r>
      <w:proofErr w:type="spellEnd"/>
      <w:r w:rsidRPr="00FD389B">
        <w:t xml:space="preserve">-toksina odgađanjem njihove razgradnje; budući da je ta pojava dokazana u nizu znanstvenih studija, uključujući studiju provedenu za </w:t>
      </w:r>
      <w:proofErr w:type="spellStart"/>
      <w:r w:rsidRPr="00FD389B">
        <w:t>Monsanto</w:t>
      </w:r>
      <w:proofErr w:type="spellEnd"/>
      <w:r w:rsidRPr="00FD389B">
        <w:t xml:space="preserve"> koja je pokazala da je čak i prisutnost iznimno niskih razina PI-ja povećala toksičnost </w:t>
      </w:r>
      <w:proofErr w:type="spellStart"/>
      <w:r w:rsidRPr="00FD389B">
        <w:t>Bt</w:t>
      </w:r>
      <w:proofErr w:type="spellEnd"/>
      <w:r w:rsidRPr="00FD389B">
        <w:t>-</w:t>
      </w:r>
      <w:r w:rsidRPr="00FD389B">
        <w:lastRenderedPageBreak/>
        <w:t>toksina za do 20 puta</w:t>
      </w:r>
      <w:r w:rsidRPr="00FD389B">
        <w:rPr>
          <w:rStyle w:val="FootnoteReference"/>
          <w:szCs w:val="24"/>
        </w:rPr>
        <w:footnoteReference w:id="6"/>
      </w:r>
      <w:r w:rsidRPr="00FD389B">
        <w:t>;</w:t>
      </w:r>
    </w:p>
    <w:p w:rsidR="004B1E50" w:rsidRPr="00FD389B" w:rsidRDefault="004B1E50" w:rsidP="004B1E50">
      <w:pPr>
        <w:pStyle w:val="NormalHanging12a"/>
        <w:rPr>
          <w:szCs w:val="24"/>
        </w:rPr>
      </w:pPr>
      <w:r w:rsidRPr="00FD389B">
        <w:t>F.</w:t>
      </w:r>
      <w:r w:rsidRPr="00FD389B">
        <w:tab/>
        <w:t xml:space="preserve">budući da ta povećana toksičnost ne uzima u obzir u EFSA-inim procjenama rizika, iako je relevantna za sve </w:t>
      </w:r>
      <w:proofErr w:type="spellStart"/>
      <w:r w:rsidRPr="00FD389B">
        <w:t>Bt</w:t>
      </w:r>
      <w:proofErr w:type="spellEnd"/>
      <w:r w:rsidRPr="00FD389B">
        <w:t xml:space="preserve">-biljke odobrene za uvoz ili uzgoj u Uniji; budući da se stoga ne mogu isključiti rizici za ljude i životinje koji konzumiraju hranu i hranu za životinje koja sadrži </w:t>
      </w:r>
      <w:proofErr w:type="spellStart"/>
      <w:r w:rsidRPr="00FD389B">
        <w:t>Bt</w:t>
      </w:r>
      <w:proofErr w:type="spellEnd"/>
      <w:r w:rsidRPr="00FD389B">
        <w:t xml:space="preserve">-toksine, a koji proizlaze iz te povećane toksičnosti zbog interakcije između PI-ja i </w:t>
      </w:r>
      <w:proofErr w:type="spellStart"/>
      <w:r w:rsidRPr="00FD389B">
        <w:t>Bt</w:t>
      </w:r>
      <w:proofErr w:type="spellEnd"/>
      <w:r w:rsidRPr="00FD389B">
        <w:t>-toksina;</w:t>
      </w:r>
    </w:p>
    <w:p w:rsidR="004B1E50" w:rsidRPr="00FD389B" w:rsidRDefault="004B1E50" w:rsidP="004B1E50">
      <w:pPr>
        <w:pStyle w:val="NormalHanging12a"/>
        <w:rPr>
          <w:szCs w:val="24"/>
        </w:rPr>
      </w:pPr>
      <w:r w:rsidRPr="00FD389B">
        <w:t>G.</w:t>
      </w:r>
      <w:r w:rsidRPr="00FD389B">
        <w:tab/>
        <w:t xml:space="preserve">budući da se u brojnim studijama navodi da su nakon izloženosti </w:t>
      </w:r>
      <w:proofErr w:type="spellStart"/>
      <w:r w:rsidRPr="00FD389B">
        <w:t>Bt</w:t>
      </w:r>
      <w:proofErr w:type="spellEnd"/>
      <w:r w:rsidRPr="00FD389B">
        <w:t xml:space="preserve">-toksinima zabilježeni popratni učinci koji mogu utjecati na </w:t>
      </w:r>
      <w:proofErr w:type="spellStart"/>
      <w:r w:rsidRPr="00FD389B">
        <w:t>imunosni</w:t>
      </w:r>
      <w:proofErr w:type="spellEnd"/>
      <w:r w:rsidRPr="00FD389B">
        <w:t xml:space="preserve"> sustav i da neki </w:t>
      </w:r>
      <w:proofErr w:type="spellStart"/>
      <w:r w:rsidRPr="00FD389B">
        <w:t>Bt</w:t>
      </w:r>
      <w:proofErr w:type="spellEnd"/>
      <w:r w:rsidRPr="00FD389B">
        <w:t xml:space="preserve">-toksini mogu djelovati kao </w:t>
      </w:r>
      <w:proofErr w:type="spellStart"/>
      <w:r w:rsidRPr="00FD389B">
        <w:t>adjuvansi</w:t>
      </w:r>
      <w:proofErr w:type="spellEnd"/>
      <w:r w:rsidRPr="00FD389B">
        <w:rPr>
          <w:rStyle w:val="FootnoteReference"/>
          <w:szCs w:val="24"/>
        </w:rPr>
        <w:footnoteReference w:id="7"/>
      </w:r>
      <w:r w:rsidRPr="00FD389B">
        <w:t>, što znači da mogu povećati alergena svojstva drugih proteina s kojima dolaze u kontakt;</w:t>
      </w:r>
    </w:p>
    <w:p w:rsidR="004B1E50" w:rsidRPr="00FD389B" w:rsidRDefault="004B1E50" w:rsidP="004B1E50">
      <w:pPr>
        <w:pStyle w:val="NormalHanging12a"/>
        <w:rPr>
          <w:b/>
          <w:i/>
          <w:szCs w:val="24"/>
        </w:rPr>
      </w:pPr>
      <w:proofErr w:type="spellStart"/>
      <w:r w:rsidRPr="00FD389B">
        <w:rPr>
          <w:b/>
          <w:i/>
        </w:rPr>
        <w:t>Bt</w:t>
      </w:r>
      <w:proofErr w:type="spellEnd"/>
      <w:r w:rsidRPr="00FD389B">
        <w:rPr>
          <w:b/>
          <w:i/>
        </w:rPr>
        <w:t xml:space="preserve">-usjevi: utjecaj na </w:t>
      </w:r>
      <w:proofErr w:type="spellStart"/>
      <w:r w:rsidRPr="00FD389B">
        <w:rPr>
          <w:b/>
          <w:i/>
        </w:rPr>
        <w:t>neciljne</w:t>
      </w:r>
      <w:proofErr w:type="spellEnd"/>
      <w:r w:rsidRPr="00FD389B">
        <w:rPr>
          <w:b/>
          <w:i/>
        </w:rPr>
        <w:t xml:space="preserve"> organizme</w:t>
      </w:r>
    </w:p>
    <w:p w:rsidR="004B1E50" w:rsidRPr="00FD389B" w:rsidRDefault="004B1E50" w:rsidP="004B1E50">
      <w:pPr>
        <w:pStyle w:val="NormalHanging12a"/>
      </w:pPr>
      <w:r w:rsidRPr="00FD389B">
        <w:t>H.</w:t>
      </w:r>
      <w:r w:rsidRPr="00FD389B">
        <w:tab/>
        <w:t xml:space="preserve">budući da upotreba genetski modificiranih </w:t>
      </w:r>
      <w:proofErr w:type="spellStart"/>
      <w:r w:rsidRPr="00FD389B">
        <w:t>Bt</w:t>
      </w:r>
      <w:proofErr w:type="spellEnd"/>
      <w:r w:rsidRPr="00FD389B">
        <w:t xml:space="preserve">-usjeva dovodi do dugotrajne izloženosti ciljnih i </w:t>
      </w:r>
      <w:proofErr w:type="spellStart"/>
      <w:r w:rsidRPr="00FD389B">
        <w:t>neciljnih</w:t>
      </w:r>
      <w:proofErr w:type="spellEnd"/>
      <w:r w:rsidRPr="00FD389B">
        <w:t xml:space="preserve"> organizama </w:t>
      </w:r>
      <w:proofErr w:type="spellStart"/>
      <w:r w:rsidRPr="00FD389B">
        <w:t>Bt</w:t>
      </w:r>
      <w:proofErr w:type="spellEnd"/>
      <w:r w:rsidRPr="00FD389B">
        <w:t>-toksinima, za razliku od upotrebe insekticida, kad dolazi do izlaganja pri prskanju i tijekom ograničenog vremenskog razdoblja;</w:t>
      </w:r>
    </w:p>
    <w:p w:rsidR="004B1E50" w:rsidRPr="00FD389B" w:rsidRDefault="004B1E50" w:rsidP="004B1E50">
      <w:pPr>
        <w:pStyle w:val="NormalHanging12a"/>
      </w:pPr>
      <w:r w:rsidRPr="00FD389B">
        <w:t>I.</w:t>
      </w:r>
      <w:r w:rsidRPr="00FD389B">
        <w:tab/>
        <w:t xml:space="preserve">budući da se pretpostavka da </w:t>
      </w:r>
      <w:proofErr w:type="spellStart"/>
      <w:r w:rsidRPr="00FD389B">
        <w:t>Bt</w:t>
      </w:r>
      <w:proofErr w:type="spellEnd"/>
      <w:r w:rsidRPr="00FD389B">
        <w:t xml:space="preserve">-toksini pokazuju jedan ciljni način djelovanja više ne može smatrati točnom i ne mogu se isključiti učinci na </w:t>
      </w:r>
      <w:proofErr w:type="spellStart"/>
      <w:r w:rsidRPr="00FD389B">
        <w:t>neciljne</w:t>
      </w:r>
      <w:proofErr w:type="spellEnd"/>
      <w:r w:rsidRPr="00FD389B">
        <w:t xml:space="preserve"> organizme</w:t>
      </w:r>
      <w:r w:rsidRPr="00FD389B">
        <w:rPr>
          <w:rStyle w:val="FootnoteReference"/>
        </w:rPr>
        <w:footnoteReference w:id="8"/>
      </w:r>
      <w:r w:rsidRPr="00FD389B">
        <w:t xml:space="preserve">; </w:t>
      </w:r>
    </w:p>
    <w:p w:rsidR="004B1E50" w:rsidRPr="00FD389B" w:rsidRDefault="004B1E50" w:rsidP="004B1E50">
      <w:pPr>
        <w:pStyle w:val="NormalHanging12a"/>
      </w:pPr>
      <w:r w:rsidRPr="00FD389B">
        <w:t>J.</w:t>
      </w:r>
      <w:r w:rsidRPr="00FD389B">
        <w:tab/>
        <w:t xml:space="preserve">budući da stižu izvješća o sve većem broju </w:t>
      </w:r>
      <w:proofErr w:type="spellStart"/>
      <w:r w:rsidRPr="00FD389B">
        <w:t>neciljnih</w:t>
      </w:r>
      <w:proofErr w:type="spellEnd"/>
      <w:r w:rsidRPr="00FD389B">
        <w:t xml:space="preserve"> organizama koji su višestruko pogođeni; budući da se u nedavnom pregledu spominje 39 stručno recenziranih publikacija u kojima se izvještava o znatnim štetnim učincima </w:t>
      </w:r>
      <w:proofErr w:type="spellStart"/>
      <w:r w:rsidRPr="00FD389B">
        <w:t>Bt</w:t>
      </w:r>
      <w:proofErr w:type="spellEnd"/>
      <w:r w:rsidRPr="00FD389B">
        <w:t>-toksina na mnoge vrste „izvan dometa”</w:t>
      </w:r>
      <w:r w:rsidRPr="00FD389B">
        <w:rPr>
          <w:rStyle w:val="FootnoteReference"/>
        </w:rPr>
        <w:footnoteReference w:id="9"/>
      </w:r>
      <w:r w:rsidRPr="00FD389B">
        <w:t>;</w:t>
      </w:r>
    </w:p>
    <w:p w:rsidR="004B1E50" w:rsidRPr="00FD389B" w:rsidRDefault="004B1E50" w:rsidP="004B1E50">
      <w:pPr>
        <w:pStyle w:val="NormalHanging12a"/>
        <w:rPr>
          <w:b/>
          <w:i/>
        </w:rPr>
      </w:pPr>
      <w:r w:rsidRPr="00FD389B">
        <w:rPr>
          <w:b/>
          <w:i/>
        </w:rPr>
        <w:t>Smanjenje ovisnosti o uvezenoj hrani za životinje</w:t>
      </w:r>
    </w:p>
    <w:p w:rsidR="004B1E50" w:rsidRPr="00FD389B" w:rsidRDefault="004B1E50" w:rsidP="004B1E50">
      <w:pPr>
        <w:pStyle w:val="NormalHanging12a"/>
      </w:pPr>
      <w:r w:rsidRPr="00FD389B">
        <w:t>K.</w:t>
      </w:r>
      <w:r w:rsidRPr="00FD389B">
        <w:tab/>
        <w:t xml:space="preserve">budući da je jedna od pouka izvučenih iz krize prouzročene bolešću COVID-19 i rata u Ukrajini koji je još u tijeku potreba da Unija okonča ovisnost o nekim ključnim </w:t>
      </w:r>
      <w:r w:rsidRPr="00FD389B">
        <w:lastRenderedPageBreak/>
        <w:t xml:space="preserve">materijalima; budući da predsjednica Komisije </w:t>
      </w:r>
      <w:proofErr w:type="spellStart"/>
      <w:r w:rsidRPr="00FD389B">
        <w:t>Ursula</w:t>
      </w:r>
      <w:proofErr w:type="spellEnd"/>
      <w:r w:rsidRPr="00FD389B">
        <w:t xml:space="preserve"> von </w:t>
      </w:r>
      <w:proofErr w:type="spellStart"/>
      <w:r w:rsidRPr="00FD389B">
        <w:t>der</w:t>
      </w:r>
      <w:proofErr w:type="spellEnd"/>
      <w:r w:rsidRPr="00FD389B">
        <w:t xml:space="preserve"> </w:t>
      </w:r>
      <w:proofErr w:type="spellStart"/>
      <w:r w:rsidRPr="00FD389B">
        <w:t>Leyen</w:t>
      </w:r>
      <w:proofErr w:type="spellEnd"/>
      <w:r w:rsidRPr="00FD389B">
        <w:t xml:space="preserve"> u mandatnom pismu od kandidata za povjerenika </w:t>
      </w:r>
      <w:proofErr w:type="spellStart"/>
      <w:r w:rsidRPr="00FD389B">
        <w:t>Christophea</w:t>
      </w:r>
      <w:proofErr w:type="spellEnd"/>
      <w:r w:rsidRPr="00FD389B">
        <w:t xml:space="preserve"> </w:t>
      </w:r>
      <w:proofErr w:type="spellStart"/>
      <w:r w:rsidRPr="00FD389B">
        <w:t>Hansena</w:t>
      </w:r>
      <w:proofErr w:type="spellEnd"/>
      <w:r w:rsidRPr="00FD389B">
        <w:t xml:space="preserve"> traži da razmotri načine za smanjenje uvoza kritičnih vrsta robe</w:t>
      </w:r>
      <w:r w:rsidRPr="00FD389B">
        <w:rPr>
          <w:rStyle w:val="FootnoteReference"/>
        </w:rPr>
        <w:footnoteReference w:id="10"/>
      </w:r>
      <w:r w:rsidRPr="00FD389B">
        <w:t xml:space="preserve">; </w:t>
      </w:r>
    </w:p>
    <w:p w:rsidR="004B1E50" w:rsidRPr="00FD389B" w:rsidRDefault="004B1E50" w:rsidP="004B1E50">
      <w:pPr>
        <w:pStyle w:val="NormalHanging12a"/>
        <w:rPr>
          <w:b/>
          <w:i/>
        </w:rPr>
      </w:pPr>
      <w:r w:rsidRPr="00FD389B">
        <w:rPr>
          <w:b/>
          <w:i/>
        </w:rPr>
        <w:t>Uključivanje ARMG-a</w:t>
      </w:r>
    </w:p>
    <w:p w:rsidR="004B1E50" w:rsidRPr="00FD389B" w:rsidRDefault="004B1E50" w:rsidP="004B1E50">
      <w:pPr>
        <w:pStyle w:val="NormalHanging12a"/>
      </w:pPr>
      <w:r w:rsidRPr="00FD389B">
        <w:t>L.</w:t>
      </w:r>
      <w:r w:rsidRPr="00FD389B">
        <w:tab/>
        <w:t xml:space="preserve">budući da genetski modificirani pamuk proizvodi protein APH4 koji se upotrebljava kao ARMG i koji deaktivira djelovanje antibiotičkog </w:t>
      </w:r>
      <w:proofErr w:type="spellStart"/>
      <w:r w:rsidRPr="00FD389B">
        <w:t>higromicina</w:t>
      </w:r>
      <w:proofErr w:type="spellEnd"/>
      <w:r w:rsidRPr="00FD389B">
        <w:t xml:space="preserve"> B;</w:t>
      </w:r>
    </w:p>
    <w:p w:rsidR="004B1E50" w:rsidRPr="00FD389B" w:rsidRDefault="004B1E50" w:rsidP="004B1E50">
      <w:pPr>
        <w:pStyle w:val="NormalHanging12a"/>
      </w:pPr>
      <w:r w:rsidRPr="00FD389B">
        <w:t>M.</w:t>
      </w:r>
      <w:r w:rsidRPr="00FD389B">
        <w:tab/>
        <w:t>budući da se člankom 4. stavkom 2. Direktive 2001/18/EZ Europskog parlamenta i Vijeća</w:t>
      </w:r>
      <w:r w:rsidRPr="00FD389B">
        <w:rPr>
          <w:rStyle w:val="FootnoteReference"/>
        </w:rPr>
        <w:footnoteReference w:id="11"/>
      </w:r>
      <w:r w:rsidRPr="00FD389B">
        <w:t xml:space="preserve"> zahtijeva da se genetski modificirani organizmi koji sadrže gene koji izražavaju otpornost na antibiotike koji se koriste u medicinskom ili veterinarskom liječenju posebno uzimaju u obzir pri provođenju procjene rizika za okoliš u cilju utvrđivanja i postupnog ukidanja markera gena otpornih na antibiotike u GMO-ima koji mogu štetno djelovati na ljudsko zdravlje i okoliš te se utvrđuje rok u 2004. nakon kojeg se ne bi trebali stavljati na tržište Unije;</w:t>
      </w:r>
    </w:p>
    <w:p w:rsidR="004B1E50" w:rsidRPr="00FD389B" w:rsidRDefault="004B1E50" w:rsidP="004B1E50">
      <w:pPr>
        <w:pStyle w:val="NormalHanging12a"/>
      </w:pPr>
      <w:r w:rsidRPr="00FD389B">
        <w:t>N.</w:t>
      </w:r>
      <w:r w:rsidRPr="00FD389B">
        <w:tab/>
        <w:t>budući da se u Provedbenoj uredbi Komisije (EU) br. 503/2013</w:t>
      </w:r>
      <w:r w:rsidRPr="00FD389B">
        <w:rPr>
          <w:rStyle w:val="FootnoteReference"/>
        </w:rPr>
        <w:footnoteReference w:id="12"/>
      </w:r>
      <w:r w:rsidRPr="00FD389B">
        <w:t xml:space="preserve"> navodi da je „sada moguće razviti GMO bez uporabe marker gena otpornih na antibiotike [...] podnositelj bi trebao imati za cilj razviti GMO-e bez uporabe marker gena otpornih na antibiotike.”;</w:t>
      </w:r>
    </w:p>
    <w:p w:rsidR="004B1E50" w:rsidRPr="00FD389B" w:rsidRDefault="004B1E50" w:rsidP="004B1E50">
      <w:pPr>
        <w:pStyle w:val="NormalHanging12a"/>
      </w:pPr>
      <w:r w:rsidRPr="00FD389B">
        <w:t>O.</w:t>
      </w:r>
      <w:r w:rsidRPr="00FD389B">
        <w:tab/>
        <w:t>budući da je nekoliko država članica izrazilo kritike u pogledu upotrebe ARMG-a, uključujući da bi, s obzirom na trenutačnu krizu u pogledu otpornosti na antibiotike, bilo mudro provesti načelo predostrožnosti, posebno u ovom slučaju u kojem je primjena ARMG-a potpuno nepotrebna i u kojem je moguće uklanjanje ARMG-a iz genoma biljke; budući da je nadležno tijelo jedne države članice dalo negativno mišljenje na temelju prisutnosti ARMG-a u genomu genetski modificiranog pamuka;</w:t>
      </w:r>
    </w:p>
    <w:p w:rsidR="004B1E50" w:rsidRPr="00FD389B" w:rsidRDefault="004B1E50" w:rsidP="004B1E50">
      <w:pPr>
        <w:pStyle w:val="NormalHanging12a"/>
      </w:pPr>
      <w:r w:rsidRPr="00FD389B">
        <w:t>P.</w:t>
      </w:r>
      <w:r w:rsidRPr="00FD389B">
        <w:tab/>
        <w:t xml:space="preserve">budući da je Europska agencija za lijekove potvrdila da u državama članicama nema proizvoda koji sadrže </w:t>
      </w:r>
      <w:proofErr w:type="spellStart"/>
      <w:r w:rsidRPr="00FD389B">
        <w:t>higromicin</w:t>
      </w:r>
      <w:proofErr w:type="spellEnd"/>
      <w:r w:rsidRPr="00FD389B">
        <w:t xml:space="preserve"> B odobrenih za terapijsku, profilaktičku ili bilo koju drugu medicinsku primjenu kod ljudi ili životinja te da ne postoje središnja odobrenja za humanu ili veterinarsku primjenu lijekova koji sadrže </w:t>
      </w:r>
      <w:proofErr w:type="spellStart"/>
      <w:r w:rsidRPr="00FD389B">
        <w:t>higromicin</w:t>
      </w:r>
      <w:proofErr w:type="spellEnd"/>
      <w:r w:rsidRPr="00FD389B">
        <w:t xml:space="preserve"> B11; budući da se u mišljenju EFSA-e navodi da „povjerenstvo za GMO smatra da će možda biti potrebno ažurirati procjenu rizika ako proizvodi koji sadržavaju </w:t>
      </w:r>
      <w:proofErr w:type="spellStart"/>
      <w:r w:rsidRPr="00FD389B">
        <w:t>higromicin</w:t>
      </w:r>
      <w:proofErr w:type="spellEnd"/>
      <w:r w:rsidRPr="00FD389B">
        <w:t xml:space="preserve"> B ili druge supstrate enzima APH4 dobiju u budućnosti odobrenje za stavljanje na tržište u EU-u”; budući da se, međutim, </w:t>
      </w:r>
      <w:proofErr w:type="spellStart"/>
      <w:r w:rsidRPr="00FD389B">
        <w:t>higromicin</w:t>
      </w:r>
      <w:proofErr w:type="spellEnd"/>
      <w:r w:rsidRPr="00FD389B">
        <w:t xml:space="preserve"> B koristi u veterinarskim proizvodima koji se prodaju izvan Unije; </w:t>
      </w:r>
    </w:p>
    <w:p w:rsidR="004B1E50" w:rsidRPr="00FD389B" w:rsidRDefault="004B1E50" w:rsidP="004B1E50">
      <w:pPr>
        <w:pStyle w:val="NormalHanging12a"/>
      </w:pPr>
      <w:r w:rsidRPr="00FD389B">
        <w:t>Q.</w:t>
      </w:r>
      <w:r w:rsidRPr="00FD389B">
        <w:tab/>
        <w:t xml:space="preserve">budući da se Parlament najmanje jednom u prošlosti usprotivio uvozu genetski </w:t>
      </w:r>
      <w:r w:rsidRPr="00FD389B">
        <w:lastRenderedPageBreak/>
        <w:t>modificiranih usjeva koji su sadržavali ARMG</w:t>
      </w:r>
      <w:r w:rsidRPr="00FD389B">
        <w:rPr>
          <w:rStyle w:val="FootnoteReference"/>
        </w:rPr>
        <w:footnoteReference w:id="13"/>
      </w:r>
      <w:r w:rsidRPr="00FD389B">
        <w:t>;</w:t>
      </w:r>
    </w:p>
    <w:p w:rsidR="004B1E50" w:rsidRPr="00FD389B" w:rsidRDefault="004B1E50" w:rsidP="004B1E50">
      <w:pPr>
        <w:pStyle w:val="NormalHanging12a"/>
      </w:pPr>
      <w:r w:rsidRPr="00FD389B">
        <w:t>R.</w:t>
      </w:r>
      <w:r w:rsidRPr="00FD389B">
        <w:tab/>
        <w:t>budući da antimikrobna otpornost predstavlja prijetnju globalnom zdravlju, sigurnosti opskrbe hranom i postizanju ciljeva održivog razvoja do 2030. te da infekcije otporne na lijekove ne poznaju granice</w:t>
      </w:r>
      <w:r w:rsidRPr="00FD389B">
        <w:rPr>
          <w:rStyle w:val="FootnoteReference"/>
        </w:rPr>
        <w:footnoteReference w:id="14"/>
      </w:r>
      <w:r w:rsidRPr="00FD389B">
        <w:t>;</w:t>
      </w:r>
    </w:p>
    <w:p w:rsidR="004B1E50" w:rsidRPr="00FD389B" w:rsidRDefault="004B1E50" w:rsidP="004B1E50">
      <w:pPr>
        <w:pStyle w:val="NormalHanging12a"/>
        <w:rPr>
          <w:b/>
          <w:i/>
        </w:rPr>
      </w:pPr>
      <w:r w:rsidRPr="00FD389B">
        <w:rPr>
          <w:b/>
          <w:i/>
        </w:rPr>
        <w:t>Primjedbe nadležnog tijela države članice i dionika</w:t>
      </w:r>
    </w:p>
    <w:p w:rsidR="004B1E50" w:rsidRPr="00FD389B" w:rsidRDefault="004B1E50" w:rsidP="004B1E50">
      <w:pPr>
        <w:pStyle w:val="NormalHanging12a"/>
      </w:pPr>
      <w:r w:rsidRPr="00FD389B">
        <w:t>S.</w:t>
      </w:r>
      <w:r w:rsidRPr="00FD389B">
        <w:tab/>
        <w:t>budući da su države članice tijekom tromjesečnog razdoblja savjetovanja</w:t>
      </w:r>
      <w:r w:rsidRPr="00FD389B">
        <w:rPr>
          <w:rStyle w:val="FootnoteReference"/>
        </w:rPr>
        <w:footnoteReference w:id="15"/>
      </w:r>
      <w:r w:rsidRPr="00FD389B">
        <w:t xml:space="preserve"> dostavile brojne kritike EFSA-i, uključujući da se uzgoj genetski modificiranog pamuka na poljoprivrednim poljima treba smatrati namjernom kontaminacijom prirodnog okoliša genima otpornima na antibiotike, kao i da su dostavljene informacije o molekularnoj karakterizaciji, sastavu i toksikologiji nedostatne te su stoga zaključci EFSA-e o jednakovrijednosti genetski modificiranog pamuka i konvencionalnog pamuka u pogledu sigurnosti hrane i hrane za životinje preuranjeni;</w:t>
      </w:r>
    </w:p>
    <w:p w:rsidR="004B1E50" w:rsidRPr="00FD389B" w:rsidRDefault="004B1E50" w:rsidP="004B1E50">
      <w:pPr>
        <w:pStyle w:val="NormalHanging12a"/>
      </w:pPr>
      <w:r w:rsidRPr="00FD389B">
        <w:t>T.</w:t>
      </w:r>
      <w:r w:rsidRPr="00FD389B">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takvi legitimni čimbenici trebali uključivati obveze Unije u pogledu borbe protiv antimikrobne rezistencije;</w:t>
      </w:r>
    </w:p>
    <w:p w:rsidR="004B1E50" w:rsidRPr="00FD389B" w:rsidRDefault="004B1E50" w:rsidP="004B1E50">
      <w:pPr>
        <w:pStyle w:val="NormalHanging12a"/>
        <w:rPr>
          <w:b/>
          <w:i/>
        </w:rPr>
      </w:pPr>
      <w:r w:rsidRPr="00FD389B">
        <w:rPr>
          <w:b/>
          <w:i/>
        </w:rPr>
        <w:t>Nedemokratsko donošenje odluka</w:t>
      </w:r>
    </w:p>
    <w:p w:rsidR="004B1E50" w:rsidRPr="00FD389B" w:rsidRDefault="004B1E50" w:rsidP="004B1E50">
      <w:pPr>
        <w:pStyle w:val="NormalHanging12a"/>
      </w:pPr>
      <w:r w:rsidRPr="00FD389B">
        <w:t>U.</w:t>
      </w:r>
      <w:r w:rsidRPr="00FD389B">
        <w:tab/>
        <w:t>budući da je Parlament u svojem osmom sazivu donio ukupno 36 rezolucija u kojima se protivi stavljanju na tržište genetski modificiranih organizama za hranu i hranu za životinje (33 rezolucije) i uzgoju genetski modificiranih organizama u Uniji (tri rezolucije); budući da je Parlament u svojem devetom sazivu donio 38 prigovora na stavljanje genetski modificiranih organizama na tržište;</w:t>
      </w:r>
    </w:p>
    <w:p w:rsidR="004B1E50" w:rsidRPr="00FD389B" w:rsidRDefault="004B1E50" w:rsidP="004B1E50">
      <w:pPr>
        <w:pStyle w:val="NormalHanging12a"/>
      </w:pPr>
      <w:r w:rsidRPr="00FD389B">
        <w:t>V.</w:t>
      </w:r>
      <w:r w:rsidRPr="00FD389B">
        <w:tab/>
        <w:t>budući da Komisija i dalje izdaje odobrenja za genetski modificirane organizme unatoč tome što je i sama priznala postojanje demokratskih nedostataka te usprkos izostanku potpore država članica i prigovorima Parlamenta;</w:t>
      </w:r>
    </w:p>
    <w:p w:rsidR="004B1E50" w:rsidRPr="00FD389B" w:rsidRDefault="004B1E50" w:rsidP="004B1E50">
      <w:pPr>
        <w:pStyle w:val="NormalHanging12a"/>
      </w:pPr>
      <w:r w:rsidRPr="00FD389B">
        <w:t>W.</w:t>
      </w:r>
      <w:r w:rsidRPr="00FD389B">
        <w:tab/>
        <w:t xml:space="preserve">budući da onda kad u žalbenom odboru davanje odobrenja nije podržala kvalificirana većina država članica nije potrebno mijenjati zakonodavstvo kako bi se Komisiji </w:t>
      </w:r>
      <w:r w:rsidRPr="00FD389B">
        <w:lastRenderedPageBreak/>
        <w:t>omogućilo da uskrati odobrenje za genetski modificirane organizme</w:t>
      </w:r>
      <w:r w:rsidRPr="00FD389B">
        <w:rPr>
          <w:rStyle w:val="FootnoteReference"/>
        </w:rPr>
        <w:footnoteReference w:id="16"/>
      </w:r>
      <w:r w:rsidRPr="00FD389B">
        <w:t>;</w:t>
      </w:r>
    </w:p>
    <w:p w:rsidR="004B1E50" w:rsidRPr="00FD389B" w:rsidRDefault="004B1E50" w:rsidP="004B1E50">
      <w:pPr>
        <w:pStyle w:val="NormalHanging12a"/>
      </w:pPr>
      <w:r w:rsidRPr="00FD389B">
        <w:t>X.</w:t>
      </w:r>
      <w:r w:rsidRPr="00FD389B">
        <w:tab/>
      </w:r>
      <w:r w:rsidRPr="00FD389B">
        <w:rPr>
          <w:shd w:val="clear" w:color="auto" w:fill="FFFFFF"/>
        </w:rPr>
        <w:t>budući da na glasovanju Stalnog odbora za bilje, životinje, hranu i hranu za životinje iz članka 35. Uredbe (EZ) br. 1829/2003, koje je održano 8. srpnja 2024., nije doneseno nikakvo mišljenje, što znači da kvalificirana većina država članica nije podržala odobrenje; budući da nakon glasovanja 3. rujna 2024. žalbeni odbor ponovno nije donio mišljenje;</w:t>
      </w:r>
    </w:p>
    <w:p w:rsidR="004B1E50" w:rsidRPr="00FD389B" w:rsidRDefault="004B1E50" w:rsidP="004B1E50">
      <w:pPr>
        <w:pStyle w:val="NormalHanging12a"/>
      </w:pPr>
      <w:r w:rsidRPr="00FD389B">
        <w:t>1.</w:t>
      </w:r>
      <w:r w:rsidRPr="00FD389B">
        <w:tab/>
        <w:t xml:space="preserve">smatra da </w:t>
      </w:r>
      <w:r w:rsidR="00EA1D33">
        <w:t xml:space="preserve">se </w:t>
      </w:r>
      <w:r w:rsidR="00FD389B">
        <w:t>P</w:t>
      </w:r>
      <w:r w:rsidRPr="00FD389B">
        <w:t>rovedben</w:t>
      </w:r>
      <w:r w:rsidR="00EA1D33">
        <w:t>om</w:t>
      </w:r>
      <w:r w:rsidRPr="00FD389B">
        <w:t xml:space="preserve"> odluk</w:t>
      </w:r>
      <w:r w:rsidR="00EA1D33">
        <w:t>om</w:t>
      </w:r>
      <w:r w:rsidRPr="00FD389B">
        <w:t xml:space="preserve"> </w:t>
      </w:r>
      <w:r w:rsidR="00FD389B">
        <w:t xml:space="preserve">(EU) 2024/2627 </w:t>
      </w:r>
      <w:r w:rsidR="00EA1D33">
        <w:t>prekoračuju</w:t>
      </w:r>
      <w:r w:rsidRPr="00FD389B">
        <w:t xml:space="preserve"> provedbene ovlasti predviđene Uredbom (EZ) br. 1829/2003;</w:t>
      </w:r>
    </w:p>
    <w:p w:rsidR="004B1E50" w:rsidRPr="00FD389B" w:rsidRDefault="004B1E50" w:rsidP="004B1E50">
      <w:pPr>
        <w:pStyle w:val="NormalHanging12a"/>
      </w:pPr>
      <w:r w:rsidRPr="00FD389B">
        <w:t>2.</w:t>
      </w:r>
      <w:r w:rsidRPr="00FD389B">
        <w:tab/>
        <w:t xml:space="preserve">smatra da </w:t>
      </w:r>
      <w:r w:rsidR="00FD389B">
        <w:t>P</w:t>
      </w:r>
      <w:r w:rsidRPr="00FD389B">
        <w:t>rovedben</w:t>
      </w:r>
      <w:r w:rsidR="00FD389B">
        <w:t>a</w:t>
      </w:r>
      <w:r w:rsidRPr="00FD389B">
        <w:t xml:space="preserve"> odluk</w:t>
      </w:r>
      <w:r w:rsidR="00FD389B">
        <w:t>a</w:t>
      </w:r>
      <w:r w:rsidRPr="00FD389B">
        <w:t xml:space="preserve"> </w:t>
      </w:r>
      <w:r w:rsidR="00FD389B">
        <w:t xml:space="preserve">(EU) 2024/2627 </w:t>
      </w:r>
      <w:r w:rsidRPr="00FD389B">
        <w:t>nije u skladu s pravom Unije jer nije spojiv</w:t>
      </w:r>
      <w:r w:rsidR="00E57133">
        <w:t>a</w:t>
      </w:r>
      <w:r w:rsidRPr="00FD389B">
        <w:t xml:space="preserve"> s ciljem Uredbe (EZ) br. 1829/2003, a on je, u skladu s općim načelima utvrđenima u Uredbi (EZ) br. 178/2002 Europskog parlamenta i Vijeća</w:t>
      </w:r>
      <w:r w:rsidRPr="00FD389B">
        <w:rPr>
          <w:rStyle w:val="FootnoteReference"/>
        </w:rPr>
        <w:footnoteReference w:id="17"/>
      </w:r>
      <w:r w:rsidRPr="00FD389B">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4B1E50" w:rsidRPr="00FD389B" w:rsidRDefault="004B1E50" w:rsidP="004B1E50">
      <w:pPr>
        <w:pStyle w:val="NormalHanging12a"/>
      </w:pPr>
      <w:r w:rsidRPr="00FD389B">
        <w:t>3.</w:t>
      </w:r>
      <w:r w:rsidRPr="00FD389B">
        <w:tab/>
        <w:t xml:space="preserve">poziva Komisiju da </w:t>
      </w:r>
      <w:r w:rsidR="00A95096">
        <w:t>povuče</w:t>
      </w:r>
      <w:r w:rsidRPr="00FD389B">
        <w:t xml:space="preserve"> svoj</w:t>
      </w:r>
      <w:r w:rsidR="00FD389B">
        <w:t>u</w:t>
      </w:r>
      <w:r w:rsidRPr="00FD389B">
        <w:t xml:space="preserve"> </w:t>
      </w:r>
      <w:r w:rsidR="00FD389B">
        <w:t>P</w:t>
      </w:r>
      <w:r w:rsidRPr="00FD389B">
        <w:t>rovedben</w:t>
      </w:r>
      <w:r w:rsidR="00FD389B">
        <w:t>u</w:t>
      </w:r>
      <w:r w:rsidR="00FA004A">
        <w:t xml:space="preserve"> odluku</w:t>
      </w:r>
      <w:r w:rsidRPr="00FD389B">
        <w:t xml:space="preserve"> </w:t>
      </w:r>
      <w:r w:rsidR="00FD389B">
        <w:t xml:space="preserve">(EU) 2024/2627 </w:t>
      </w:r>
      <w:r w:rsidRPr="00FD389B">
        <w:t>te da odboru podnese novi nacrt;</w:t>
      </w:r>
    </w:p>
    <w:p w:rsidR="004B1E50" w:rsidRPr="00FD389B" w:rsidRDefault="004B1E50" w:rsidP="004B1E50">
      <w:pPr>
        <w:pStyle w:val="NormalHanging12a"/>
      </w:pPr>
      <w:r w:rsidRPr="00FD389B">
        <w:t>4.</w:t>
      </w:r>
      <w:r w:rsidRPr="00FD389B">
        <w:tab/>
        <w:t xml:space="preserve">ponavlja svoj poziv Komisiji da ne odobri stavljanje na tržište genetski modificiranih biljaka koje sadržavaju gene koji uzrokuju antimikrobnu rezistenciju; konstatira da bi se odobrenjem kršio članak 4. stavak 2. Direktive 2001/18/EZ kojim se poziva na postupno ukidanje markera gena otpornih na antibiotike koji bi mogli imati negativne učinke na zdravlje ljudi ili na okoliš; </w:t>
      </w:r>
    </w:p>
    <w:p w:rsidR="004B1E50" w:rsidRPr="00FD389B" w:rsidRDefault="004B1E50" w:rsidP="004B1E50">
      <w:pPr>
        <w:pStyle w:val="NormalHanging12a"/>
      </w:pPr>
      <w:r w:rsidRPr="00FD389B">
        <w:t>5.</w:t>
      </w:r>
      <w:r w:rsidRPr="00FD389B">
        <w:tab/>
        <w:t>pozdravlja činjenicu da je Komisija u dopisu zastupnicima od 11. rujna 2020. konačno uvidjela potrebu da se pri donošenju odluka o odobravanju genetski modificiranih organizama u obzir uzme održivost</w:t>
      </w:r>
      <w:r w:rsidRPr="00FD389B">
        <w:rPr>
          <w:rStyle w:val="FootnoteReference"/>
        </w:rPr>
        <w:footnoteReference w:id="18"/>
      </w:r>
      <w:r w:rsidRPr="00FD389B">
        <w:t>; međutim, izražava duboko razočaranje zbog toga što Komisija i dalje odobrava uvoz genetski modificiranih organizama u Uniju unatoč stalnim prigovorima Parlamenta i činjenici da većina država članica glasuje protiv;</w:t>
      </w:r>
    </w:p>
    <w:p w:rsidR="004B1E50" w:rsidRPr="00FD389B" w:rsidRDefault="004B1E50" w:rsidP="004B1E50">
      <w:pPr>
        <w:pStyle w:val="NormalHanging12a"/>
      </w:pPr>
      <w:r w:rsidRPr="00FD389B">
        <w:t>6.</w:t>
      </w:r>
      <w:r w:rsidRPr="00FD389B">
        <w:tab/>
        <w:t>ponovno apelira na Komisiju da uzme u obzir obveze Unije na temelju međunarodnih sporazuma, kao što su Pariški klimatski sporazum, Konvencija Ujedinjenih naroda o biološkoj raznolikosti i UN-ovi ciljevi održivog razvoja; ponavlja svoj poziv da se nacrti provedbenih akata poprate obrazloženjem u kojem se objašnjava na koji se način poštuje načelo „</w:t>
      </w:r>
      <w:proofErr w:type="spellStart"/>
      <w:r w:rsidRPr="00FD389B">
        <w:t>nenanošenja</w:t>
      </w:r>
      <w:proofErr w:type="spellEnd"/>
      <w:r w:rsidRPr="00FD389B">
        <w:t xml:space="preserve"> štete”</w:t>
      </w:r>
      <w:r w:rsidRPr="00FD389B">
        <w:rPr>
          <w:rStyle w:val="FootnoteReference"/>
        </w:rPr>
        <w:footnoteReference w:id="19"/>
      </w:r>
      <w:r w:rsidRPr="00FD389B">
        <w:t>;</w:t>
      </w:r>
    </w:p>
    <w:p w:rsidR="00E365E1" w:rsidRPr="00FD389B" w:rsidRDefault="004B1E50" w:rsidP="00FD389B">
      <w:pPr>
        <w:ind w:left="567" w:hanging="567"/>
      </w:pPr>
      <w:r w:rsidRPr="00FD389B">
        <w:lastRenderedPageBreak/>
        <w:t>7.</w:t>
      </w:r>
      <w:r w:rsidRPr="00FD389B">
        <w:tab/>
        <w:t>nalaže svojoj predsjednici da ovu Rezoluciju proslijedi Vijeću i Komisiji te vladama i parlamentima država članica.</w:t>
      </w:r>
    </w:p>
    <w:sectPr w:rsidR="00E365E1" w:rsidRPr="00FD389B" w:rsidSect="00FF37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79" w:rsidRPr="00FF3722" w:rsidRDefault="00E12F79">
      <w:r w:rsidRPr="00FF3722">
        <w:separator/>
      </w:r>
    </w:p>
  </w:endnote>
  <w:endnote w:type="continuationSeparator" w:id="0">
    <w:p w:rsidR="00E12F79" w:rsidRPr="00FF3722" w:rsidRDefault="00E12F79">
      <w:r w:rsidRPr="00FF37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7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7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7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79" w:rsidRPr="00FF3722" w:rsidRDefault="00E12F79">
      <w:r w:rsidRPr="00FF3722">
        <w:separator/>
      </w:r>
    </w:p>
  </w:footnote>
  <w:footnote w:type="continuationSeparator" w:id="0">
    <w:p w:rsidR="00E12F79" w:rsidRPr="00FF3722" w:rsidRDefault="00E12F79">
      <w:r w:rsidRPr="00FF3722">
        <w:continuationSeparator/>
      </w:r>
    </w:p>
  </w:footnote>
  <w:footnote w:id="1">
    <w:p w:rsidR="00FD389B" w:rsidRPr="00A95096" w:rsidRDefault="00FD389B" w:rsidP="00A95096">
      <w:pPr>
        <w:pStyle w:val="FootnoteText"/>
        <w:ind w:left="567" w:hanging="567"/>
        <w:rPr>
          <w:lang w:val="hr-HR"/>
        </w:rPr>
      </w:pPr>
      <w:r w:rsidRPr="00A95096">
        <w:rPr>
          <w:rStyle w:val="FootnoteReference"/>
          <w:sz w:val="24"/>
          <w:szCs w:val="24"/>
        </w:rPr>
        <w:footnoteRef/>
      </w:r>
      <w:r w:rsidRPr="00A95096">
        <w:rPr>
          <w:sz w:val="24"/>
          <w:szCs w:val="24"/>
          <w:lang w:val="fi-FI"/>
        </w:rPr>
        <w:t xml:space="preserve"> </w:t>
      </w:r>
      <w:r w:rsidRPr="00A95096">
        <w:rPr>
          <w:lang w:val="fi-FI"/>
        </w:rPr>
        <w:tab/>
      </w:r>
      <w:r>
        <w:rPr>
          <w:sz w:val="24"/>
          <w:lang w:val="fi-FI"/>
        </w:rPr>
        <w:t>SL</w:t>
      </w:r>
      <w:r w:rsidRPr="00A95096">
        <w:rPr>
          <w:sz w:val="24"/>
          <w:lang w:val="fi-FI"/>
        </w:rPr>
        <w:t xml:space="preserve"> L, 2024/2627, 10.10.2024</w:t>
      </w:r>
      <w:r>
        <w:rPr>
          <w:sz w:val="24"/>
          <w:lang w:val="fi-FI"/>
        </w:rPr>
        <w:t>.</w:t>
      </w:r>
      <w:r w:rsidRPr="00A95096">
        <w:rPr>
          <w:sz w:val="24"/>
          <w:lang w:val="fi-FI"/>
        </w:rPr>
        <w:t xml:space="preserve">, ELI: </w:t>
      </w:r>
      <w:hyperlink r:id="rId1" w:history="1">
        <w:r w:rsidRPr="00A95096">
          <w:rPr>
            <w:rStyle w:val="Hyperlink"/>
            <w:lang w:val="fi-FI"/>
          </w:rPr>
          <w:t>http://data.europa.eu/eli/dec_impl/2024/2627/oj</w:t>
        </w:r>
      </w:hyperlink>
      <w:r w:rsidRPr="00FD389B">
        <w:rPr>
          <w:sz w:val="24"/>
          <w:lang w:val="fi-FI"/>
        </w:rPr>
        <w:t>.</w:t>
      </w:r>
    </w:p>
  </w:footnote>
  <w:footnote w:id="2">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SL L 268, 18.10.2003., str. </w:t>
      </w:r>
      <w:r w:rsidRPr="00FF3722">
        <w:rPr>
          <w:sz w:val="24"/>
          <w:lang w:val="hr-HR"/>
        </w:rPr>
        <w:t>1., ELI: </w:t>
      </w:r>
      <w:hyperlink r:id="rId2" w:tooltip="Dokument je dostupan na temelju identifikatora ELI URI." w:history="1">
        <w:r w:rsidRPr="00FF3722">
          <w:rPr>
            <w:rStyle w:val="Hyperlink"/>
            <w:sz w:val="24"/>
            <w:lang w:val="hr-HR"/>
          </w:rPr>
          <w:t>http://data.europa.eu/eli/reg/2003/1829/oj</w:t>
        </w:r>
      </w:hyperlink>
      <w:r w:rsidRPr="00FF3722">
        <w:rPr>
          <w:sz w:val="24"/>
          <w:lang w:val="hr-HR"/>
        </w:rPr>
        <w:t>.</w:t>
      </w:r>
    </w:p>
  </w:footnote>
  <w:footnote w:id="3">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SL L 55, 28.2.2011., str. </w:t>
      </w:r>
      <w:r w:rsidRPr="00FF3722">
        <w:rPr>
          <w:sz w:val="24"/>
          <w:lang w:val="hr-HR"/>
        </w:rPr>
        <w:t xml:space="preserve">13., ELI: </w:t>
      </w:r>
      <w:hyperlink r:id="rId3" w:tooltip="Dokument je dostupan na temelju identifikatora ELI URI." w:history="1">
        <w:r w:rsidRPr="00FF3722">
          <w:rPr>
            <w:rStyle w:val="Hyperlink"/>
            <w:sz w:val="24"/>
            <w:lang w:val="hr-HR"/>
          </w:rPr>
          <w:t>http://data.europa.eu/eli/reg/2011/182/oj</w:t>
        </w:r>
      </w:hyperlink>
      <w:r w:rsidRPr="00FF3722">
        <w:rPr>
          <w:sz w:val="24"/>
          <w:lang w:val="hr-HR"/>
        </w:rPr>
        <w:t>.</w:t>
      </w:r>
    </w:p>
  </w:footnote>
  <w:footnote w:id="4">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Znanstveno mišljenje EFSA-ina Povjerenstva za genetski modificirane organizme o procjeni genetski modificiranog pamuka COT102 za uporabu u hrani i hrani za životinje na temelju Uredbe (EZ) br. </w:t>
      </w:r>
      <w:r w:rsidRPr="00FF3722">
        <w:rPr>
          <w:sz w:val="24"/>
          <w:lang w:val="hr-HR"/>
        </w:rPr>
        <w:t>1829/2003 (zahtjev EFSA-GMO-DE-2017-141), EFSA Journal 2023;21(6):8031;</w:t>
      </w:r>
      <w:r w:rsidR="00FD389B">
        <w:rPr>
          <w:sz w:val="24"/>
          <w:lang w:val="hr-HR"/>
        </w:rPr>
        <w:t xml:space="preserve"> </w:t>
      </w:r>
      <w:hyperlink r:id="rId4" w:history="1">
        <w:r w:rsidRPr="00FF3722">
          <w:rPr>
            <w:rStyle w:val="Hyperlink"/>
            <w:sz w:val="24"/>
            <w:lang w:val="hr-HR"/>
          </w:rPr>
          <w:t>https://doi.org/10.2903/j.efsa.2023.8031</w:t>
        </w:r>
      </w:hyperlink>
      <w:r w:rsidRPr="00FF3722">
        <w:rPr>
          <w:sz w:val="24"/>
          <w:lang w:val="hr-HR"/>
        </w:rPr>
        <w:t>.</w:t>
      </w:r>
    </w:p>
  </w:footnote>
  <w:footnote w:id="5">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color w:val="000000" w:themeColor="text1"/>
          <w:sz w:val="24"/>
          <w:lang w:val="hr-HR"/>
        </w:rPr>
        <w:t xml:space="preserve"> </w:t>
      </w:r>
      <w:r w:rsidR="00FF3722" w:rsidRPr="00FF3722">
        <w:rPr>
          <w:color w:val="000000" w:themeColor="text1"/>
          <w:sz w:val="24"/>
          <w:lang w:val="hr-HR"/>
        </w:rPr>
        <w:tab/>
      </w:r>
      <w:r w:rsidRPr="00FF3722">
        <w:rPr>
          <w:color w:val="000000" w:themeColor="text1"/>
          <w:sz w:val="24"/>
          <w:lang w:val="hr-HR"/>
        </w:rPr>
        <w:t>Parlament je u osmom sazivu donio 36, a u devetom sazivu 38 rezolucija u kojima se protivi odobravanju GMO-a.</w:t>
      </w:r>
    </w:p>
  </w:footnote>
  <w:footnote w:id="6">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proofErr w:type="spellStart"/>
      <w:r w:rsidRPr="00FF3722">
        <w:rPr>
          <w:sz w:val="24"/>
          <w:lang w:val="hr-HR"/>
        </w:rPr>
        <w:t>MacIntosh</w:t>
      </w:r>
      <w:proofErr w:type="spellEnd"/>
      <w:r w:rsidRPr="00FF3722">
        <w:rPr>
          <w:sz w:val="24"/>
          <w:lang w:val="hr-HR"/>
        </w:rPr>
        <w:t xml:space="preserve">, S.C., </w:t>
      </w:r>
      <w:proofErr w:type="spellStart"/>
      <w:r w:rsidRPr="00FF3722">
        <w:rPr>
          <w:sz w:val="24"/>
          <w:lang w:val="hr-HR"/>
        </w:rPr>
        <w:t>Kishore</w:t>
      </w:r>
      <w:proofErr w:type="spellEnd"/>
      <w:r w:rsidRPr="00FF3722">
        <w:rPr>
          <w:sz w:val="24"/>
          <w:lang w:val="hr-HR"/>
        </w:rPr>
        <w:t xml:space="preserve">, G.M., </w:t>
      </w:r>
      <w:proofErr w:type="spellStart"/>
      <w:r w:rsidRPr="00FF3722">
        <w:rPr>
          <w:sz w:val="24"/>
          <w:lang w:val="hr-HR"/>
        </w:rPr>
        <w:t>Perlak</w:t>
      </w:r>
      <w:proofErr w:type="spellEnd"/>
      <w:r w:rsidRPr="00FF3722">
        <w:rPr>
          <w:sz w:val="24"/>
          <w:lang w:val="hr-HR"/>
        </w:rPr>
        <w:t xml:space="preserve">, F.J., </w:t>
      </w:r>
      <w:proofErr w:type="spellStart"/>
      <w:r w:rsidRPr="00FF3722">
        <w:rPr>
          <w:sz w:val="24"/>
          <w:lang w:val="hr-HR"/>
        </w:rPr>
        <w:t>Marrone</w:t>
      </w:r>
      <w:proofErr w:type="spellEnd"/>
      <w:r w:rsidRPr="00FF3722">
        <w:rPr>
          <w:sz w:val="24"/>
          <w:lang w:val="hr-HR"/>
        </w:rPr>
        <w:t xml:space="preserve">, P.G., Stone, T.B., </w:t>
      </w:r>
      <w:proofErr w:type="spellStart"/>
      <w:r w:rsidRPr="00FF3722">
        <w:rPr>
          <w:sz w:val="24"/>
          <w:lang w:val="hr-HR"/>
        </w:rPr>
        <w:t>Sims</w:t>
      </w:r>
      <w:proofErr w:type="spellEnd"/>
      <w:r w:rsidRPr="00FF3722">
        <w:rPr>
          <w:sz w:val="24"/>
          <w:lang w:val="hr-HR"/>
        </w:rPr>
        <w:t xml:space="preserve">, S.R., Fuchs, R.L., </w:t>
      </w:r>
      <w:proofErr w:type="spellStart"/>
      <w:r w:rsidRPr="00FF3722">
        <w:rPr>
          <w:sz w:val="24"/>
          <w:lang w:val="hr-HR"/>
        </w:rPr>
        <w:t>Potentiation</w:t>
      </w:r>
      <w:proofErr w:type="spellEnd"/>
      <w:r w:rsidRPr="00FF3722">
        <w:rPr>
          <w:sz w:val="24"/>
          <w:lang w:val="hr-HR"/>
        </w:rPr>
        <w:t xml:space="preserve"> </w:t>
      </w:r>
      <w:proofErr w:type="spellStart"/>
      <w:r w:rsidRPr="00FF3722">
        <w:rPr>
          <w:sz w:val="24"/>
          <w:lang w:val="hr-HR"/>
        </w:rPr>
        <w:t>of</w:t>
      </w:r>
      <w:proofErr w:type="spellEnd"/>
      <w:r w:rsidRPr="00FF3722">
        <w:rPr>
          <w:sz w:val="24"/>
          <w:lang w:val="hr-HR"/>
        </w:rPr>
        <w:t xml:space="preserve"> </w:t>
      </w:r>
      <w:proofErr w:type="spellStart"/>
      <w:r w:rsidRPr="00FF3722">
        <w:rPr>
          <w:i/>
          <w:sz w:val="24"/>
          <w:lang w:val="hr-HR"/>
        </w:rPr>
        <w:t>Bacillus</w:t>
      </w:r>
      <w:proofErr w:type="spellEnd"/>
      <w:r w:rsidRPr="00FF3722">
        <w:rPr>
          <w:i/>
          <w:sz w:val="24"/>
          <w:lang w:val="hr-HR"/>
        </w:rPr>
        <w:t xml:space="preserve"> </w:t>
      </w:r>
      <w:proofErr w:type="spellStart"/>
      <w:r w:rsidRPr="00FF3722">
        <w:rPr>
          <w:i/>
          <w:sz w:val="24"/>
          <w:lang w:val="hr-HR"/>
        </w:rPr>
        <w:t>thuringiensis</w:t>
      </w:r>
      <w:proofErr w:type="spellEnd"/>
      <w:r w:rsidRPr="00FF3722">
        <w:rPr>
          <w:sz w:val="24"/>
          <w:lang w:val="hr-HR"/>
        </w:rPr>
        <w:t xml:space="preserve"> </w:t>
      </w:r>
      <w:proofErr w:type="spellStart"/>
      <w:r w:rsidRPr="00FF3722">
        <w:rPr>
          <w:sz w:val="24"/>
          <w:lang w:val="hr-HR"/>
        </w:rPr>
        <w:t>insecticidal</w:t>
      </w:r>
      <w:proofErr w:type="spellEnd"/>
      <w:r w:rsidRPr="00FF3722">
        <w:rPr>
          <w:sz w:val="24"/>
          <w:lang w:val="hr-HR"/>
        </w:rPr>
        <w:t xml:space="preserve"> </w:t>
      </w:r>
      <w:proofErr w:type="spellStart"/>
      <w:r w:rsidRPr="00FF3722">
        <w:rPr>
          <w:sz w:val="24"/>
          <w:lang w:val="hr-HR"/>
        </w:rPr>
        <w:t>activity</w:t>
      </w:r>
      <w:proofErr w:type="spellEnd"/>
      <w:r w:rsidRPr="00FF3722">
        <w:rPr>
          <w:sz w:val="24"/>
          <w:lang w:val="hr-HR"/>
        </w:rPr>
        <w:t xml:space="preserve"> </w:t>
      </w:r>
      <w:proofErr w:type="spellStart"/>
      <w:r w:rsidRPr="00FF3722">
        <w:rPr>
          <w:sz w:val="24"/>
          <w:lang w:val="hr-HR"/>
        </w:rPr>
        <w:t>by</w:t>
      </w:r>
      <w:proofErr w:type="spellEnd"/>
      <w:r w:rsidRPr="00FF3722">
        <w:rPr>
          <w:sz w:val="24"/>
          <w:lang w:val="hr-HR"/>
        </w:rPr>
        <w:t xml:space="preserve"> </w:t>
      </w:r>
      <w:proofErr w:type="spellStart"/>
      <w:r w:rsidRPr="00FF3722">
        <w:rPr>
          <w:sz w:val="24"/>
          <w:lang w:val="hr-HR"/>
        </w:rPr>
        <w:t>serine</w:t>
      </w:r>
      <w:proofErr w:type="spellEnd"/>
      <w:r w:rsidRPr="00FF3722">
        <w:rPr>
          <w:sz w:val="24"/>
          <w:lang w:val="hr-HR"/>
        </w:rPr>
        <w:t xml:space="preserve"> </w:t>
      </w:r>
      <w:proofErr w:type="spellStart"/>
      <w:r w:rsidRPr="00FF3722">
        <w:rPr>
          <w:sz w:val="24"/>
          <w:lang w:val="hr-HR"/>
        </w:rPr>
        <w:t>protease</w:t>
      </w:r>
      <w:proofErr w:type="spellEnd"/>
      <w:r w:rsidRPr="00FF3722">
        <w:rPr>
          <w:sz w:val="24"/>
          <w:lang w:val="hr-HR"/>
        </w:rPr>
        <w:t xml:space="preserve"> </w:t>
      </w:r>
      <w:proofErr w:type="spellStart"/>
      <w:r w:rsidRPr="00FF3722">
        <w:rPr>
          <w:sz w:val="24"/>
          <w:lang w:val="hr-HR"/>
        </w:rPr>
        <w:t>inhibitors</w:t>
      </w:r>
      <w:proofErr w:type="spellEnd"/>
      <w:r w:rsidRPr="00FF3722">
        <w:rPr>
          <w:sz w:val="24"/>
          <w:lang w:val="hr-HR"/>
        </w:rPr>
        <w:t xml:space="preserve"> (</w:t>
      </w:r>
      <w:proofErr w:type="spellStart"/>
      <w:r w:rsidRPr="00FF3722">
        <w:rPr>
          <w:sz w:val="24"/>
          <w:lang w:val="hr-HR"/>
        </w:rPr>
        <w:t>Potencijacija</w:t>
      </w:r>
      <w:proofErr w:type="spellEnd"/>
      <w:r w:rsidRPr="00FF3722">
        <w:rPr>
          <w:sz w:val="24"/>
          <w:lang w:val="hr-HR"/>
        </w:rPr>
        <w:t xml:space="preserve"> insekticidnog djelovanja bakterije </w:t>
      </w:r>
      <w:proofErr w:type="spellStart"/>
      <w:r w:rsidRPr="00FF3722">
        <w:rPr>
          <w:sz w:val="24"/>
          <w:lang w:val="hr-HR"/>
        </w:rPr>
        <w:t>Bacillus</w:t>
      </w:r>
      <w:proofErr w:type="spellEnd"/>
      <w:r w:rsidRPr="00FF3722">
        <w:rPr>
          <w:sz w:val="24"/>
          <w:lang w:val="hr-HR"/>
        </w:rPr>
        <w:t xml:space="preserve"> </w:t>
      </w:r>
      <w:proofErr w:type="spellStart"/>
      <w:r w:rsidRPr="00FF3722">
        <w:rPr>
          <w:sz w:val="24"/>
          <w:lang w:val="hr-HR"/>
        </w:rPr>
        <w:t>thuringiensis</w:t>
      </w:r>
      <w:proofErr w:type="spellEnd"/>
      <w:r w:rsidRPr="00FF3722">
        <w:rPr>
          <w:sz w:val="24"/>
          <w:lang w:val="hr-HR"/>
        </w:rPr>
        <w:t xml:space="preserve"> korištenjem </w:t>
      </w:r>
      <w:proofErr w:type="spellStart"/>
      <w:r w:rsidRPr="00FF3722">
        <w:rPr>
          <w:sz w:val="24"/>
          <w:lang w:val="hr-HR"/>
        </w:rPr>
        <w:t>inhibitora</w:t>
      </w:r>
      <w:proofErr w:type="spellEnd"/>
      <w:r w:rsidRPr="00FF3722">
        <w:rPr>
          <w:sz w:val="24"/>
          <w:lang w:val="hr-HR"/>
        </w:rPr>
        <w:t xml:space="preserve"> </w:t>
      </w:r>
      <w:proofErr w:type="spellStart"/>
      <w:r w:rsidRPr="00FF3722">
        <w:rPr>
          <w:sz w:val="24"/>
          <w:lang w:val="hr-HR"/>
        </w:rPr>
        <w:t>serinske</w:t>
      </w:r>
      <w:proofErr w:type="spellEnd"/>
      <w:r w:rsidRPr="00FF3722">
        <w:rPr>
          <w:sz w:val="24"/>
          <w:lang w:val="hr-HR"/>
        </w:rPr>
        <w:t xml:space="preserve"> </w:t>
      </w:r>
      <w:proofErr w:type="spellStart"/>
      <w:r w:rsidRPr="00FF3722">
        <w:rPr>
          <w:sz w:val="24"/>
          <w:lang w:val="hr-HR"/>
        </w:rPr>
        <w:t>proteaze</w:t>
      </w:r>
      <w:proofErr w:type="spellEnd"/>
      <w:r w:rsidRPr="00FF3722">
        <w:rPr>
          <w:sz w:val="24"/>
          <w:lang w:val="hr-HR"/>
        </w:rPr>
        <w:t xml:space="preserve">), Journal </w:t>
      </w:r>
      <w:proofErr w:type="spellStart"/>
      <w:r w:rsidRPr="00FF3722">
        <w:rPr>
          <w:sz w:val="24"/>
          <w:lang w:val="hr-HR"/>
        </w:rPr>
        <w:t>of</w:t>
      </w:r>
      <w:proofErr w:type="spellEnd"/>
      <w:r w:rsidRPr="00FF3722">
        <w:rPr>
          <w:sz w:val="24"/>
          <w:lang w:val="hr-HR"/>
        </w:rPr>
        <w:t xml:space="preserve"> </w:t>
      </w:r>
      <w:proofErr w:type="spellStart"/>
      <w:r w:rsidRPr="00FF3722">
        <w:rPr>
          <w:sz w:val="24"/>
          <w:lang w:val="hr-HR"/>
        </w:rPr>
        <w:t>Agricultural</w:t>
      </w:r>
      <w:proofErr w:type="spellEnd"/>
      <w:r w:rsidRPr="00FF3722">
        <w:rPr>
          <w:sz w:val="24"/>
          <w:lang w:val="hr-HR"/>
        </w:rPr>
        <w:t xml:space="preserve"> </w:t>
      </w:r>
      <w:proofErr w:type="spellStart"/>
      <w:r w:rsidRPr="00FF3722">
        <w:rPr>
          <w:sz w:val="24"/>
          <w:lang w:val="hr-HR"/>
        </w:rPr>
        <w:t>and</w:t>
      </w:r>
      <w:proofErr w:type="spellEnd"/>
      <w:r w:rsidRPr="00FF3722">
        <w:rPr>
          <w:sz w:val="24"/>
          <w:lang w:val="hr-HR"/>
        </w:rPr>
        <w:t xml:space="preserve"> </w:t>
      </w:r>
      <w:proofErr w:type="spellStart"/>
      <w:r w:rsidRPr="00FF3722">
        <w:rPr>
          <w:sz w:val="24"/>
          <w:lang w:val="hr-HR"/>
        </w:rPr>
        <w:t>Food</w:t>
      </w:r>
      <w:proofErr w:type="spellEnd"/>
      <w:r w:rsidRPr="00FF3722">
        <w:rPr>
          <w:sz w:val="24"/>
          <w:lang w:val="hr-HR"/>
        </w:rPr>
        <w:t xml:space="preserve"> </w:t>
      </w:r>
      <w:proofErr w:type="spellStart"/>
      <w:r w:rsidRPr="00FF3722">
        <w:rPr>
          <w:sz w:val="24"/>
          <w:lang w:val="hr-HR"/>
        </w:rPr>
        <w:t>Chemistry</w:t>
      </w:r>
      <w:proofErr w:type="spellEnd"/>
      <w:r w:rsidRPr="00FF3722">
        <w:rPr>
          <w:sz w:val="24"/>
          <w:lang w:val="hr-HR"/>
        </w:rPr>
        <w:t>, 1990,38.,4, str. 1145. </w:t>
      </w:r>
      <w:r w:rsidRPr="00FF3722">
        <w:rPr>
          <w:sz w:val="24"/>
          <w:lang w:val="hr-HR"/>
        </w:rPr>
        <w:t xml:space="preserve">– 1152., </w:t>
      </w:r>
      <w:hyperlink r:id="rId5" w:history="1">
        <w:r w:rsidRPr="00FF3722">
          <w:rPr>
            <w:rStyle w:val="Hyperlink"/>
            <w:sz w:val="24"/>
            <w:lang w:val="hr-HR"/>
          </w:rPr>
          <w:t>https://pubs.acs.org/doi/abs/10.1021/jf00094a051</w:t>
        </w:r>
      </w:hyperlink>
      <w:r w:rsidRPr="00FF3722">
        <w:rPr>
          <w:sz w:val="24"/>
          <w:lang w:val="hr-HR"/>
        </w:rPr>
        <w:t>.</w:t>
      </w:r>
    </w:p>
  </w:footnote>
  <w:footnote w:id="7">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Vidjeti pregled Rubio-</w:t>
      </w:r>
      <w:proofErr w:type="spellStart"/>
      <w:r w:rsidRPr="00FF3722">
        <w:rPr>
          <w:sz w:val="24"/>
          <w:lang w:val="hr-HR"/>
        </w:rPr>
        <w:t>Infante</w:t>
      </w:r>
      <w:proofErr w:type="spellEnd"/>
      <w:r w:rsidRPr="00FF3722">
        <w:rPr>
          <w:sz w:val="24"/>
          <w:lang w:val="hr-HR"/>
        </w:rPr>
        <w:t>, N., Moreno-</w:t>
      </w:r>
      <w:proofErr w:type="spellStart"/>
      <w:r w:rsidRPr="00FF3722">
        <w:rPr>
          <w:sz w:val="24"/>
          <w:lang w:val="hr-HR"/>
        </w:rPr>
        <w:t>Fierros</w:t>
      </w:r>
      <w:proofErr w:type="spellEnd"/>
      <w:r w:rsidRPr="00FF3722">
        <w:rPr>
          <w:sz w:val="24"/>
          <w:lang w:val="hr-HR"/>
        </w:rPr>
        <w:t>, L., „</w:t>
      </w:r>
      <w:proofErr w:type="spellStart"/>
      <w:r w:rsidRPr="00FF3722">
        <w:rPr>
          <w:sz w:val="24"/>
          <w:lang w:val="hr-HR"/>
        </w:rPr>
        <w:t>An</w:t>
      </w:r>
      <w:proofErr w:type="spellEnd"/>
      <w:r w:rsidRPr="00FF3722">
        <w:rPr>
          <w:sz w:val="24"/>
          <w:lang w:val="hr-HR"/>
        </w:rPr>
        <w:t xml:space="preserve"> </w:t>
      </w:r>
      <w:proofErr w:type="spellStart"/>
      <w:r w:rsidRPr="00FF3722">
        <w:rPr>
          <w:sz w:val="24"/>
          <w:lang w:val="hr-HR"/>
        </w:rPr>
        <w:t>overview</w:t>
      </w:r>
      <w:proofErr w:type="spellEnd"/>
      <w:r w:rsidRPr="00FF3722">
        <w:rPr>
          <w:sz w:val="24"/>
          <w:lang w:val="hr-HR"/>
        </w:rPr>
        <w:t xml:space="preserve"> </w:t>
      </w:r>
      <w:proofErr w:type="spellStart"/>
      <w:r w:rsidRPr="00FF3722">
        <w:rPr>
          <w:sz w:val="24"/>
          <w:lang w:val="hr-HR"/>
        </w:rPr>
        <w:t>of</w:t>
      </w:r>
      <w:proofErr w:type="spellEnd"/>
      <w:r w:rsidRPr="00FF3722">
        <w:rPr>
          <w:sz w:val="24"/>
          <w:lang w:val="hr-HR"/>
        </w:rPr>
        <w:t xml:space="preserve"> </w:t>
      </w:r>
      <w:proofErr w:type="spellStart"/>
      <w:r w:rsidRPr="00FF3722">
        <w:rPr>
          <w:sz w:val="24"/>
          <w:lang w:val="hr-HR"/>
        </w:rPr>
        <w:t>the</w:t>
      </w:r>
      <w:proofErr w:type="spellEnd"/>
      <w:r w:rsidRPr="00FF3722">
        <w:rPr>
          <w:sz w:val="24"/>
          <w:lang w:val="hr-HR"/>
        </w:rPr>
        <w:t xml:space="preserve"> </w:t>
      </w:r>
      <w:proofErr w:type="spellStart"/>
      <w:r w:rsidRPr="00FF3722">
        <w:rPr>
          <w:sz w:val="24"/>
          <w:lang w:val="hr-HR"/>
        </w:rPr>
        <w:t>safety</w:t>
      </w:r>
      <w:proofErr w:type="spellEnd"/>
      <w:r w:rsidRPr="00FF3722">
        <w:rPr>
          <w:sz w:val="24"/>
          <w:lang w:val="hr-HR"/>
        </w:rPr>
        <w:t xml:space="preserve"> </w:t>
      </w:r>
      <w:proofErr w:type="spellStart"/>
      <w:r w:rsidRPr="00FF3722">
        <w:rPr>
          <w:sz w:val="24"/>
          <w:lang w:val="hr-HR"/>
        </w:rPr>
        <w:t>and</w:t>
      </w:r>
      <w:proofErr w:type="spellEnd"/>
      <w:r w:rsidRPr="00FF3722">
        <w:rPr>
          <w:sz w:val="24"/>
          <w:lang w:val="hr-HR"/>
        </w:rPr>
        <w:t xml:space="preserve"> </w:t>
      </w:r>
      <w:proofErr w:type="spellStart"/>
      <w:r w:rsidRPr="00FF3722">
        <w:rPr>
          <w:sz w:val="24"/>
          <w:lang w:val="hr-HR"/>
        </w:rPr>
        <w:t>biological</w:t>
      </w:r>
      <w:proofErr w:type="spellEnd"/>
      <w:r w:rsidRPr="00FF3722">
        <w:rPr>
          <w:sz w:val="24"/>
          <w:lang w:val="hr-HR"/>
        </w:rPr>
        <w:t xml:space="preserve"> </w:t>
      </w:r>
      <w:proofErr w:type="spellStart"/>
      <w:r w:rsidRPr="00FF3722">
        <w:rPr>
          <w:sz w:val="24"/>
          <w:lang w:val="hr-HR"/>
        </w:rPr>
        <w:t>effects</w:t>
      </w:r>
      <w:proofErr w:type="spellEnd"/>
      <w:r w:rsidRPr="00FF3722">
        <w:rPr>
          <w:sz w:val="24"/>
          <w:lang w:val="hr-HR"/>
        </w:rPr>
        <w:t xml:space="preserve"> </w:t>
      </w:r>
      <w:proofErr w:type="spellStart"/>
      <w:r w:rsidRPr="00FF3722">
        <w:rPr>
          <w:sz w:val="24"/>
          <w:lang w:val="hr-HR"/>
        </w:rPr>
        <w:t>of</w:t>
      </w:r>
      <w:proofErr w:type="spellEnd"/>
      <w:r w:rsidRPr="00FF3722">
        <w:rPr>
          <w:sz w:val="24"/>
          <w:lang w:val="hr-HR"/>
        </w:rPr>
        <w:t> </w:t>
      </w:r>
      <w:proofErr w:type="spellStart"/>
      <w:r w:rsidRPr="00FF3722">
        <w:rPr>
          <w:sz w:val="24"/>
          <w:lang w:val="hr-HR"/>
        </w:rPr>
        <w:t>Bacillus</w:t>
      </w:r>
      <w:proofErr w:type="spellEnd"/>
      <w:r w:rsidRPr="00FF3722">
        <w:rPr>
          <w:sz w:val="24"/>
          <w:lang w:val="hr-HR"/>
        </w:rPr>
        <w:t xml:space="preserve"> </w:t>
      </w:r>
      <w:proofErr w:type="spellStart"/>
      <w:r w:rsidRPr="00FF3722">
        <w:rPr>
          <w:sz w:val="24"/>
          <w:lang w:val="hr-HR"/>
        </w:rPr>
        <w:t>thuringiensis</w:t>
      </w:r>
      <w:proofErr w:type="spellEnd"/>
      <w:r w:rsidRPr="00FF3722">
        <w:rPr>
          <w:sz w:val="24"/>
          <w:lang w:val="hr-HR"/>
        </w:rPr>
        <w:t> </w:t>
      </w:r>
      <w:proofErr w:type="spellStart"/>
      <w:r w:rsidRPr="00FF3722">
        <w:rPr>
          <w:sz w:val="24"/>
          <w:lang w:val="hr-HR"/>
        </w:rPr>
        <w:t>Cry</w:t>
      </w:r>
      <w:proofErr w:type="spellEnd"/>
      <w:r w:rsidRPr="00FF3722">
        <w:rPr>
          <w:sz w:val="24"/>
          <w:lang w:val="hr-HR"/>
        </w:rPr>
        <w:t xml:space="preserve"> </w:t>
      </w:r>
      <w:proofErr w:type="spellStart"/>
      <w:r w:rsidRPr="00FF3722">
        <w:rPr>
          <w:sz w:val="24"/>
          <w:lang w:val="hr-HR"/>
        </w:rPr>
        <w:t>toxins</w:t>
      </w:r>
      <w:proofErr w:type="spellEnd"/>
      <w:r w:rsidRPr="00FF3722">
        <w:rPr>
          <w:sz w:val="24"/>
          <w:lang w:val="hr-HR"/>
        </w:rPr>
        <w:t xml:space="preserve"> </w:t>
      </w:r>
      <w:proofErr w:type="spellStart"/>
      <w:r w:rsidRPr="00FF3722">
        <w:rPr>
          <w:sz w:val="24"/>
          <w:lang w:val="hr-HR"/>
        </w:rPr>
        <w:t>in</w:t>
      </w:r>
      <w:proofErr w:type="spellEnd"/>
      <w:r w:rsidRPr="00FF3722">
        <w:rPr>
          <w:sz w:val="24"/>
          <w:lang w:val="hr-HR"/>
        </w:rPr>
        <w:t xml:space="preserve"> </w:t>
      </w:r>
      <w:proofErr w:type="spellStart"/>
      <w:r w:rsidRPr="00FF3722">
        <w:rPr>
          <w:sz w:val="24"/>
          <w:lang w:val="hr-HR"/>
        </w:rPr>
        <w:t>mammals</w:t>
      </w:r>
      <w:proofErr w:type="spellEnd"/>
      <w:r w:rsidRPr="00FF3722">
        <w:rPr>
          <w:sz w:val="24"/>
          <w:lang w:val="hr-HR"/>
        </w:rPr>
        <w:t xml:space="preserve">” (Pregled sigurnosti i bioloških učinaka </w:t>
      </w:r>
      <w:proofErr w:type="spellStart"/>
      <w:r w:rsidRPr="00FF3722">
        <w:rPr>
          <w:sz w:val="24"/>
          <w:lang w:val="hr-HR"/>
        </w:rPr>
        <w:t>Cry</w:t>
      </w:r>
      <w:proofErr w:type="spellEnd"/>
      <w:r w:rsidRPr="00FF3722">
        <w:rPr>
          <w:sz w:val="24"/>
          <w:lang w:val="hr-HR"/>
        </w:rPr>
        <w:t xml:space="preserve"> toksina izazvanih bakterijom </w:t>
      </w:r>
      <w:proofErr w:type="spellStart"/>
      <w:r w:rsidRPr="00FF3722">
        <w:rPr>
          <w:i/>
          <w:sz w:val="24"/>
          <w:lang w:val="hr-HR"/>
        </w:rPr>
        <w:t>Bacillus</w:t>
      </w:r>
      <w:proofErr w:type="spellEnd"/>
      <w:r w:rsidRPr="00FF3722">
        <w:rPr>
          <w:i/>
          <w:sz w:val="24"/>
          <w:lang w:val="hr-HR"/>
        </w:rPr>
        <w:t xml:space="preserve"> </w:t>
      </w:r>
      <w:proofErr w:type="spellStart"/>
      <w:r w:rsidRPr="00FF3722">
        <w:rPr>
          <w:i/>
          <w:sz w:val="24"/>
          <w:lang w:val="hr-HR"/>
        </w:rPr>
        <w:t>thuringiensisa</w:t>
      </w:r>
      <w:proofErr w:type="spellEnd"/>
      <w:r w:rsidRPr="00FF3722">
        <w:rPr>
          <w:sz w:val="24"/>
          <w:lang w:val="hr-HR"/>
        </w:rPr>
        <w:t xml:space="preserve"> kod sisavaca), Journal </w:t>
      </w:r>
      <w:proofErr w:type="spellStart"/>
      <w:r w:rsidRPr="00FF3722">
        <w:rPr>
          <w:sz w:val="24"/>
          <w:lang w:val="hr-HR"/>
        </w:rPr>
        <w:t>of</w:t>
      </w:r>
      <w:proofErr w:type="spellEnd"/>
      <w:r w:rsidRPr="00FF3722">
        <w:rPr>
          <w:sz w:val="24"/>
          <w:lang w:val="hr-HR"/>
        </w:rPr>
        <w:t xml:space="preserve"> Applied </w:t>
      </w:r>
      <w:proofErr w:type="spellStart"/>
      <w:r w:rsidRPr="00FF3722">
        <w:rPr>
          <w:sz w:val="24"/>
          <w:lang w:val="hr-HR"/>
        </w:rPr>
        <w:t>Toxicology</w:t>
      </w:r>
      <w:proofErr w:type="spellEnd"/>
      <w:r w:rsidRPr="00FF3722">
        <w:rPr>
          <w:sz w:val="24"/>
          <w:lang w:val="hr-HR"/>
        </w:rPr>
        <w:t>, svibanj 2016., 36,5, str. 630. </w:t>
      </w:r>
      <w:r w:rsidRPr="00FF3722">
        <w:rPr>
          <w:sz w:val="24"/>
          <w:lang w:val="hr-HR"/>
        </w:rPr>
        <w:t xml:space="preserve">– 648., </w:t>
      </w:r>
      <w:hyperlink r:id="rId6" w:history="1">
        <w:r w:rsidRPr="00FF3722">
          <w:rPr>
            <w:rStyle w:val="Hyperlink"/>
            <w:sz w:val="24"/>
            <w:lang w:val="hr-HR"/>
          </w:rPr>
          <w:t>https://onlinelibrary.wiley.com/doi/full/10.1002/jat.3252</w:t>
        </w:r>
      </w:hyperlink>
      <w:r w:rsidRPr="00FF3722">
        <w:rPr>
          <w:sz w:val="24"/>
          <w:lang w:val="hr-HR"/>
        </w:rPr>
        <w:t>.</w:t>
      </w:r>
    </w:p>
  </w:footnote>
  <w:footnote w:id="8">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 xml:space="preserve">Vidjeti primjerice, </w:t>
      </w:r>
      <w:proofErr w:type="spellStart"/>
      <w:r w:rsidRPr="00FF3722">
        <w:rPr>
          <w:sz w:val="24"/>
          <w:lang w:val="hr-HR"/>
        </w:rPr>
        <w:t>Hilbeck</w:t>
      </w:r>
      <w:proofErr w:type="spellEnd"/>
      <w:r w:rsidRPr="00FF3722">
        <w:rPr>
          <w:sz w:val="24"/>
          <w:lang w:val="hr-HR"/>
        </w:rPr>
        <w:t xml:space="preserve">, A., </w:t>
      </w:r>
      <w:r w:rsidRPr="00FF3722">
        <w:rPr>
          <w:sz w:val="24"/>
          <w:lang w:val="hr-HR"/>
        </w:rPr>
        <w:t>Otto, M., „</w:t>
      </w:r>
      <w:proofErr w:type="spellStart"/>
      <w:r w:rsidRPr="00FF3722">
        <w:rPr>
          <w:sz w:val="24"/>
          <w:lang w:val="hr-HR"/>
        </w:rPr>
        <w:t>Specificity</w:t>
      </w:r>
      <w:proofErr w:type="spellEnd"/>
      <w:r w:rsidRPr="00FF3722">
        <w:rPr>
          <w:sz w:val="24"/>
          <w:lang w:val="hr-HR"/>
        </w:rPr>
        <w:t xml:space="preserve"> </w:t>
      </w:r>
      <w:proofErr w:type="spellStart"/>
      <w:r w:rsidRPr="00FF3722">
        <w:rPr>
          <w:sz w:val="24"/>
          <w:lang w:val="hr-HR"/>
        </w:rPr>
        <w:t>and</w:t>
      </w:r>
      <w:proofErr w:type="spellEnd"/>
      <w:r w:rsidRPr="00FF3722">
        <w:rPr>
          <w:sz w:val="24"/>
          <w:lang w:val="hr-HR"/>
        </w:rPr>
        <w:t xml:space="preserve"> </w:t>
      </w:r>
      <w:proofErr w:type="spellStart"/>
      <w:r w:rsidRPr="00FF3722">
        <w:rPr>
          <w:sz w:val="24"/>
          <w:lang w:val="hr-HR"/>
        </w:rPr>
        <w:t>combinatorial</w:t>
      </w:r>
      <w:proofErr w:type="spellEnd"/>
      <w:r w:rsidRPr="00FF3722">
        <w:rPr>
          <w:sz w:val="24"/>
          <w:lang w:val="hr-HR"/>
        </w:rPr>
        <w:t xml:space="preserve"> </w:t>
      </w:r>
      <w:proofErr w:type="spellStart"/>
      <w:r w:rsidRPr="00FF3722">
        <w:rPr>
          <w:sz w:val="24"/>
          <w:lang w:val="hr-HR"/>
        </w:rPr>
        <w:t>effects</w:t>
      </w:r>
      <w:proofErr w:type="spellEnd"/>
      <w:r w:rsidRPr="00FF3722">
        <w:rPr>
          <w:sz w:val="24"/>
          <w:lang w:val="hr-HR"/>
        </w:rPr>
        <w:t xml:space="preserve"> </w:t>
      </w:r>
      <w:proofErr w:type="spellStart"/>
      <w:r w:rsidRPr="00FF3722">
        <w:rPr>
          <w:sz w:val="24"/>
          <w:lang w:val="hr-HR"/>
        </w:rPr>
        <w:t>of</w:t>
      </w:r>
      <w:proofErr w:type="spellEnd"/>
      <w:r w:rsidRPr="00FF3722">
        <w:rPr>
          <w:sz w:val="24"/>
          <w:lang w:val="hr-HR"/>
        </w:rPr>
        <w:t xml:space="preserve"> </w:t>
      </w:r>
      <w:proofErr w:type="spellStart"/>
      <w:r w:rsidRPr="00FF3722">
        <w:rPr>
          <w:i/>
          <w:sz w:val="24"/>
          <w:lang w:val="hr-HR"/>
        </w:rPr>
        <w:t>Bacillus</w:t>
      </w:r>
      <w:proofErr w:type="spellEnd"/>
      <w:r w:rsidRPr="00FF3722">
        <w:rPr>
          <w:i/>
          <w:sz w:val="24"/>
          <w:lang w:val="hr-HR"/>
        </w:rPr>
        <w:t xml:space="preserve"> </w:t>
      </w:r>
      <w:proofErr w:type="spellStart"/>
      <w:r w:rsidRPr="00FF3722">
        <w:rPr>
          <w:i/>
          <w:sz w:val="24"/>
          <w:lang w:val="hr-HR"/>
        </w:rPr>
        <w:t>thuringiensis</w:t>
      </w:r>
      <w:proofErr w:type="spellEnd"/>
      <w:r w:rsidRPr="00FF3722">
        <w:rPr>
          <w:sz w:val="24"/>
          <w:lang w:val="hr-HR"/>
        </w:rPr>
        <w:t xml:space="preserve"> </w:t>
      </w:r>
      <w:proofErr w:type="spellStart"/>
      <w:r w:rsidRPr="00FF3722">
        <w:rPr>
          <w:sz w:val="24"/>
          <w:lang w:val="hr-HR"/>
        </w:rPr>
        <w:t>Cry</w:t>
      </w:r>
      <w:proofErr w:type="spellEnd"/>
      <w:r w:rsidRPr="00FF3722">
        <w:rPr>
          <w:sz w:val="24"/>
          <w:lang w:val="hr-HR"/>
        </w:rPr>
        <w:t xml:space="preserve"> </w:t>
      </w:r>
      <w:proofErr w:type="spellStart"/>
      <w:r w:rsidRPr="00FF3722">
        <w:rPr>
          <w:sz w:val="24"/>
          <w:lang w:val="hr-HR"/>
        </w:rPr>
        <w:t>toxins</w:t>
      </w:r>
      <w:proofErr w:type="spellEnd"/>
      <w:r w:rsidRPr="00FF3722">
        <w:rPr>
          <w:sz w:val="24"/>
          <w:lang w:val="hr-HR"/>
        </w:rPr>
        <w:t xml:space="preserve"> </w:t>
      </w:r>
      <w:proofErr w:type="spellStart"/>
      <w:r w:rsidRPr="00FF3722">
        <w:rPr>
          <w:sz w:val="24"/>
          <w:lang w:val="hr-HR"/>
        </w:rPr>
        <w:t>in</w:t>
      </w:r>
      <w:proofErr w:type="spellEnd"/>
      <w:r w:rsidRPr="00FF3722">
        <w:rPr>
          <w:sz w:val="24"/>
          <w:lang w:val="hr-HR"/>
        </w:rPr>
        <w:t xml:space="preserve"> </w:t>
      </w:r>
      <w:proofErr w:type="spellStart"/>
      <w:r w:rsidRPr="00FF3722">
        <w:rPr>
          <w:sz w:val="24"/>
          <w:lang w:val="hr-HR"/>
        </w:rPr>
        <w:t>the</w:t>
      </w:r>
      <w:proofErr w:type="spellEnd"/>
      <w:r w:rsidRPr="00FF3722">
        <w:rPr>
          <w:sz w:val="24"/>
          <w:lang w:val="hr-HR"/>
        </w:rPr>
        <w:t xml:space="preserve"> </w:t>
      </w:r>
      <w:proofErr w:type="spellStart"/>
      <w:r w:rsidRPr="00FF3722">
        <w:rPr>
          <w:sz w:val="24"/>
          <w:lang w:val="hr-HR"/>
        </w:rPr>
        <w:t>context</w:t>
      </w:r>
      <w:proofErr w:type="spellEnd"/>
      <w:r w:rsidRPr="00FF3722">
        <w:rPr>
          <w:sz w:val="24"/>
          <w:lang w:val="hr-HR"/>
        </w:rPr>
        <w:t xml:space="preserve"> </w:t>
      </w:r>
      <w:proofErr w:type="spellStart"/>
      <w:r w:rsidRPr="00FF3722">
        <w:rPr>
          <w:sz w:val="24"/>
          <w:lang w:val="hr-HR"/>
        </w:rPr>
        <w:t>of</w:t>
      </w:r>
      <w:proofErr w:type="spellEnd"/>
      <w:r w:rsidRPr="00FF3722">
        <w:rPr>
          <w:sz w:val="24"/>
          <w:lang w:val="hr-HR"/>
        </w:rPr>
        <w:t xml:space="preserve"> GMO </w:t>
      </w:r>
      <w:proofErr w:type="spellStart"/>
      <w:r w:rsidRPr="00FF3722">
        <w:rPr>
          <w:sz w:val="24"/>
          <w:lang w:val="hr-HR"/>
        </w:rPr>
        <w:t>environmental</w:t>
      </w:r>
      <w:proofErr w:type="spellEnd"/>
      <w:r w:rsidRPr="00FF3722">
        <w:rPr>
          <w:sz w:val="24"/>
          <w:lang w:val="hr-HR"/>
        </w:rPr>
        <w:t xml:space="preserve"> </w:t>
      </w:r>
      <w:proofErr w:type="spellStart"/>
      <w:r w:rsidRPr="00FF3722">
        <w:rPr>
          <w:sz w:val="24"/>
          <w:lang w:val="hr-HR"/>
        </w:rPr>
        <w:t>risk</w:t>
      </w:r>
      <w:proofErr w:type="spellEnd"/>
      <w:r w:rsidRPr="00FF3722">
        <w:rPr>
          <w:sz w:val="24"/>
          <w:lang w:val="hr-HR"/>
        </w:rPr>
        <w:t xml:space="preserve"> </w:t>
      </w:r>
      <w:proofErr w:type="spellStart"/>
      <w:r w:rsidRPr="00FF3722">
        <w:rPr>
          <w:sz w:val="24"/>
          <w:lang w:val="hr-HR"/>
        </w:rPr>
        <w:t>assessment</w:t>
      </w:r>
      <w:proofErr w:type="spellEnd"/>
      <w:r w:rsidRPr="00FF3722">
        <w:rPr>
          <w:sz w:val="24"/>
          <w:lang w:val="hr-HR"/>
        </w:rPr>
        <w:t xml:space="preserve">”(Specifičnost i </w:t>
      </w:r>
      <w:proofErr w:type="spellStart"/>
      <w:r w:rsidRPr="00FF3722">
        <w:rPr>
          <w:sz w:val="24"/>
          <w:lang w:val="hr-HR"/>
        </w:rPr>
        <w:t>kombinatorički</w:t>
      </w:r>
      <w:proofErr w:type="spellEnd"/>
      <w:r w:rsidRPr="00FF3722">
        <w:rPr>
          <w:sz w:val="24"/>
          <w:lang w:val="hr-HR"/>
        </w:rPr>
        <w:t xml:space="preserve"> učinci toksina </w:t>
      </w:r>
      <w:proofErr w:type="spellStart"/>
      <w:r w:rsidRPr="00FF3722">
        <w:rPr>
          <w:sz w:val="24"/>
          <w:lang w:val="hr-HR"/>
        </w:rPr>
        <w:t>Cry</w:t>
      </w:r>
      <w:proofErr w:type="spellEnd"/>
      <w:r w:rsidRPr="00FF3722">
        <w:rPr>
          <w:sz w:val="24"/>
          <w:lang w:val="hr-HR"/>
        </w:rPr>
        <w:t xml:space="preserve"> </w:t>
      </w:r>
      <w:proofErr w:type="spellStart"/>
      <w:r w:rsidRPr="00FF3722">
        <w:rPr>
          <w:sz w:val="24"/>
          <w:lang w:val="hr-HR"/>
        </w:rPr>
        <w:t>Bacillus</w:t>
      </w:r>
      <w:proofErr w:type="spellEnd"/>
      <w:r w:rsidRPr="00FF3722">
        <w:rPr>
          <w:sz w:val="24"/>
          <w:lang w:val="hr-HR"/>
        </w:rPr>
        <w:t xml:space="preserve"> </w:t>
      </w:r>
      <w:proofErr w:type="spellStart"/>
      <w:r w:rsidRPr="00FF3722">
        <w:rPr>
          <w:sz w:val="24"/>
          <w:lang w:val="hr-HR"/>
        </w:rPr>
        <w:t>thuringiensisa</w:t>
      </w:r>
      <w:proofErr w:type="spellEnd"/>
      <w:r w:rsidRPr="00FF3722">
        <w:rPr>
          <w:sz w:val="24"/>
          <w:lang w:val="hr-HR"/>
        </w:rPr>
        <w:t xml:space="preserve"> u kontekstu procjene okolišnog rizika GMO-a), </w:t>
      </w:r>
      <w:proofErr w:type="spellStart"/>
      <w:r w:rsidRPr="00FF3722">
        <w:rPr>
          <w:sz w:val="24"/>
          <w:lang w:val="hr-HR"/>
        </w:rPr>
        <w:t>Frontiers</w:t>
      </w:r>
      <w:proofErr w:type="spellEnd"/>
      <w:r w:rsidRPr="00FF3722">
        <w:rPr>
          <w:sz w:val="24"/>
          <w:lang w:val="hr-HR"/>
        </w:rPr>
        <w:t xml:space="preserve"> </w:t>
      </w:r>
      <w:proofErr w:type="spellStart"/>
      <w:r w:rsidRPr="00FF3722">
        <w:rPr>
          <w:sz w:val="24"/>
          <w:lang w:val="hr-HR"/>
        </w:rPr>
        <w:t>in</w:t>
      </w:r>
      <w:proofErr w:type="spellEnd"/>
      <w:r w:rsidRPr="00FF3722">
        <w:rPr>
          <w:sz w:val="24"/>
          <w:lang w:val="hr-HR"/>
        </w:rPr>
        <w:t xml:space="preserve"> </w:t>
      </w:r>
      <w:proofErr w:type="spellStart"/>
      <w:r w:rsidRPr="00FF3722">
        <w:rPr>
          <w:sz w:val="24"/>
          <w:lang w:val="hr-HR"/>
        </w:rPr>
        <w:t>Environmental</w:t>
      </w:r>
      <w:proofErr w:type="spellEnd"/>
      <w:r w:rsidRPr="00FF3722">
        <w:rPr>
          <w:sz w:val="24"/>
          <w:lang w:val="hr-HR"/>
        </w:rPr>
        <w:t xml:space="preserve"> Science 2015, 3:71, </w:t>
      </w:r>
      <w:hyperlink r:id="rId7" w:history="1">
        <w:r w:rsidRPr="00FF3722">
          <w:rPr>
            <w:rStyle w:val="Hyperlink"/>
            <w:sz w:val="24"/>
            <w:lang w:val="hr-HR"/>
          </w:rPr>
          <w:t>https://doi.org/10.3389/fenvs.2015.00071</w:t>
        </w:r>
      </w:hyperlink>
      <w:r w:rsidRPr="00FF3722">
        <w:rPr>
          <w:rStyle w:val="Hyperlink"/>
          <w:sz w:val="24"/>
          <w:lang w:val="hr-HR"/>
        </w:rPr>
        <w:t>.</w:t>
      </w:r>
    </w:p>
  </w:footnote>
  <w:footnote w:id="9">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proofErr w:type="spellStart"/>
      <w:r w:rsidRPr="00FF3722">
        <w:rPr>
          <w:sz w:val="24"/>
          <w:lang w:val="hr-HR"/>
        </w:rPr>
        <w:t>Hilbeck</w:t>
      </w:r>
      <w:proofErr w:type="spellEnd"/>
      <w:r w:rsidRPr="00FF3722">
        <w:rPr>
          <w:sz w:val="24"/>
          <w:lang w:val="hr-HR"/>
        </w:rPr>
        <w:t xml:space="preserve">, A., </w:t>
      </w:r>
      <w:proofErr w:type="spellStart"/>
      <w:r w:rsidRPr="00FF3722">
        <w:rPr>
          <w:sz w:val="24"/>
          <w:lang w:val="hr-HR"/>
        </w:rPr>
        <w:t>Defarge</w:t>
      </w:r>
      <w:proofErr w:type="spellEnd"/>
      <w:r w:rsidRPr="00FF3722">
        <w:rPr>
          <w:sz w:val="24"/>
          <w:lang w:val="hr-HR"/>
        </w:rPr>
        <w:t xml:space="preserve">, N., </w:t>
      </w:r>
      <w:proofErr w:type="spellStart"/>
      <w:r w:rsidRPr="00FF3722">
        <w:rPr>
          <w:sz w:val="24"/>
          <w:lang w:val="hr-HR"/>
        </w:rPr>
        <w:t>Lebrecht</w:t>
      </w:r>
      <w:proofErr w:type="spellEnd"/>
      <w:r w:rsidRPr="00FF3722">
        <w:rPr>
          <w:sz w:val="24"/>
          <w:lang w:val="hr-HR"/>
        </w:rPr>
        <w:t xml:space="preserve">, T., </w:t>
      </w:r>
      <w:proofErr w:type="spellStart"/>
      <w:r w:rsidRPr="00FF3722">
        <w:rPr>
          <w:sz w:val="24"/>
          <w:lang w:val="hr-HR"/>
        </w:rPr>
        <w:t>Bøhn</w:t>
      </w:r>
      <w:proofErr w:type="spellEnd"/>
      <w:r w:rsidRPr="00FF3722">
        <w:rPr>
          <w:sz w:val="24"/>
          <w:lang w:val="hr-HR"/>
        </w:rPr>
        <w:t xml:space="preserve">, T., </w:t>
      </w:r>
      <w:proofErr w:type="spellStart"/>
      <w:r w:rsidRPr="00FF3722">
        <w:rPr>
          <w:sz w:val="24"/>
          <w:lang w:val="hr-HR"/>
        </w:rPr>
        <w:t>Insecticidal</w:t>
      </w:r>
      <w:proofErr w:type="spellEnd"/>
      <w:r w:rsidRPr="00FF3722">
        <w:rPr>
          <w:sz w:val="24"/>
          <w:lang w:val="hr-HR"/>
        </w:rPr>
        <w:t xml:space="preserve"> </w:t>
      </w:r>
      <w:proofErr w:type="spellStart"/>
      <w:r w:rsidRPr="00FF3722">
        <w:rPr>
          <w:sz w:val="24"/>
          <w:lang w:val="hr-HR"/>
        </w:rPr>
        <w:t>Bt</w:t>
      </w:r>
      <w:proofErr w:type="spellEnd"/>
      <w:r w:rsidRPr="00FF3722">
        <w:rPr>
          <w:sz w:val="24"/>
          <w:lang w:val="hr-HR"/>
        </w:rPr>
        <w:t xml:space="preserve"> </w:t>
      </w:r>
      <w:proofErr w:type="spellStart"/>
      <w:r w:rsidRPr="00FF3722">
        <w:rPr>
          <w:sz w:val="24"/>
          <w:lang w:val="hr-HR"/>
        </w:rPr>
        <w:t>crops</w:t>
      </w:r>
      <w:proofErr w:type="spellEnd"/>
      <w:r w:rsidRPr="00FF3722">
        <w:rPr>
          <w:sz w:val="24"/>
          <w:lang w:val="hr-HR"/>
        </w:rPr>
        <w:t xml:space="preserve">. </w:t>
      </w:r>
      <w:proofErr w:type="spellStart"/>
      <w:r w:rsidRPr="00FF3722">
        <w:rPr>
          <w:sz w:val="24"/>
          <w:lang w:val="hr-HR"/>
        </w:rPr>
        <w:t>EFSA’s</w:t>
      </w:r>
      <w:proofErr w:type="spellEnd"/>
      <w:r w:rsidRPr="00FF3722">
        <w:rPr>
          <w:sz w:val="24"/>
          <w:lang w:val="hr-HR"/>
        </w:rPr>
        <w:t xml:space="preserve"> </w:t>
      </w:r>
      <w:proofErr w:type="spellStart"/>
      <w:r w:rsidRPr="00FF3722">
        <w:rPr>
          <w:sz w:val="24"/>
          <w:lang w:val="hr-HR"/>
        </w:rPr>
        <w:t>risk</w:t>
      </w:r>
      <w:proofErr w:type="spellEnd"/>
      <w:r w:rsidRPr="00FF3722">
        <w:rPr>
          <w:sz w:val="24"/>
          <w:lang w:val="hr-HR"/>
        </w:rPr>
        <w:t xml:space="preserve"> </w:t>
      </w:r>
      <w:proofErr w:type="spellStart"/>
      <w:r w:rsidRPr="00FF3722">
        <w:rPr>
          <w:sz w:val="24"/>
          <w:lang w:val="hr-HR"/>
        </w:rPr>
        <w:t>assessment</w:t>
      </w:r>
      <w:proofErr w:type="spellEnd"/>
      <w:r w:rsidRPr="00FF3722">
        <w:rPr>
          <w:sz w:val="24"/>
          <w:lang w:val="hr-HR"/>
        </w:rPr>
        <w:t xml:space="preserve"> </w:t>
      </w:r>
      <w:proofErr w:type="spellStart"/>
      <w:r w:rsidRPr="00FF3722">
        <w:rPr>
          <w:sz w:val="24"/>
          <w:lang w:val="hr-HR"/>
        </w:rPr>
        <w:t>approach</w:t>
      </w:r>
      <w:proofErr w:type="spellEnd"/>
      <w:r w:rsidRPr="00FF3722">
        <w:rPr>
          <w:sz w:val="24"/>
          <w:lang w:val="hr-HR"/>
        </w:rPr>
        <w:t xml:space="preserve"> for GM </w:t>
      </w:r>
      <w:proofErr w:type="spellStart"/>
      <w:r w:rsidRPr="00FF3722">
        <w:rPr>
          <w:sz w:val="24"/>
          <w:lang w:val="hr-HR"/>
        </w:rPr>
        <w:t>Bt</w:t>
      </w:r>
      <w:proofErr w:type="spellEnd"/>
      <w:r w:rsidRPr="00FF3722">
        <w:rPr>
          <w:sz w:val="24"/>
          <w:lang w:val="hr-HR"/>
        </w:rPr>
        <w:t xml:space="preserve"> </w:t>
      </w:r>
      <w:proofErr w:type="spellStart"/>
      <w:r w:rsidRPr="00FF3722">
        <w:rPr>
          <w:sz w:val="24"/>
          <w:lang w:val="hr-HR"/>
        </w:rPr>
        <w:t>plants</w:t>
      </w:r>
      <w:proofErr w:type="spellEnd"/>
      <w:r w:rsidRPr="00FF3722">
        <w:rPr>
          <w:sz w:val="24"/>
          <w:lang w:val="hr-HR"/>
        </w:rPr>
        <w:t xml:space="preserve"> </w:t>
      </w:r>
      <w:proofErr w:type="spellStart"/>
      <w:r w:rsidRPr="00FF3722">
        <w:rPr>
          <w:sz w:val="24"/>
          <w:lang w:val="hr-HR"/>
        </w:rPr>
        <w:t>fails</w:t>
      </w:r>
      <w:proofErr w:type="spellEnd"/>
      <w:r w:rsidRPr="00FF3722">
        <w:rPr>
          <w:sz w:val="24"/>
          <w:lang w:val="hr-HR"/>
        </w:rPr>
        <w:t xml:space="preserve"> </w:t>
      </w:r>
      <w:proofErr w:type="spellStart"/>
      <w:r w:rsidRPr="00FF3722">
        <w:rPr>
          <w:sz w:val="24"/>
          <w:lang w:val="hr-HR"/>
        </w:rPr>
        <w:t>by</w:t>
      </w:r>
      <w:proofErr w:type="spellEnd"/>
      <w:r w:rsidRPr="00FF3722">
        <w:rPr>
          <w:sz w:val="24"/>
          <w:lang w:val="hr-HR"/>
        </w:rPr>
        <w:t xml:space="preserve"> design (Insekticidni </w:t>
      </w:r>
      <w:proofErr w:type="spellStart"/>
      <w:r w:rsidRPr="00FF3722">
        <w:rPr>
          <w:sz w:val="24"/>
          <w:lang w:val="hr-HR"/>
        </w:rPr>
        <w:t>Bt</w:t>
      </w:r>
      <w:proofErr w:type="spellEnd"/>
      <w:r w:rsidRPr="00FF3722">
        <w:rPr>
          <w:sz w:val="24"/>
          <w:lang w:val="hr-HR"/>
        </w:rPr>
        <w:t>-usjevi – EFSA-</w:t>
      </w:r>
      <w:proofErr w:type="spellStart"/>
      <w:r w:rsidRPr="00FF3722">
        <w:rPr>
          <w:sz w:val="24"/>
          <w:lang w:val="hr-HR"/>
        </w:rPr>
        <w:t>in</w:t>
      </w:r>
      <w:proofErr w:type="spellEnd"/>
      <w:r w:rsidRPr="00FF3722">
        <w:rPr>
          <w:sz w:val="24"/>
          <w:lang w:val="hr-HR"/>
        </w:rPr>
        <w:t xml:space="preserve"> pristup procjeni rizika za neuspješno dizajnirane genetski modificirane </w:t>
      </w:r>
      <w:proofErr w:type="spellStart"/>
      <w:r w:rsidRPr="00FF3722">
        <w:rPr>
          <w:sz w:val="24"/>
          <w:lang w:val="hr-HR"/>
        </w:rPr>
        <w:t>Bt</w:t>
      </w:r>
      <w:proofErr w:type="spellEnd"/>
      <w:r w:rsidRPr="00FF3722">
        <w:rPr>
          <w:sz w:val="24"/>
          <w:lang w:val="hr-HR"/>
        </w:rPr>
        <w:t>-biljke), RAGES 2020., str. </w:t>
      </w:r>
      <w:r w:rsidRPr="00FF3722">
        <w:rPr>
          <w:sz w:val="24"/>
          <w:lang w:val="hr-HR"/>
        </w:rPr>
        <w:t xml:space="preserve">4, </w:t>
      </w:r>
      <w:hyperlink r:id="rId8" w:history="1">
        <w:r w:rsidRPr="00FF3722">
          <w:rPr>
            <w:rStyle w:val="Hyperlink"/>
            <w:sz w:val="24"/>
            <w:lang w:val="hr-HR"/>
          </w:rPr>
          <w:t>https://www.testbiotech.org/wp-content/uploads/2023/12/RAGES_report-Insecticidal-Bt-plants.pdf</w:t>
        </w:r>
      </w:hyperlink>
      <w:r w:rsidRPr="00FF3722">
        <w:rPr>
          <w:rStyle w:val="Hyperlink"/>
          <w:sz w:val="24"/>
          <w:lang w:val="hr-HR"/>
        </w:rPr>
        <w:t xml:space="preserve">. </w:t>
      </w:r>
    </w:p>
  </w:footnote>
  <w:footnote w:id="10">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hyperlink r:id="rId9" w:history="1">
        <w:r w:rsidRPr="00FF3722">
          <w:rPr>
            <w:rStyle w:val="Hyperlink"/>
            <w:sz w:val="24"/>
            <w:lang w:val="hr-HR"/>
          </w:rPr>
          <w:t>https://commission.europa.eu/document/2c64e540-c07a-4376-a1da-368d289f4afe_en</w:t>
        </w:r>
      </w:hyperlink>
    </w:p>
  </w:footnote>
  <w:footnote w:id="11">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Direktiva 2001/18/EZ Europskog parlamenta i Vijeća od 12. ožujka 2001. o namjernom uvođenju u okoliš genetski modificiranih organizama i o stavljanju izvan snage Direktive Vijeća 90/220/EEZ (SL L 106, 17.4.2001., str. </w:t>
      </w:r>
      <w:r w:rsidRPr="00FF3722">
        <w:rPr>
          <w:sz w:val="24"/>
          <w:lang w:val="hr-HR"/>
        </w:rPr>
        <w:t>1., ELI: </w:t>
      </w:r>
      <w:hyperlink r:id="rId10" w:tooltip="Dokument je dostupan na temelju identifikatora ELI URI." w:history="1">
        <w:r w:rsidRPr="00FF3722">
          <w:rPr>
            <w:rStyle w:val="Hyperlink"/>
            <w:sz w:val="24"/>
            <w:lang w:val="hr-HR"/>
          </w:rPr>
          <w:t>https://eur-lex.europa.eu/eli/dir/2001/18/oj?eliuri=eli%3Adir%3A2001%3A18%3Aoj&amp;locale=hr</w:t>
        </w:r>
      </w:hyperlink>
      <w:r w:rsidRPr="00FF3722">
        <w:rPr>
          <w:sz w:val="24"/>
          <w:lang w:val="hr-HR"/>
        </w:rPr>
        <w:t>).</w:t>
      </w:r>
    </w:p>
  </w:footnote>
  <w:footnote w:id="12">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Provedbena uredba Komisije (EU) br. 503/2013 od 3. travnja 2013. o prijavama za odobrenje genetski modificirane hrane i hrane za životinje u skladu s Uredbom (EZ) br. 1829/2003 Europskog parlamenta i Vijeća i o izmjeni Uredbi Komisije (EZ) br. 641/2004 i (EZ) br. 1981/2006 (SL L 157, 8.6.2013., str. </w:t>
      </w:r>
      <w:r w:rsidRPr="00FF3722">
        <w:rPr>
          <w:sz w:val="24"/>
          <w:lang w:val="hr-HR"/>
        </w:rPr>
        <w:t>1., ELI: </w:t>
      </w:r>
      <w:hyperlink r:id="rId11" w:tooltip="Dokument je dostupan na temelju identifikatora ELI URI." w:history="1">
        <w:r w:rsidRPr="00FF3722">
          <w:rPr>
            <w:rStyle w:val="Hyperlink"/>
            <w:sz w:val="24"/>
            <w:lang w:val="hr-HR"/>
          </w:rPr>
          <w:t>http://data.europa.eu/eli/reg_impl/2013/503/oj</w:t>
        </w:r>
      </w:hyperlink>
      <w:r w:rsidRPr="00FF3722">
        <w:rPr>
          <w:sz w:val="24"/>
          <w:lang w:val="hr-HR"/>
        </w:rPr>
        <w:t>).</w:t>
      </w:r>
    </w:p>
  </w:footnote>
  <w:footnote w:id="13">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 xml:space="preserve">Rezoluciju Europskog parlamenta od 11. studenoga 2020. o Nacrtu provedbene odluke Komisije o odobravanju stavljanja na tržište proizvoda koji sadržavaju genetski modificirani kukuruz MON 87427 × MON 87460 × MON 89034 × MIR162 × NK603, sastoje se od njega ili su od njega proizvedeni i genetski modificirani kukuruz koji je kombinacija dviju, triju ili četiriju pojedinačnih promjena MON 87427, MON 87460, MON 89034, MIR162 i NK603 na temelju Uredbe (EZ) br. 1829/2003 Europskog parlamenta i Vijeća (SL C 415, 13.10.2021., str. 15.). </w:t>
      </w:r>
    </w:p>
  </w:footnote>
  <w:footnote w:id="14">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hyperlink r:id="rId12" w:history="1">
        <w:r w:rsidRPr="00FF3722">
          <w:rPr>
            <w:rStyle w:val="Hyperlink"/>
            <w:sz w:val="24"/>
            <w:lang w:val="hr-HR"/>
          </w:rPr>
          <w:t>https://www.who.int/campaigns/world-amr-awareness-week/2024/amr-is-invisible-i-am-not</w:t>
        </w:r>
      </w:hyperlink>
    </w:p>
  </w:footnote>
  <w:footnote w:id="15">
    <w:p w:rsidR="004B1E50" w:rsidRPr="00FF3722" w:rsidRDefault="004B1E50" w:rsidP="00FF3722">
      <w:pPr>
        <w:pStyle w:val="FootnoteText"/>
        <w:ind w:left="567" w:hanging="567"/>
        <w:rPr>
          <w:color w:val="1F497D"/>
          <w:sz w:val="24"/>
          <w:szCs w:val="22"/>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hyperlink r:id="rId13" w:history="1">
        <w:r w:rsidRPr="00FF3722">
          <w:rPr>
            <w:rStyle w:val="Hyperlink"/>
            <w:sz w:val="24"/>
            <w:lang w:val="hr-HR"/>
          </w:rPr>
          <w:t>https://efsa.onlinelibrary.wiley.com/action/downloadSupplement?</w:t>
        </w:r>
        <w:r w:rsidRPr="00FF3722">
          <w:rPr>
            <w:rStyle w:val="Hyperlink"/>
            <w:sz w:val="24"/>
            <w:lang w:val="hr-HR"/>
          </w:rPr>
          <w:br/>
          <w:t>doi=10.2903%2Fj.efsa.2023.8031&amp;file=efs28031-sup-0008-Annex8.pdf</w:t>
        </w:r>
      </w:hyperlink>
      <w:r w:rsidRPr="00FF3722">
        <w:rPr>
          <w:sz w:val="24"/>
          <w:lang w:val="hr-HR"/>
        </w:rPr>
        <w:t>.</w:t>
      </w:r>
    </w:p>
  </w:footnote>
  <w:footnote w:id="16">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U skladu s člankom 6. stavkom 3. Uredbe (EU) br. 182/2011 Komisija „može”, ali ne „mora” dati odobrenje ako se u okviru žalbenog odbora za to ne izjasni kvalificirana većina država članica.</w:t>
      </w:r>
    </w:p>
  </w:footnote>
  <w:footnote w:id="17">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FF3722">
        <w:rPr>
          <w:sz w:val="24"/>
          <w:lang w:val="hr-HR"/>
        </w:rPr>
        <w:t>1., ELI: </w:t>
      </w:r>
      <w:hyperlink r:id="rId14" w:tooltip="Dokument je dostupan na temelju identifikatora ELI URI." w:history="1">
        <w:r w:rsidRPr="00FF3722">
          <w:rPr>
            <w:rStyle w:val="Hyperlink"/>
            <w:sz w:val="24"/>
            <w:lang w:val="hr-HR"/>
          </w:rPr>
          <w:t>https://eur-lex.europa.eu/eli/reg/2002/178/oj?eliuri=eli%3Areg%3A2002%3A178%3Aoj&amp;locale=hr</w:t>
        </w:r>
      </w:hyperlink>
      <w:r w:rsidRPr="00FF3722">
        <w:rPr>
          <w:sz w:val="24"/>
          <w:lang w:val="hr-HR"/>
        </w:rPr>
        <w:t>).</w:t>
      </w:r>
    </w:p>
  </w:footnote>
  <w:footnote w:id="18">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hyperlink r:id="rId15" w:history="1">
        <w:r w:rsidRPr="00FF3722">
          <w:rPr>
            <w:rStyle w:val="Hyperlink"/>
            <w:sz w:val="24"/>
            <w:lang w:val="hr-HR"/>
          </w:rPr>
          <w:t>https://tillymetz.lu/wp-content/uploads/2020/09/Co-signed-letter-MEP-Metz.pdf</w:t>
        </w:r>
      </w:hyperlink>
      <w:r w:rsidRPr="00FF3722">
        <w:rPr>
          <w:rStyle w:val="Hyperlink"/>
          <w:sz w:val="24"/>
          <w:lang w:val="hr-HR"/>
        </w:rPr>
        <w:t>.</w:t>
      </w:r>
    </w:p>
  </w:footnote>
  <w:footnote w:id="19">
    <w:p w:rsidR="004B1E50" w:rsidRPr="00FF3722" w:rsidRDefault="004B1E50" w:rsidP="00FF3722">
      <w:pPr>
        <w:pStyle w:val="FootnoteText"/>
        <w:ind w:left="567" w:hanging="567"/>
        <w:rPr>
          <w:sz w:val="24"/>
          <w:lang w:val="hr-HR"/>
        </w:rPr>
      </w:pPr>
      <w:r w:rsidRPr="00FF3722">
        <w:rPr>
          <w:rStyle w:val="FootnoteReference"/>
          <w:sz w:val="24"/>
          <w:lang w:val="hr-HR"/>
        </w:rPr>
        <w:footnoteRef/>
      </w:r>
      <w:r w:rsidR="00FF3722" w:rsidRPr="00FF3722">
        <w:rPr>
          <w:sz w:val="24"/>
          <w:lang w:val="hr-HR"/>
        </w:rPr>
        <w:t xml:space="preserve"> </w:t>
      </w:r>
      <w:r w:rsidR="00FF3722" w:rsidRPr="00FF3722">
        <w:rPr>
          <w:sz w:val="24"/>
          <w:lang w:val="hr-HR"/>
        </w:rPr>
        <w:tab/>
      </w:r>
      <w:r w:rsidRPr="00FF3722">
        <w:rPr>
          <w:sz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7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7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7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HR"/>
    <w:docVar w:name="dvnumam" w:val="0"/>
    <w:docVar w:name="dvpe" w:val="764.959"/>
    <w:docVar w:name="dvtitre" w:val="Rezolucija Europskog parlamenta od .... 2024. o Nacrtu provedbene odluke Komisije o odobravanju stavljanja na tržište proizvoda koji sadržavaju genetski modificirani pamuk COT102, sastoje se od njega ili su od njega proizvedeni, na temelju Uredbe (EZ) br. 1829/2003 Europskog parlamenta i Vijeća(D098499/04 – 2024/2835(RSP))"/>
  </w:docVars>
  <w:rsids>
    <w:rsidRoot w:val="00E12F7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E5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096"/>
    <w:rsid w:val="00AB441E"/>
    <w:rsid w:val="00AB6293"/>
    <w:rsid w:val="00AC4E5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F79"/>
    <w:rsid w:val="00E365E1"/>
    <w:rsid w:val="00E57133"/>
    <w:rsid w:val="00E820A4"/>
    <w:rsid w:val="00EA1D33"/>
    <w:rsid w:val="00EB006A"/>
    <w:rsid w:val="00EB4772"/>
    <w:rsid w:val="00ED169E"/>
    <w:rsid w:val="00ED4235"/>
    <w:rsid w:val="00F04346"/>
    <w:rsid w:val="00F075DC"/>
    <w:rsid w:val="00F149E9"/>
    <w:rsid w:val="00F5134D"/>
    <w:rsid w:val="00F74202"/>
    <w:rsid w:val="00F87713"/>
    <w:rsid w:val="00FA004A"/>
    <w:rsid w:val="00FB4360"/>
    <w:rsid w:val="00FD0C70"/>
    <w:rsid w:val="00FD389B"/>
    <w:rsid w:val="00FF372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7CF069-A95A-44D1-9C5D-4B9B1925D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1E50"/>
    <w:pPr>
      <w:spacing w:before="480" w:after="240"/>
    </w:pPr>
  </w:style>
  <w:style w:type="paragraph" w:customStyle="1" w:styleId="NormalHanging12a">
    <w:name w:val="NormalHanging12a"/>
    <w:basedOn w:val="Normal"/>
    <w:rsid w:val="004B1E50"/>
    <w:pPr>
      <w:spacing w:after="240"/>
      <w:ind w:left="567" w:hanging="567"/>
    </w:pPr>
  </w:style>
  <w:style w:type="character" w:styleId="Hyperlink">
    <w:name w:val="Hyperlink"/>
    <w:basedOn w:val="DefaultParagraphFont"/>
    <w:uiPriority w:val="99"/>
    <w:rsid w:val="004B1E50"/>
    <w:rPr>
      <w:color w:val="0563C1" w:themeColor="hyperlink"/>
      <w:u w:val="single"/>
    </w:rPr>
  </w:style>
  <w:style w:type="paragraph" w:styleId="BalloonText">
    <w:name w:val="Balloon Text"/>
    <w:basedOn w:val="Normal"/>
    <w:link w:val="BalloonTextChar"/>
    <w:rsid w:val="00FD389B"/>
    <w:rPr>
      <w:rFonts w:ascii="Segoe UI" w:hAnsi="Segoe UI" w:cs="Segoe UI"/>
      <w:sz w:val="18"/>
      <w:szCs w:val="18"/>
    </w:rPr>
  </w:style>
  <w:style w:type="character" w:customStyle="1" w:styleId="BalloonTextChar">
    <w:name w:val="Balloon Text Char"/>
    <w:basedOn w:val="DefaultParagraphFont"/>
    <w:link w:val="BalloonText"/>
    <w:rsid w:val="00FD389B"/>
    <w:rPr>
      <w:rFonts w:ascii="Segoe UI" w:hAnsi="Segoe UI" w:cs="Segoe UI"/>
      <w:sz w:val="18"/>
      <w:szCs w:val="18"/>
      <w:lang w:val="hr-HR"/>
    </w:rPr>
  </w:style>
  <w:style w:type="character" w:styleId="FollowedHyperlink">
    <w:name w:val="FollowedHyperlink"/>
    <w:basedOn w:val="DefaultParagraphFont"/>
    <w:rsid w:val="00FD38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s://eur-lex.europa.eu/eli/dir/2001/18/oj?eliuri=eli%3Adir%3A2001%3A18%3Aoj&amp;locale=hr"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s://eur-lex.europa.eu/eli/reg/2002/178/oj?loca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D200-20E9-4C51-8030-9D029B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1917</Words>
  <Characters>11124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2024-11-26T13:28:00Z</dcterms:created>
  <dcterms:modified xsi:type="dcterms:W3CDTF">2024-11-26T13:28:00Z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P10_TA(2024)0039_</vt:lpwstr>
  </property>
  <property fmtid="{D5CDD505-2E9C-101B-9397-08002B2CF9AE}" pid="4" name="&lt;Type&gt;">
    <vt:lpwstr>RR</vt:lpwstr>
  </property>
</Properties>
</file>