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6A70" w:rsidTr="0010095E">
        <w:trPr>
          <w:trHeight w:hRule="exact" w:val="1418"/>
        </w:trPr>
        <w:tc>
          <w:tcPr>
            <w:tcW w:w="6804" w:type="dxa"/>
            <w:shd w:val="clear" w:color="auto" w:fill="auto"/>
            <w:vAlign w:val="center"/>
          </w:tcPr>
          <w:p w:rsidR="00751A4A" w:rsidRPr="00166A70" w:rsidRDefault="001A6E4A" w:rsidP="0010095E">
            <w:pPr>
              <w:pStyle w:val="EPName"/>
            </w:pPr>
            <w:r w:rsidRPr="00166A70">
              <w:t>Európai Parlament</w:t>
            </w:r>
          </w:p>
          <w:p w:rsidR="00751A4A" w:rsidRPr="00166A70" w:rsidRDefault="005F1B17" w:rsidP="005F1B17">
            <w:pPr>
              <w:pStyle w:val="EPTerm"/>
              <w:rPr>
                <w:rStyle w:val="HideTWBExt"/>
                <w:noProof w:val="0"/>
                <w:vanish w:val="0"/>
                <w:color w:val="auto"/>
              </w:rPr>
            </w:pPr>
            <w:r w:rsidRPr="00166A70">
              <w:t>2024</w:t>
            </w:r>
            <w:r w:rsidR="00817416" w:rsidRPr="00166A70">
              <w:t>-202</w:t>
            </w:r>
            <w:r w:rsidRPr="00166A70">
              <w:t>9</w:t>
            </w:r>
            <w:bookmarkStart w:id="0" w:name="_GoBack"/>
            <w:bookmarkEnd w:id="0"/>
          </w:p>
        </w:tc>
        <w:tc>
          <w:tcPr>
            <w:tcW w:w="2268" w:type="dxa"/>
            <w:shd w:val="clear" w:color="auto" w:fill="auto"/>
          </w:tcPr>
          <w:p w:rsidR="00751A4A" w:rsidRPr="00166A70" w:rsidRDefault="00187494" w:rsidP="0010095E">
            <w:pPr>
              <w:pStyle w:val="EPLogo"/>
            </w:pPr>
            <w:r w:rsidRPr="00166A7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66A70" w:rsidRDefault="00D058B8" w:rsidP="004C5D52">
      <w:pPr>
        <w:pStyle w:val="LineTop"/>
      </w:pPr>
    </w:p>
    <w:p w:rsidR="00680577" w:rsidRPr="00166A70" w:rsidRDefault="001A6E4A" w:rsidP="00680577">
      <w:pPr>
        <w:pStyle w:val="EPBodyTA1"/>
      </w:pPr>
      <w:r w:rsidRPr="00166A70">
        <w:t>ELFOGADOTT SZÖVEGEK</w:t>
      </w:r>
    </w:p>
    <w:p w:rsidR="00D058B8" w:rsidRPr="00166A70" w:rsidRDefault="00D058B8" w:rsidP="00D058B8">
      <w:pPr>
        <w:pStyle w:val="LineBottom"/>
      </w:pPr>
    </w:p>
    <w:p w:rsidR="001A6E4A" w:rsidRPr="00FD56EA" w:rsidRDefault="001A6E4A" w:rsidP="001A6E4A">
      <w:pPr>
        <w:pStyle w:val="ATHeading1"/>
      </w:pPr>
      <w:bookmarkStart w:id="1" w:name="TANumber"/>
      <w:r w:rsidRPr="00FD56EA">
        <w:t>P10_</w:t>
      </w:r>
      <w:proofErr w:type="gramStart"/>
      <w:r w:rsidRPr="00FD56EA">
        <w:t>TA(</w:t>
      </w:r>
      <w:proofErr w:type="gramEnd"/>
      <w:r w:rsidRPr="00FD56EA">
        <w:t>2024)00</w:t>
      </w:r>
      <w:r w:rsidR="00FD56EA" w:rsidRPr="00FD56EA">
        <w:t>39</w:t>
      </w:r>
      <w:bookmarkEnd w:id="1"/>
    </w:p>
    <w:p w:rsidR="001A6E4A" w:rsidRPr="00FD56EA" w:rsidRDefault="004B04FB" w:rsidP="00EC1103">
      <w:pPr>
        <w:pStyle w:val="ATHeading2"/>
      </w:pPr>
      <w:r w:rsidRPr="00FD56EA">
        <w:t xml:space="preserve">A </w:t>
      </w:r>
      <w:r w:rsidR="00EC1103" w:rsidRPr="00FD56EA">
        <w:t>géntechnológiával módosított COT102 gyapot</w:t>
      </w:r>
    </w:p>
    <w:p w:rsidR="001A6E4A" w:rsidRPr="00FD56EA" w:rsidRDefault="001A6E4A" w:rsidP="001A6E4A">
      <w:pPr>
        <w:rPr>
          <w:i/>
          <w:vanish/>
        </w:rPr>
      </w:pPr>
      <w:r w:rsidRPr="00FD56EA">
        <w:rPr>
          <w:i/>
        </w:rPr>
        <w:fldChar w:fldCharType="begin"/>
      </w:r>
      <w:r w:rsidRPr="00FD56EA">
        <w:rPr>
          <w:i/>
        </w:rPr>
        <w:instrText xml:space="preserve"> TC"(</w:instrText>
      </w:r>
      <w:bookmarkStart w:id="2" w:name="DocNumber"/>
      <w:r w:rsidRPr="00FD56EA">
        <w:rPr>
          <w:i/>
        </w:rPr>
        <w:instrText>B10-0145/2024</w:instrText>
      </w:r>
      <w:bookmarkEnd w:id="2"/>
      <w:r w:rsidRPr="00FD56EA">
        <w:rPr>
          <w:i/>
        </w:rPr>
        <w:instrText xml:space="preserve">)"\l3 \n&gt; \* MERGEFORMAT </w:instrText>
      </w:r>
      <w:r w:rsidRPr="00FD56EA">
        <w:rPr>
          <w:i/>
        </w:rPr>
        <w:fldChar w:fldCharType="end"/>
      </w:r>
    </w:p>
    <w:p w:rsidR="001A6E4A" w:rsidRPr="00FD56EA" w:rsidRDefault="001A6E4A" w:rsidP="001A6E4A">
      <w:pPr>
        <w:rPr>
          <w:vanish/>
        </w:rPr>
      </w:pPr>
      <w:bookmarkStart w:id="3" w:name="PE"/>
      <w:r w:rsidRPr="00FD56EA">
        <w:rPr>
          <w:vanish/>
        </w:rPr>
        <w:t>PE764.959</w:t>
      </w:r>
      <w:bookmarkEnd w:id="3"/>
    </w:p>
    <w:p w:rsidR="001A6E4A" w:rsidRPr="00FD56EA" w:rsidRDefault="001A6E4A" w:rsidP="001A6E4A">
      <w:pPr>
        <w:pStyle w:val="ATHeading3"/>
      </w:pPr>
      <w:bookmarkStart w:id="4" w:name="Sujet"/>
      <w:r w:rsidRPr="00FD56EA">
        <w:t xml:space="preserve">Az Európai Parlament 2024. </w:t>
      </w:r>
      <w:r w:rsidR="000E6EF5" w:rsidRPr="00FD56EA">
        <w:t>november</w:t>
      </w:r>
      <w:r w:rsidRPr="00FD56EA">
        <w:t xml:space="preserve"> </w:t>
      </w:r>
      <w:r w:rsidR="004B04FB" w:rsidRPr="00FD56EA">
        <w:t>26-</w:t>
      </w:r>
      <w:r w:rsidRPr="00FD56EA">
        <w:t xml:space="preserve">i állásfoglalása a géntechnológiával módosított COT102 gyapotot tartalmazó, abból álló vagy abból előállított termékek forgalomba hozatalának az 1829/2003/EK európai parlamenti és tanácsi rendelet szerinti engedélyezéséről szóló </w:t>
      </w:r>
      <w:r w:rsidR="004B04FB" w:rsidRPr="00FD56EA">
        <w:t xml:space="preserve">(EU) 2024/2627 </w:t>
      </w:r>
      <w:r w:rsidRPr="00FD56EA">
        <w:t>bizottsági végrehajtási határozat</w:t>
      </w:r>
      <w:r w:rsidR="00880E54" w:rsidRPr="00FD56EA">
        <w:t>ról</w:t>
      </w:r>
      <w:r w:rsidRPr="00FD56EA">
        <w:t xml:space="preserve"> </w:t>
      </w:r>
      <w:bookmarkStart w:id="5" w:name="References"/>
      <w:bookmarkEnd w:id="4"/>
      <w:r w:rsidRPr="00FD56EA">
        <w:t>(2024/</w:t>
      </w:r>
      <w:proofErr w:type="gramStart"/>
      <w:r w:rsidRPr="00FD56EA">
        <w:t>2835(</w:t>
      </w:r>
      <w:proofErr w:type="gramEnd"/>
      <w:r w:rsidRPr="00FD56EA">
        <w:t>RSP))</w:t>
      </w:r>
      <w:bookmarkEnd w:id="5"/>
    </w:p>
    <w:p w:rsidR="00B3779C" w:rsidRPr="00166A70" w:rsidRDefault="00B3779C" w:rsidP="00B3779C">
      <w:pPr>
        <w:pStyle w:val="EPComma"/>
      </w:pPr>
      <w:bookmarkStart w:id="6" w:name="TextBodyBegin"/>
      <w:bookmarkEnd w:id="6"/>
      <w:r w:rsidRPr="00166A70">
        <w:rPr>
          <w:i/>
        </w:rPr>
        <w:t>Az Európai Parlament,</w:t>
      </w:r>
    </w:p>
    <w:p w:rsidR="00B3779C" w:rsidRPr="00166A70" w:rsidRDefault="00B3779C" w:rsidP="00F05E45">
      <w:pPr>
        <w:pStyle w:val="NormalHanging12a"/>
        <w:widowControl/>
        <w:rPr>
          <w:szCs w:val="24"/>
        </w:rPr>
      </w:pPr>
      <w:r w:rsidRPr="00166A70">
        <w:t>–</w:t>
      </w:r>
      <w:r w:rsidRPr="00166A70">
        <w:tab/>
      </w:r>
      <w:proofErr w:type="gramStart"/>
      <w:r w:rsidRPr="00166A70">
        <w:t>tekintettel</w:t>
      </w:r>
      <w:proofErr w:type="gramEnd"/>
      <w:r w:rsidRPr="00166A70">
        <w:t xml:space="preserve"> a géntechnológiával módosított COT102 gyapotot tartalmazó, abból álló vagy abból előállított termékek forgalomba hozatalának az 1829/2003/EK európai parlamenti és tanácsi rendelet szerinti engedélyezéséről szóló </w:t>
      </w:r>
      <w:r w:rsidR="004B04FB" w:rsidRPr="004B04FB">
        <w:t>(EU) 2024/2627</w:t>
      </w:r>
      <w:r w:rsidR="004B04FB">
        <w:t xml:space="preserve"> </w:t>
      </w:r>
      <w:r w:rsidRPr="00166A70">
        <w:t>bizottsági végrehajtási határozat</w:t>
      </w:r>
      <w:r w:rsidR="00880E54">
        <w:t>ra</w:t>
      </w:r>
      <w:r w:rsidR="004B04FB">
        <w:rPr>
          <w:rStyle w:val="FootnoteReference"/>
        </w:rPr>
        <w:footnoteReference w:id="1"/>
      </w:r>
      <w:r w:rsidRPr="00166A70">
        <w:t>,</w:t>
      </w:r>
    </w:p>
    <w:p w:rsidR="00B3779C" w:rsidRPr="00166A70" w:rsidRDefault="00B3779C" w:rsidP="00F05E45">
      <w:pPr>
        <w:pStyle w:val="NormalHanging12a"/>
        <w:widowControl/>
        <w:rPr>
          <w:szCs w:val="24"/>
        </w:rPr>
      </w:pPr>
      <w:r w:rsidRPr="00166A70">
        <w:t>–</w:t>
      </w:r>
      <w:r w:rsidRPr="00166A70">
        <w:tab/>
      </w:r>
      <w:proofErr w:type="gramStart"/>
      <w:r w:rsidRPr="00166A70">
        <w:t>tekintettel</w:t>
      </w:r>
      <w:proofErr w:type="gramEnd"/>
      <w:r w:rsidRPr="00166A70">
        <w:t xml:space="preserve"> a géntechnológiával módosított élelmiszerekről és takarmányokról szóló, 2003. szeptember 22-i 1829/2003/EK európai parlamenti és tanácsi rendeletre</w:t>
      </w:r>
      <w:r w:rsidRPr="00166A70">
        <w:rPr>
          <w:rStyle w:val="FootnoteReference"/>
          <w:szCs w:val="24"/>
        </w:rPr>
        <w:footnoteReference w:id="2"/>
      </w:r>
      <w:r w:rsidRPr="00166A70">
        <w:t>, és különösen 7. cikkének (3) bekezdésére és 19. cikkének (3) bekezdésére,</w:t>
      </w:r>
    </w:p>
    <w:p w:rsidR="00B3779C" w:rsidRPr="00166A70" w:rsidRDefault="00B3779C" w:rsidP="00F05E45">
      <w:pPr>
        <w:pStyle w:val="NormalHanging12a"/>
        <w:widowControl/>
        <w:rPr>
          <w:szCs w:val="24"/>
        </w:rPr>
      </w:pPr>
      <w:r w:rsidRPr="00166A70">
        <w:t>–</w:t>
      </w:r>
      <w:r w:rsidRPr="00166A70">
        <w:tab/>
        <w:t xml:space="preserve">tekintettel </w:t>
      </w:r>
      <w:r w:rsidRPr="00166A70">
        <w:rPr>
          <w:shd w:val="clear" w:color="auto" w:fill="FFFFFF"/>
        </w:rPr>
        <w:t>az 1829/2003/EK rendelet 35. cikkében említett, a növényekkel, állatokkal, élelmiszerekkel és takarmányokkal foglalkozó állandó bizottságban 2024. július 8-án tartott szavazásra, amelyen nem született vélemény, valamint a fellebbviteli bizottságban 2024. szeptember 3-án tartott szavazására, amelyen ugyancsak nem</w:t>
      </w:r>
      <w:r w:rsidRPr="00166A70">
        <w:t xml:space="preserve"> született vélemény,</w:t>
      </w:r>
    </w:p>
    <w:p w:rsidR="00B3779C" w:rsidRPr="00166A70" w:rsidRDefault="00B3779C" w:rsidP="00F05E45">
      <w:pPr>
        <w:pStyle w:val="NormalHanging12a"/>
        <w:widowControl/>
        <w:rPr>
          <w:szCs w:val="24"/>
        </w:rPr>
      </w:pPr>
      <w:r w:rsidRPr="00166A70">
        <w:t>–</w:t>
      </w:r>
      <w:r w:rsidRPr="00166A70">
        <w:tab/>
        <w:t>tekintettel a Bizottság végrehajtási hatásköreinek gyakorlására vonatkozó tagállami ellenőrzési mechanizmusok szabályainak és általános elveinek megállapításáról szóló, 2011. február 16-i 182/2011/EU európai parlamenti és tanácsi rendelet 11. cikkére</w:t>
      </w:r>
      <w:r w:rsidRPr="00166A70">
        <w:rPr>
          <w:rStyle w:val="FootnoteReference"/>
          <w:szCs w:val="24"/>
        </w:rPr>
        <w:footnoteReference w:id="3"/>
      </w:r>
      <w:r w:rsidRPr="00166A70">
        <w:t>,</w:t>
      </w:r>
    </w:p>
    <w:p w:rsidR="00B3779C" w:rsidRPr="00166A70" w:rsidRDefault="00B3779C" w:rsidP="00F05E45">
      <w:pPr>
        <w:pStyle w:val="NormalHanging12a"/>
        <w:widowControl/>
        <w:rPr>
          <w:szCs w:val="24"/>
        </w:rPr>
      </w:pPr>
      <w:r w:rsidRPr="00166A70">
        <w:lastRenderedPageBreak/>
        <w:t>–</w:t>
      </w:r>
      <w:r w:rsidRPr="00166A70">
        <w:tab/>
        <w:t>tekintettel az Európai Élelmiszerbiztonsági Hatóság (EFSA) által 2023. május 10-én elfogadott és 2023. június 26-án közzétett véleményre</w:t>
      </w:r>
      <w:r w:rsidRPr="00166A70">
        <w:rPr>
          <w:rStyle w:val="FootnoteReference"/>
          <w:szCs w:val="24"/>
        </w:rPr>
        <w:footnoteReference w:id="4"/>
      </w:r>
      <w:r w:rsidRPr="00166A70">
        <w:t>,</w:t>
      </w:r>
    </w:p>
    <w:p w:rsidR="00B3779C" w:rsidRPr="00166A70" w:rsidRDefault="00B3779C" w:rsidP="00F05E45">
      <w:pPr>
        <w:pStyle w:val="NormalHanging12a"/>
        <w:widowControl/>
        <w:rPr>
          <w:szCs w:val="24"/>
          <w:shd w:val="clear" w:color="auto" w:fill="FFFFFF"/>
        </w:rPr>
      </w:pPr>
      <w:r w:rsidRPr="00166A70">
        <w:t>–</w:t>
      </w:r>
      <w:r w:rsidRPr="00166A70">
        <w:rPr>
          <w:shd w:val="clear" w:color="auto" w:fill="FFFFFF"/>
        </w:rPr>
        <w:tab/>
      </w:r>
      <w:proofErr w:type="gramStart"/>
      <w:r w:rsidRPr="00166A70">
        <w:rPr>
          <w:shd w:val="clear" w:color="auto" w:fill="FFFFFF"/>
        </w:rPr>
        <w:t>tekintettel</w:t>
      </w:r>
      <w:proofErr w:type="gramEnd"/>
      <w:r w:rsidRPr="00166A70">
        <w:rPr>
          <w:shd w:val="clear" w:color="auto" w:fill="FFFFFF"/>
        </w:rPr>
        <w:t xml:space="preserve"> a géntechnológiával módosított szervezetek (GMO-k) engedélyezését kifogásoló korábbi állásfoglalásaira</w:t>
      </w:r>
      <w:r w:rsidRPr="00166A70">
        <w:rPr>
          <w:szCs w:val="24"/>
          <w:shd w:val="clear" w:color="auto" w:fill="FFFFFF"/>
          <w:vertAlign w:val="superscript"/>
        </w:rPr>
        <w:footnoteReference w:id="5"/>
      </w:r>
      <w:r w:rsidRPr="00166A70">
        <w:rPr>
          <w:shd w:val="clear" w:color="auto" w:fill="FFFFFF"/>
        </w:rPr>
        <w:t>,</w:t>
      </w:r>
    </w:p>
    <w:p w:rsidR="00B3779C" w:rsidRPr="00166A70" w:rsidRDefault="00B3779C" w:rsidP="00F05E45">
      <w:pPr>
        <w:pStyle w:val="NormalHanging12a"/>
        <w:widowControl/>
        <w:rPr>
          <w:szCs w:val="24"/>
        </w:rPr>
      </w:pPr>
      <w:r w:rsidRPr="00166A70">
        <w:t>–</w:t>
      </w:r>
      <w:r w:rsidRPr="00166A70">
        <w:tab/>
        <w:t>tekintettel eljárási szabályzata 115. cikkének (2) és (3) bekezdésére,</w:t>
      </w:r>
    </w:p>
    <w:p w:rsidR="00B3779C" w:rsidRPr="00166A70" w:rsidRDefault="00B3779C" w:rsidP="00F05E45">
      <w:pPr>
        <w:pStyle w:val="NormalHanging12a"/>
        <w:widowControl/>
        <w:rPr>
          <w:szCs w:val="24"/>
        </w:rPr>
      </w:pPr>
      <w:r w:rsidRPr="00166A70">
        <w:t>–</w:t>
      </w:r>
      <w:r w:rsidRPr="00166A70">
        <w:tab/>
        <w:t>tekintettel a Környezetvédelmi, Közegészségügyi és Élelmiszer-biztonsági Bizottság állásfoglalásra irányuló indítványára,</w:t>
      </w:r>
    </w:p>
    <w:p w:rsidR="00B3779C" w:rsidRPr="00166A70" w:rsidRDefault="00B3779C" w:rsidP="00F05E45">
      <w:pPr>
        <w:pStyle w:val="NormalHanging12a"/>
        <w:widowControl/>
        <w:rPr>
          <w:szCs w:val="24"/>
        </w:rPr>
      </w:pPr>
      <w:r w:rsidRPr="00166A70">
        <w:t>A.</w:t>
      </w:r>
      <w:r w:rsidRPr="00166A70">
        <w:tab/>
      </w:r>
      <w:proofErr w:type="gramStart"/>
      <w:r w:rsidRPr="00166A70">
        <w:t xml:space="preserve">mivel 2017. március 31-én a belgiumi székhelyű </w:t>
      </w:r>
      <w:proofErr w:type="spellStart"/>
      <w:r w:rsidRPr="00166A70">
        <w:t>Syngenta</w:t>
      </w:r>
      <w:proofErr w:type="spellEnd"/>
      <w:r w:rsidRPr="00166A70">
        <w:t xml:space="preserve"> </w:t>
      </w:r>
      <w:proofErr w:type="spellStart"/>
      <w:r w:rsidRPr="00166A70">
        <w:t>Crop</w:t>
      </w:r>
      <w:proofErr w:type="spellEnd"/>
      <w:r w:rsidRPr="00166A70">
        <w:t xml:space="preserve"> </w:t>
      </w:r>
      <w:proofErr w:type="spellStart"/>
      <w:r w:rsidRPr="00166A70">
        <w:t>Protection</w:t>
      </w:r>
      <w:proofErr w:type="spellEnd"/>
      <w:r w:rsidRPr="00166A70">
        <w:t xml:space="preserve"> NV/SA a svájci székhelyű </w:t>
      </w:r>
      <w:proofErr w:type="spellStart"/>
      <w:r w:rsidRPr="00166A70">
        <w:t>Syngenta</w:t>
      </w:r>
      <w:proofErr w:type="spellEnd"/>
      <w:r w:rsidRPr="00166A70">
        <w:t xml:space="preserve"> </w:t>
      </w:r>
      <w:proofErr w:type="spellStart"/>
      <w:r w:rsidRPr="00166A70">
        <w:t>Crop</w:t>
      </w:r>
      <w:proofErr w:type="spellEnd"/>
      <w:r w:rsidRPr="00166A70">
        <w:t xml:space="preserve"> </w:t>
      </w:r>
      <w:proofErr w:type="spellStart"/>
      <w:r w:rsidRPr="00166A70">
        <w:t>Protection</w:t>
      </w:r>
      <w:proofErr w:type="spellEnd"/>
      <w:r w:rsidRPr="00166A70">
        <w:t xml:space="preserve"> AG képviseletében az 1829/2003/EK rendelet 5. és 17. cikkével összhangban kérelmet nyújtott be Németország illetékes nemzeti hatóságához a géntechnológiával módosított COT102 gyapotot (géntechnológiával módosított gyapotot) tartalmazó, abból álló vagy abból előállított élelmiszerek, élelmiszer-összetevők és takarmányok forgalomba hozatalára vonatkozóan (a továbbiakban: a kérelem).</w:t>
      </w:r>
      <w:proofErr w:type="gramEnd"/>
      <w:r w:rsidRPr="00166A70">
        <w:t xml:space="preserve"> </w:t>
      </w:r>
      <w:proofErr w:type="gramStart"/>
      <w:r w:rsidRPr="00166A70">
        <w:t>mivel</w:t>
      </w:r>
      <w:proofErr w:type="gramEnd"/>
      <w:r w:rsidRPr="00166A70">
        <w:t xml:space="preserve"> a kérelem a géntechnológiával módosított gyapotot tartalmazó vagy abból álló olyan termékek forgalomba hozatalára is kiterjedt, amelyeket – a termesztés kivételével – nem élelmezési vagy takarmányozási felhasználásra szánnak; </w:t>
      </w:r>
    </w:p>
    <w:p w:rsidR="00B3779C" w:rsidRPr="00166A70" w:rsidRDefault="00B3779C" w:rsidP="00F05E45">
      <w:pPr>
        <w:pStyle w:val="NormalHanging12a"/>
        <w:widowControl/>
        <w:rPr>
          <w:szCs w:val="24"/>
        </w:rPr>
      </w:pPr>
      <w:r w:rsidRPr="00166A70">
        <w:t>B.</w:t>
      </w:r>
      <w:r w:rsidRPr="00166A70">
        <w:tab/>
        <w:t>mivel az EFSA 2023. május 10-én kedvező véleményt adott, amelyet 2023. június 26-án tettek közzé, amelyben arra a következtetésre jutottak, hogy a géntechnológiával módosított gyapot az emberi és állati egészségre, valamint a környezetre gyakorolt lehetséges hatások tekintetében ugyanolyan biztonságos, mint a géntechnológiával nem módosított referencianövény és a géntechnológiával nem módosított vizsgált gyapotfajták;</w:t>
      </w:r>
    </w:p>
    <w:p w:rsidR="00B3779C" w:rsidRPr="00166A70" w:rsidRDefault="00B3779C" w:rsidP="00F05E45">
      <w:pPr>
        <w:pStyle w:val="NormalHanging12a"/>
        <w:widowControl/>
        <w:rPr>
          <w:szCs w:val="24"/>
        </w:rPr>
      </w:pPr>
      <w:r w:rsidRPr="00166A70">
        <w:t>C.</w:t>
      </w:r>
      <w:r w:rsidRPr="00166A70">
        <w:tab/>
        <w:t>mivel a géntechnológiával módosított gyapot rovarölő fehérjéket (Bt-toxinokat) termelő géneket és egy antibiotikum-rezisztencia markergént tartalmaz;</w:t>
      </w:r>
    </w:p>
    <w:p w:rsidR="00B3779C" w:rsidRPr="00166A70" w:rsidRDefault="00B3779C" w:rsidP="00F05E45">
      <w:pPr>
        <w:pStyle w:val="NormalHanging12a"/>
        <w:widowControl/>
        <w:rPr>
          <w:szCs w:val="24"/>
        </w:rPr>
      </w:pPr>
      <w:r w:rsidRPr="00166A70">
        <w:t>D.</w:t>
      </w:r>
      <w:r w:rsidRPr="00166A70">
        <w:tab/>
        <w:t xml:space="preserve">mivel a gyapotmagolaj számos élelmiszeripari termék, például </w:t>
      </w:r>
      <w:proofErr w:type="spellStart"/>
      <w:r w:rsidRPr="00166A70">
        <w:t>öntetek</w:t>
      </w:r>
      <w:proofErr w:type="spellEnd"/>
      <w:r w:rsidRPr="00166A70">
        <w:t xml:space="preserve">, majonéz, finompékáruk, kenhető csokoládékrémek és </w:t>
      </w:r>
      <w:proofErr w:type="spellStart"/>
      <w:r w:rsidRPr="00166A70">
        <w:t>csipszek</w:t>
      </w:r>
      <w:proofErr w:type="spellEnd"/>
      <w:r w:rsidRPr="00166A70">
        <w:t xml:space="preserve"> előállításához használható fel; mivel a gyapotmagliszt fogyasztása a legvalószínűbb módja annak, hogy az emberek ki legyenek téve a géntechnológiai módosításból eredő két fehérjének; mivel a gyapotot gyakran használják állati takarmányozásra nem </w:t>
      </w:r>
      <w:proofErr w:type="spellStart"/>
      <w:r w:rsidRPr="00166A70">
        <w:t>szösztelenített</w:t>
      </w:r>
      <w:proofErr w:type="spellEnd"/>
      <w:r w:rsidRPr="00166A70">
        <w:t xml:space="preserve"> magvak és őrlemény formájában; </w:t>
      </w:r>
    </w:p>
    <w:p w:rsidR="00B3779C" w:rsidRPr="00166A70" w:rsidRDefault="00B3779C" w:rsidP="00F05E45">
      <w:pPr>
        <w:pStyle w:val="NormalHanging12a"/>
        <w:widowControl/>
        <w:rPr>
          <w:b/>
          <w:i/>
        </w:rPr>
      </w:pPr>
      <w:r w:rsidRPr="00166A70">
        <w:rPr>
          <w:b/>
          <w:i/>
        </w:rPr>
        <w:t>A Bt-toxinokkal kapcsolatos lezáratlan kérdések</w:t>
      </w:r>
    </w:p>
    <w:p w:rsidR="00B3779C" w:rsidRPr="00166A70" w:rsidRDefault="00B3779C" w:rsidP="00F05E45">
      <w:pPr>
        <w:pStyle w:val="NormalHanging12a"/>
        <w:widowControl/>
        <w:rPr>
          <w:szCs w:val="24"/>
        </w:rPr>
      </w:pPr>
      <w:r w:rsidRPr="00166A70">
        <w:t>E.</w:t>
      </w:r>
      <w:r w:rsidRPr="00166A70">
        <w:tab/>
      </w:r>
      <w:proofErr w:type="gramStart"/>
      <w:r w:rsidRPr="00166A70">
        <w:t xml:space="preserve">mivel a Bt-toxinok toxicitását takarmányozási vizsgálatok alapján értékelték, kizárólag baktériumok által előállított, izolált Bt-fehérjék felhasználásával; mivel csekély jelentőség tulajdonítható az izolált fehérjékkel végzett toxikológiai vizsgálatoknak, </w:t>
      </w:r>
      <w:r w:rsidRPr="00166A70">
        <w:lastRenderedPageBreak/>
        <w:t xml:space="preserve">tekintettel arra, hogy a géntechnológiával módosított növényekben, például a kukoricában, a gyapotban és a szójababban előforduló Bt-toxinok természetüknél fogva mérgezőbbek, mint az izolált Bt-toxinok; mivel ennek az az oka, hogy a növényi szövetben jelen lévő </w:t>
      </w:r>
      <w:proofErr w:type="spellStart"/>
      <w:r w:rsidRPr="00166A70">
        <w:t>proteázgátlók</w:t>
      </w:r>
      <w:proofErr w:type="spellEnd"/>
      <w:r w:rsidRPr="00166A70">
        <w:t xml:space="preserve"> (PI) növelhetik a Bt-toxinok toxicitását a lebomlásuk késleltetésével;</w:t>
      </w:r>
      <w:proofErr w:type="gramEnd"/>
      <w:r w:rsidRPr="00166A70">
        <w:t xml:space="preserve"> </w:t>
      </w:r>
      <w:proofErr w:type="gramStart"/>
      <w:r w:rsidRPr="00166A70">
        <w:t>mivel</w:t>
      </w:r>
      <w:proofErr w:type="gramEnd"/>
      <w:r w:rsidRPr="00166A70">
        <w:t xml:space="preserve"> ezt a jelenséget számos tudományos vizsgálat igazolta, többek között a </w:t>
      </w:r>
      <w:proofErr w:type="spellStart"/>
      <w:r w:rsidRPr="00166A70">
        <w:t>Monsanto</w:t>
      </w:r>
      <w:proofErr w:type="spellEnd"/>
      <w:r w:rsidRPr="00166A70">
        <w:t xml:space="preserve"> végzett tanulmánya, amely kimutatta, hogy még a rendkívül alacsony PI-szintek is akár 20-szorosára növelték a Bt-toxinok toxicitását</w:t>
      </w:r>
      <w:r w:rsidRPr="00166A70">
        <w:rPr>
          <w:rStyle w:val="FootnoteReference"/>
          <w:szCs w:val="24"/>
        </w:rPr>
        <w:footnoteReference w:id="6"/>
      </w:r>
      <w:r w:rsidRPr="00166A70">
        <w:t>;</w:t>
      </w:r>
    </w:p>
    <w:p w:rsidR="00B3779C" w:rsidRPr="00166A70" w:rsidRDefault="00B3779C" w:rsidP="00F05E45">
      <w:pPr>
        <w:pStyle w:val="NormalHanging12a"/>
        <w:widowControl/>
        <w:rPr>
          <w:szCs w:val="24"/>
        </w:rPr>
      </w:pPr>
      <w:r w:rsidRPr="00166A70">
        <w:t>F.</w:t>
      </w:r>
      <w:r w:rsidRPr="00166A70">
        <w:tab/>
      </w:r>
      <w:proofErr w:type="gramStart"/>
      <w:r w:rsidRPr="00166A70">
        <w:t>mivel</w:t>
      </w:r>
      <w:proofErr w:type="gramEnd"/>
      <w:r w:rsidRPr="00166A70">
        <w:t xml:space="preserve"> ezt a fokozott toxicitást nem veszik figyelembe az EFSA kockázatértékelései során, még akkor sem, ha az minden, az Unióban behozatalra vagy termesztésre engedélyezett Bt-növény esetében releváns; mivel a Bt-toxint tartalmazó élelmiszereket fogyasztó emberek és a Bt-toxint tartalmazó takarmányokat fogyasztó állatok esetében ezért nem zárhatók ki a – </w:t>
      </w:r>
      <w:proofErr w:type="spellStart"/>
      <w:r w:rsidRPr="00166A70">
        <w:t>proteázgátlók</w:t>
      </w:r>
      <w:proofErr w:type="spellEnd"/>
      <w:r w:rsidRPr="00166A70">
        <w:t xml:space="preserve"> és Bt-toxinok közötti kölcsönhatással kiváltott – fokozott toxicitásból erdő kockázatok;</w:t>
      </w:r>
    </w:p>
    <w:p w:rsidR="00B3779C" w:rsidRPr="00166A70" w:rsidRDefault="00B3779C" w:rsidP="00F05E45">
      <w:pPr>
        <w:pStyle w:val="NormalHanging12a"/>
        <w:widowControl/>
        <w:rPr>
          <w:szCs w:val="24"/>
        </w:rPr>
      </w:pPr>
      <w:r w:rsidRPr="00166A70">
        <w:t>G.</w:t>
      </w:r>
      <w:r w:rsidRPr="00166A70">
        <w:tab/>
        <w:t xml:space="preserve">mivel számos vizsgálat azt mutatja, hogy olyan mellékhatások figyelhetők meg, amelyek a Bt-toxinoknak való </w:t>
      </w:r>
      <w:proofErr w:type="gramStart"/>
      <w:r w:rsidRPr="00166A70">
        <w:t>expozíció</w:t>
      </w:r>
      <w:proofErr w:type="gramEnd"/>
      <w:r w:rsidRPr="00166A70">
        <w:t xml:space="preserve"> következtében befolyásolhatják az immunrendszert, és hogy egyes Bt-toxinok </w:t>
      </w:r>
      <w:proofErr w:type="spellStart"/>
      <w:r w:rsidRPr="00166A70">
        <w:t>adjuváns</w:t>
      </w:r>
      <w:proofErr w:type="spellEnd"/>
      <w:r w:rsidRPr="00166A70">
        <w:t xml:space="preserve"> tulajdonságokkal</w:t>
      </w:r>
      <w:r w:rsidRPr="00166A70">
        <w:rPr>
          <w:rStyle w:val="FootnoteReference"/>
          <w:szCs w:val="24"/>
        </w:rPr>
        <w:footnoteReference w:id="7"/>
      </w:r>
      <w:r w:rsidRPr="00166A70">
        <w:t xml:space="preserve"> rendelkezhetnek, ami azt jelenti, hogy növelhetik azon egyéb fehérjék allergén jellegét, amelyekkel kapcsolatba kerülnek;</w:t>
      </w:r>
    </w:p>
    <w:p w:rsidR="00B3779C" w:rsidRPr="00166A70" w:rsidRDefault="00B3779C" w:rsidP="00F05E45">
      <w:pPr>
        <w:pStyle w:val="NormalHanging12a"/>
        <w:widowControl/>
        <w:rPr>
          <w:b/>
          <w:i/>
          <w:szCs w:val="24"/>
        </w:rPr>
      </w:pPr>
      <w:r w:rsidRPr="00166A70">
        <w:rPr>
          <w:b/>
          <w:i/>
        </w:rPr>
        <w:t>Bt-növények: a nem célzott élőlényekre gyakorolt hatások</w:t>
      </w:r>
    </w:p>
    <w:p w:rsidR="00B3779C" w:rsidRPr="00166A70" w:rsidRDefault="00B3779C" w:rsidP="00F05E45">
      <w:pPr>
        <w:pStyle w:val="NormalHanging12a"/>
        <w:widowControl/>
      </w:pPr>
      <w:r w:rsidRPr="00166A70">
        <w:t>H.</w:t>
      </w:r>
      <w:r w:rsidRPr="00166A70">
        <w:tab/>
        <w:t xml:space="preserve">mivel a rovarölő szerek használatától eltérően – amikor az </w:t>
      </w:r>
      <w:proofErr w:type="gramStart"/>
      <w:r w:rsidRPr="00166A70">
        <w:t>expozíció</w:t>
      </w:r>
      <w:proofErr w:type="gramEnd"/>
      <w:r w:rsidRPr="00166A70">
        <w:t xml:space="preserve"> a permetezéskor és azt követően korlátozott ideig áll fenn – a géntechnológiával módosított Bt-növények használata a célszervezetek és a nem célszervezetek Bt-toxinoknak való folyamatos expozíciójához vezet;</w:t>
      </w:r>
    </w:p>
    <w:p w:rsidR="00B3779C" w:rsidRPr="00166A70" w:rsidRDefault="00B3779C" w:rsidP="00F05E45">
      <w:pPr>
        <w:pStyle w:val="NormalHanging12a"/>
        <w:widowControl/>
      </w:pPr>
      <w:r w:rsidRPr="00166A70">
        <w:t>I.</w:t>
      </w:r>
      <w:r w:rsidRPr="00166A70">
        <w:tab/>
        <w:t>mivel az a feltételezés, hogy a Bt-toxinok egyetlen célspecifikus hatásmódot mutatnak, többé nem tekinthető helytállónak, és a nem célszervezetekre gyakorolt hatásokat nem lehet kizárni</w:t>
      </w:r>
      <w:r w:rsidRPr="00166A70">
        <w:rPr>
          <w:rStyle w:val="FootnoteReference"/>
        </w:rPr>
        <w:footnoteReference w:id="8"/>
      </w:r>
      <w:r w:rsidRPr="00166A70">
        <w:t xml:space="preserve">; </w:t>
      </w:r>
    </w:p>
    <w:p w:rsidR="00B3779C" w:rsidRPr="00166A70" w:rsidRDefault="00B3779C" w:rsidP="00F05E45">
      <w:pPr>
        <w:pStyle w:val="NormalHanging12a"/>
        <w:widowControl/>
      </w:pPr>
      <w:r w:rsidRPr="00166A70">
        <w:t>J.</w:t>
      </w:r>
      <w:r w:rsidRPr="00166A70">
        <w:tab/>
      </w:r>
      <w:proofErr w:type="gramStart"/>
      <w:r w:rsidRPr="00166A70">
        <w:t>mivel</w:t>
      </w:r>
      <w:proofErr w:type="gramEnd"/>
      <w:r w:rsidRPr="00166A70">
        <w:t xml:space="preserve"> a jelentések szerint egyre több nem célszervezetet érnek hatások különféle formában; mivel egy közelmúltban készült áttekintés 39 olyan lektorált publikációt </w:t>
      </w:r>
      <w:r w:rsidRPr="00166A70">
        <w:lastRenderedPageBreak/>
        <w:t>említ, amelyek a Bt-toxinok számos „tartományon kívüli” fajra gyakorolt jelentős káros hatásáról számolnak be</w:t>
      </w:r>
      <w:r w:rsidRPr="00166A70">
        <w:rPr>
          <w:rStyle w:val="FootnoteReference"/>
        </w:rPr>
        <w:footnoteReference w:id="9"/>
      </w:r>
      <w:r w:rsidRPr="00166A70">
        <w:t>;</w:t>
      </w:r>
    </w:p>
    <w:p w:rsidR="00B3779C" w:rsidRPr="00166A70" w:rsidRDefault="00B3779C" w:rsidP="00F05E45">
      <w:pPr>
        <w:pStyle w:val="NormalHanging12a"/>
        <w:widowControl/>
        <w:rPr>
          <w:b/>
          <w:i/>
        </w:rPr>
      </w:pPr>
      <w:r w:rsidRPr="00166A70">
        <w:rPr>
          <w:b/>
          <w:i/>
        </w:rPr>
        <w:t xml:space="preserve">Az </w:t>
      </w:r>
      <w:proofErr w:type="gramStart"/>
      <w:r w:rsidRPr="00166A70">
        <w:rPr>
          <w:b/>
          <w:i/>
        </w:rPr>
        <w:t>importált</w:t>
      </w:r>
      <w:proofErr w:type="gramEnd"/>
      <w:r w:rsidRPr="00166A70">
        <w:rPr>
          <w:b/>
          <w:i/>
        </w:rPr>
        <w:t xml:space="preserve"> takarmánytól való függőség csökkentése</w:t>
      </w:r>
    </w:p>
    <w:p w:rsidR="00B3779C" w:rsidRPr="00166A70" w:rsidRDefault="00B3779C" w:rsidP="00F05E45">
      <w:pPr>
        <w:pStyle w:val="NormalHanging12a"/>
        <w:widowControl/>
      </w:pPr>
      <w:r w:rsidRPr="00166A70">
        <w:t>K.</w:t>
      </w:r>
      <w:r w:rsidRPr="00166A70">
        <w:tab/>
      </w:r>
      <w:proofErr w:type="gramStart"/>
      <w:r w:rsidRPr="00166A70">
        <w:t>mivel</w:t>
      </w:r>
      <w:proofErr w:type="gramEnd"/>
      <w:r w:rsidRPr="00166A70">
        <w:t xml:space="preserve"> a Covid19-válság és a még folyamatban lévő ukrajnai háború egyik tanulsága az, hogy az Uniónak véget kell vetnie az egyes kritikus anyagoktól való függőségnek; mivel a </w:t>
      </w:r>
      <w:proofErr w:type="spellStart"/>
      <w:r w:rsidRPr="00166A70">
        <w:t>Christophe</w:t>
      </w:r>
      <w:proofErr w:type="spellEnd"/>
      <w:r w:rsidRPr="00166A70">
        <w:t xml:space="preserve"> Hansen biztosjelöltnek címzett megbízólevélben </w:t>
      </w:r>
      <w:proofErr w:type="spellStart"/>
      <w:r w:rsidRPr="00166A70">
        <w:t>Ursula</w:t>
      </w:r>
      <w:proofErr w:type="spellEnd"/>
      <w:r w:rsidRPr="00166A70">
        <w:t xml:space="preserve"> von der </w:t>
      </w:r>
      <w:proofErr w:type="spellStart"/>
      <w:r w:rsidRPr="00166A70">
        <w:t>Leyen</w:t>
      </w:r>
      <w:proofErr w:type="spellEnd"/>
      <w:r w:rsidRPr="00166A70">
        <w:t>, a Bizottság elnöke arra kéri őt, hogy vizsgálja meg a kritikus fontosságú áruk behozatala csökkentésének módjait</w:t>
      </w:r>
      <w:r w:rsidRPr="00166A70">
        <w:rPr>
          <w:rStyle w:val="FootnoteReference"/>
        </w:rPr>
        <w:footnoteReference w:id="10"/>
      </w:r>
      <w:r w:rsidRPr="00166A70">
        <w:t xml:space="preserve">; </w:t>
      </w:r>
    </w:p>
    <w:p w:rsidR="00B3779C" w:rsidRPr="00166A70" w:rsidRDefault="00B3779C" w:rsidP="00F05E45">
      <w:pPr>
        <w:pStyle w:val="NormalHanging12a"/>
        <w:widowControl/>
        <w:rPr>
          <w:b/>
          <w:i/>
        </w:rPr>
      </w:pPr>
      <w:r w:rsidRPr="00166A70">
        <w:rPr>
          <w:b/>
          <w:i/>
        </w:rPr>
        <w:t>Az antibiotikum-rezisztencia markergének használata</w:t>
      </w:r>
    </w:p>
    <w:p w:rsidR="00B3779C" w:rsidRPr="00166A70" w:rsidRDefault="00B3779C" w:rsidP="00F05E45">
      <w:pPr>
        <w:pStyle w:val="NormalHanging12a"/>
        <w:widowControl/>
      </w:pPr>
      <w:r w:rsidRPr="00166A70">
        <w:t>L.</w:t>
      </w:r>
      <w:r w:rsidRPr="00166A70">
        <w:tab/>
        <w:t xml:space="preserve">mivel a géntechnológiával módosított gyapot termeli az APH4 fehérjét, amelyet antibiotikum-rezisztencia markergénként használnak, és amely hatástalanítja a </w:t>
      </w:r>
      <w:proofErr w:type="spellStart"/>
      <w:r w:rsidRPr="00166A70">
        <w:t>hygromycin</w:t>
      </w:r>
      <w:proofErr w:type="spellEnd"/>
      <w:r w:rsidRPr="00166A70">
        <w:t xml:space="preserve"> B antibiotikum </w:t>
      </w:r>
      <w:proofErr w:type="gramStart"/>
      <w:r w:rsidRPr="00166A70">
        <w:t>aktivitását</w:t>
      </w:r>
      <w:proofErr w:type="gramEnd"/>
      <w:r w:rsidRPr="00166A70">
        <w:t>;</w:t>
      </w:r>
    </w:p>
    <w:p w:rsidR="00B3779C" w:rsidRPr="00166A70" w:rsidRDefault="00B3779C" w:rsidP="00F05E45">
      <w:pPr>
        <w:pStyle w:val="NormalHanging12a"/>
        <w:widowControl/>
      </w:pPr>
      <w:proofErr w:type="gramStart"/>
      <w:r w:rsidRPr="00166A70">
        <w:t>M.</w:t>
      </w:r>
      <w:r w:rsidRPr="00166A70">
        <w:tab/>
        <w:t>mivel a 2001/18/EK európai parlamenti és tanácsi irányelv</w:t>
      </w:r>
      <w:r w:rsidRPr="00166A70">
        <w:rPr>
          <w:rStyle w:val="FootnoteReference"/>
        </w:rPr>
        <w:footnoteReference w:id="11"/>
      </w:r>
      <w:r w:rsidRPr="00166A70">
        <w:t xml:space="preserve"> 4. cikkének (2) bekezdése előírja, hogy „azon GMO-</w:t>
      </w:r>
      <w:proofErr w:type="spellStart"/>
      <w:r w:rsidRPr="00166A70">
        <w:t>kat</w:t>
      </w:r>
      <w:proofErr w:type="spellEnd"/>
      <w:r w:rsidRPr="00166A70">
        <w:t>, amelyek orvosi vagy állatorvosi kezelésre használt antibiotikumokkal szembeni rezisztenciát mutató géneket tartalmaznak, különös figyelemmel kísérjék a környezeti kockázatértékelés során, abból a szempontból, hogy meghatározzák és fokozatosan kivonják a GMO-</w:t>
      </w:r>
      <w:proofErr w:type="spellStart"/>
      <w:r w:rsidRPr="00166A70">
        <w:t>kban</w:t>
      </w:r>
      <w:proofErr w:type="spellEnd"/>
      <w:r w:rsidRPr="00166A70">
        <w:t xml:space="preserve"> található azon antibiotikumrezisztencia-markereket, amelyek káros hatással lehetnek az emberi egészségre és a környezetre”, valamint a 2004-es évet jelöli meg határidőként, amelyen túl nem hozhatók forgalomba az uniós piacon;</w:t>
      </w:r>
      <w:proofErr w:type="gramEnd"/>
    </w:p>
    <w:p w:rsidR="00B3779C" w:rsidRPr="00166A70" w:rsidRDefault="00B3779C" w:rsidP="00F05E45">
      <w:pPr>
        <w:pStyle w:val="NormalHanging12a"/>
        <w:widowControl/>
      </w:pPr>
      <w:r w:rsidRPr="00166A70">
        <w:t>N.</w:t>
      </w:r>
      <w:r w:rsidRPr="00166A70">
        <w:tab/>
      </w:r>
      <w:proofErr w:type="gramStart"/>
      <w:r w:rsidRPr="00166A70">
        <w:t>mivel</w:t>
      </w:r>
      <w:proofErr w:type="gramEnd"/>
      <w:r w:rsidRPr="00166A70">
        <w:t xml:space="preserve"> az 503/2013/EU bizottsági végrehajtási rendelet</w:t>
      </w:r>
      <w:r w:rsidRPr="00166A70">
        <w:rPr>
          <w:rStyle w:val="FootnoteReference"/>
        </w:rPr>
        <w:footnoteReference w:id="12"/>
      </w:r>
      <w:r w:rsidRPr="00166A70">
        <w:t xml:space="preserve"> (17) preambulumbekezdése kimondja, hogy „ma már antibiotikum-rezisztencia markergének használata nélkül is ki lehet fejleszteni GMO-</w:t>
      </w:r>
      <w:proofErr w:type="spellStart"/>
      <w:r w:rsidRPr="00166A70">
        <w:t>kat</w:t>
      </w:r>
      <w:proofErr w:type="spellEnd"/>
      <w:r w:rsidRPr="00166A70">
        <w:t xml:space="preserve"> [...], a kérelmezőnek ezért arra kell törekednie, hogy antibiotikum-rezisztencia markergének használata nélkül fejlesszen ki GMO-</w:t>
      </w:r>
      <w:proofErr w:type="spellStart"/>
      <w:r w:rsidRPr="00166A70">
        <w:t>kat</w:t>
      </w:r>
      <w:proofErr w:type="spellEnd"/>
      <w:r w:rsidRPr="00166A70">
        <w:t>”;</w:t>
      </w:r>
    </w:p>
    <w:p w:rsidR="00B3779C" w:rsidRPr="00166A70" w:rsidRDefault="00B3779C" w:rsidP="00F05E45">
      <w:pPr>
        <w:pStyle w:val="NormalHanging12a"/>
        <w:widowControl/>
      </w:pPr>
      <w:proofErr w:type="gramStart"/>
      <w:r w:rsidRPr="00166A70">
        <w:t>O.</w:t>
      </w:r>
      <w:r w:rsidRPr="00166A70">
        <w:tab/>
        <w:t xml:space="preserve">mivel több tagállam kritikai észrevételeket fogalmazott meg az antibiotikum-rezisztencia markergének alkalmazásával kapcsolatban, többek között azt, hogy az antibiotikum-rezisztenciával kapcsolatos jelenlegi krízishelyzetre való tekintettel célszerű lenne az elővigyázatosság elvét alkalmazni, különösen ebben az esetben, </w:t>
      </w:r>
      <w:r w:rsidRPr="00166A70">
        <w:lastRenderedPageBreak/>
        <w:t>amikor az antibiotikum-rezisztencia markergén alkalmazása teljesen szükségtelen, és lehetőség van az antibiotikum-rezisztencia markergén eltávolítására a növényi genomból; mivel az antibiotikum-rezisztencia markergénnek a géntechnológiával módosított gyapot genomjában való jelenlét</w:t>
      </w:r>
      <w:proofErr w:type="gramEnd"/>
      <w:r w:rsidRPr="00166A70">
        <w:t xml:space="preserve">e </w:t>
      </w:r>
      <w:proofErr w:type="gramStart"/>
      <w:r w:rsidRPr="00166A70">
        <w:t>miatt</w:t>
      </w:r>
      <w:proofErr w:type="gramEnd"/>
      <w:r w:rsidRPr="00166A70">
        <w:t xml:space="preserve"> az egyik tagállam illetékes hatósága kedvezőtlen véleményt adott az engedélyezésről;</w:t>
      </w:r>
    </w:p>
    <w:p w:rsidR="00B3779C" w:rsidRPr="00166A70" w:rsidRDefault="00B3779C" w:rsidP="00F05E45">
      <w:pPr>
        <w:pStyle w:val="NormalHanging12a"/>
        <w:widowControl/>
      </w:pPr>
      <w:proofErr w:type="gramStart"/>
      <w:r w:rsidRPr="00166A70">
        <w:t>P.</w:t>
      </w:r>
      <w:r w:rsidRPr="00166A70">
        <w:tab/>
        <w:t xml:space="preserve">mivel az Európai Gyógyszerügynökség megerősítette, hogy a tagállamokban nincsenek embereknél vagy állatoknál terápiás, megelőzési vagy bármilyen más gyógyászati célra engedélyezett, </w:t>
      </w:r>
      <w:proofErr w:type="spellStart"/>
      <w:r w:rsidRPr="00166A70">
        <w:t>hygromycin</w:t>
      </w:r>
      <w:proofErr w:type="spellEnd"/>
      <w:r w:rsidRPr="00166A70">
        <w:t xml:space="preserve"> B-t tartalmazó termékek, és nincsenek emberi vagy állatgyógyászati felhasználásra vonatkozó központi engedélyek a </w:t>
      </w:r>
      <w:proofErr w:type="spellStart"/>
      <w:r w:rsidRPr="00166A70">
        <w:t>hygromycin</w:t>
      </w:r>
      <w:proofErr w:type="spellEnd"/>
      <w:r w:rsidRPr="00166A70">
        <w:t xml:space="preserve"> B11-et tartalmazó gyógyszerekre; mivel az EFSA véleménye szerint „a GMO-testület úgy véli, hogy szükség lehet a kockázatértékelés aktualizálására abban az esetben, ha </w:t>
      </w:r>
      <w:proofErr w:type="spellStart"/>
      <w:r w:rsidRPr="00166A70">
        <w:t>hygromycin</w:t>
      </w:r>
      <w:proofErr w:type="spellEnd"/>
      <w:r w:rsidRPr="00166A70">
        <w:t xml:space="preserve"> B-t vagy az APH4 enzim más szubsztrátumait tartalmazó termékek a jövőben forgalomba hozatali engedélyt</w:t>
      </w:r>
      <w:proofErr w:type="gramEnd"/>
      <w:r w:rsidRPr="00166A70">
        <w:t xml:space="preserve"> </w:t>
      </w:r>
      <w:proofErr w:type="gramStart"/>
      <w:r w:rsidRPr="00166A70">
        <w:t>kapnak</w:t>
      </w:r>
      <w:proofErr w:type="gramEnd"/>
      <w:r w:rsidRPr="00166A70">
        <w:t xml:space="preserve"> az EU-ban”; mivel azonban a </w:t>
      </w:r>
      <w:proofErr w:type="spellStart"/>
      <w:r w:rsidRPr="00166A70">
        <w:t>hygromycin</w:t>
      </w:r>
      <w:proofErr w:type="spellEnd"/>
      <w:r w:rsidRPr="00166A70">
        <w:t xml:space="preserve"> B-t olyan állatgyógyászati termékekben használják, amelyeket az Unión kívül értékesítenek; </w:t>
      </w:r>
    </w:p>
    <w:p w:rsidR="00B3779C" w:rsidRPr="00166A70" w:rsidRDefault="00B3779C" w:rsidP="00F05E45">
      <w:pPr>
        <w:pStyle w:val="NormalHanging12a"/>
        <w:widowControl/>
      </w:pPr>
      <w:r w:rsidRPr="00166A70">
        <w:t>Q.</w:t>
      </w:r>
      <w:r w:rsidRPr="00166A70">
        <w:tab/>
      </w:r>
      <w:proofErr w:type="gramStart"/>
      <w:r w:rsidRPr="00166A70">
        <w:t>mivel</w:t>
      </w:r>
      <w:proofErr w:type="gramEnd"/>
      <w:r w:rsidRPr="00166A70">
        <w:t xml:space="preserve"> a Parlament legalább egy korábbi alkalommal tiltakozott az antibiotikum-rezisztencia markergéneket tartalmazó, géntechnológiával módosított növények behozatala ellen</w:t>
      </w:r>
      <w:r w:rsidRPr="00166A70">
        <w:rPr>
          <w:rStyle w:val="FootnoteReference"/>
        </w:rPr>
        <w:footnoteReference w:id="13"/>
      </w:r>
      <w:r w:rsidRPr="00166A70">
        <w:t>;</w:t>
      </w:r>
    </w:p>
    <w:p w:rsidR="00B3779C" w:rsidRPr="00166A70" w:rsidRDefault="00B3779C" w:rsidP="00F05E45">
      <w:pPr>
        <w:pStyle w:val="NormalHanging12a"/>
        <w:widowControl/>
      </w:pPr>
      <w:r w:rsidRPr="00166A70">
        <w:t>R.</w:t>
      </w:r>
      <w:r w:rsidRPr="00166A70">
        <w:tab/>
        <w:t xml:space="preserve">mivel az </w:t>
      </w:r>
      <w:proofErr w:type="spellStart"/>
      <w:r w:rsidRPr="00166A70">
        <w:t>antimikrobiális</w:t>
      </w:r>
      <w:proofErr w:type="spellEnd"/>
      <w:r w:rsidRPr="00166A70">
        <w:t xml:space="preserve"> rezisztencia veszélyt jelent a </w:t>
      </w:r>
      <w:proofErr w:type="gramStart"/>
      <w:r w:rsidRPr="00166A70">
        <w:t>globális</w:t>
      </w:r>
      <w:proofErr w:type="gramEnd"/>
      <w:r w:rsidRPr="00166A70">
        <w:t xml:space="preserve"> egészségügyre, az élelmezésbiztonságra és a 2030-ig tartó időszakra vonatkozó fenntartható fejlesztési célok elérésére, és a rezisztens fertőzések nem ismernek határokat</w:t>
      </w:r>
      <w:r w:rsidRPr="00166A70">
        <w:rPr>
          <w:rStyle w:val="FootnoteReference"/>
        </w:rPr>
        <w:footnoteReference w:id="14"/>
      </w:r>
      <w:r w:rsidRPr="00166A70">
        <w:t>;</w:t>
      </w:r>
    </w:p>
    <w:p w:rsidR="00B3779C" w:rsidRPr="00166A70" w:rsidRDefault="00B3779C" w:rsidP="00F05E45">
      <w:pPr>
        <w:pStyle w:val="NormalHanging12a"/>
        <w:widowControl/>
        <w:rPr>
          <w:b/>
          <w:i/>
        </w:rPr>
      </w:pPr>
      <w:r w:rsidRPr="00166A70">
        <w:rPr>
          <w:b/>
          <w:i/>
        </w:rPr>
        <w:t>A tagállami illetékes hatóságok és az érdekelt felek észrevételei</w:t>
      </w:r>
    </w:p>
    <w:p w:rsidR="00B3779C" w:rsidRPr="00166A70" w:rsidRDefault="00B3779C" w:rsidP="00F05E45">
      <w:pPr>
        <w:pStyle w:val="NormalHanging12a"/>
        <w:widowControl/>
      </w:pPr>
      <w:r w:rsidRPr="00166A70">
        <w:t>S.</w:t>
      </w:r>
      <w:r w:rsidRPr="00166A70">
        <w:tab/>
      </w:r>
      <w:proofErr w:type="gramStart"/>
      <w:r w:rsidRPr="00166A70">
        <w:t>mivel a tagállamok a három hónapos konzultációs időszak során számos kritikai észrevételt nyújtottak be az EFSA-hoz</w:t>
      </w:r>
      <w:r w:rsidRPr="00166A70">
        <w:rPr>
          <w:rStyle w:val="FootnoteReference"/>
        </w:rPr>
        <w:footnoteReference w:id="15"/>
      </w:r>
      <w:r w:rsidRPr="00166A70">
        <w:t>, többek között azt, hogy a géntechnológiával módosított gyapot mezőgazdasági területeken történő termesztését a természetes környezet antibiotikum-rezisztens génekkel való szándékos szennyezésének kell tekinteni, valamint hogy a molekuláris jellemzésre, összetételre és toxikológiára vonatkozóan szolgáltatott információk nem elégségesek, és ezért az EFSA következtetései a géntechnológiával módosított gyapotnak a hagyományos gyapottal való egyenértékűségéről az élelmiszer- és takarmánybiztonság</w:t>
      </w:r>
      <w:proofErr w:type="gramEnd"/>
      <w:r w:rsidRPr="00166A70">
        <w:t xml:space="preserve"> </w:t>
      </w:r>
      <w:proofErr w:type="gramStart"/>
      <w:r w:rsidRPr="00166A70">
        <w:t>tekintetében</w:t>
      </w:r>
      <w:proofErr w:type="gramEnd"/>
      <w:r w:rsidRPr="00166A70">
        <w:t xml:space="preserve"> elhamarkodottnak tekinthetők;</w:t>
      </w:r>
    </w:p>
    <w:p w:rsidR="00B3779C" w:rsidRPr="00166A70" w:rsidRDefault="00B3779C" w:rsidP="00F05E45">
      <w:pPr>
        <w:pStyle w:val="NormalHanging12a"/>
        <w:widowControl/>
      </w:pPr>
      <w:r w:rsidRPr="00166A70">
        <w:t>T.</w:t>
      </w:r>
      <w:r w:rsidRPr="00166A70">
        <w:tab/>
        <w:t xml:space="preserve">mivel az 1829/2003/EK rendelet egyfelől rögzíti, hogy a géntechnológiával módosított élelmiszerek vagy takarmányok nem gyakorolhatnak kedvezőtlen hatást az emberi </w:t>
      </w:r>
      <w:r w:rsidRPr="00166A70">
        <w:lastRenderedPageBreak/>
        <w:t xml:space="preserve">egészségre, az állati egészségre vagy a környezetre, másfelől pedig előírja a Bizottság számára, hogy határozatainak megszövegezése során vegye figyelembe az uniós jog minden vonatkozó rendelkezését és a vizsgált üggyel kapcsolatos egyéb </w:t>
      </w:r>
      <w:proofErr w:type="gramStart"/>
      <w:r w:rsidRPr="00166A70">
        <w:t>legitim</w:t>
      </w:r>
      <w:proofErr w:type="gramEnd"/>
      <w:r w:rsidRPr="00166A70">
        <w:t xml:space="preserve"> tényezőket; mivel e legitim tényezők közé kell tartozniuk az </w:t>
      </w:r>
      <w:proofErr w:type="spellStart"/>
      <w:r w:rsidRPr="00166A70">
        <w:t>antimikrobiális</w:t>
      </w:r>
      <w:proofErr w:type="spellEnd"/>
      <w:r w:rsidRPr="00166A70">
        <w:t xml:space="preserve"> rezisztencia leküzdésével kapcsolatos uniós kötelezettségvállalásoknak;</w:t>
      </w:r>
    </w:p>
    <w:p w:rsidR="00B3779C" w:rsidRPr="00166A70" w:rsidRDefault="00B3779C" w:rsidP="00F05E45">
      <w:pPr>
        <w:pStyle w:val="NormalHanging12a"/>
        <w:widowControl/>
        <w:rPr>
          <w:b/>
          <w:i/>
        </w:rPr>
      </w:pPr>
      <w:r w:rsidRPr="00166A70">
        <w:rPr>
          <w:b/>
          <w:i/>
        </w:rPr>
        <w:t>Nem demokratikus döntéshozatal</w:t>
      </w:r>
    </w:p>
    <w:p w:rsidR="00B3779C" w:rsidRPr="00166A70" w:rsidRDefault="00B3779C" w:rsidP="00F05E45">
      <w:pPr>
        <w:pStyle w:val="NormalHanging12a"/>
        <w:widowControl/>
      </w:pPr>
      <w:r w:rsidRPr="00166A70">
        <w:t>U.</w:t>
      </w:r>
      <w:r w:rsidRPr="00166A70">
        <w:tab/>
        <w:t>mivel a Parlament a 8. parlamenti ciklusban összesen 36 olyan állásfoglalást fogadott el, amelyben kifogásolta az élelmiszernek és takarmánynak szánt GMO-k forgalomba hozatalát (33 állásfoglalás), valamint a GMO-k Unión belüli termesztését (három állásfoglalás); mivel a 9. parlamenti ciklusban a Parlament 38 kifogást fogadott el GMO-k forgalomba hozatala ellen;</w:t>
      </w:r>
    </w:p>
    <w:p w:rsidR="00B3779C" w:rsidRPr="00166A70" w:rsidRDefault="00B3779C" w:rsidP="00F05E45">
      <w:pPr>
        <w:pStyle w:val="NormalHanging12a"/>
        <w:widowControl/>
      </w:pPr>
      <w:r w:rsidRPr="00166A70">
        <w:t>V.</w:t>
      </w:r>
      <w:r w:rsidRPr="00166A70">
        <w:tab/>
        <w:t>mivel a Bizottság – annak ellenére, hogy elismeri a demokratikus hiányosságokat, a tagállamok támogatásának hiányát és a Parlament kifogásait – továbbra is folytatja a GMO-k engedélyezését;</w:t>
      </w:r>
    </w:p>
    <w:p w:rsidR="00B3779C" w:rsidRPr="00166A70" w:rsidRDefault="00B3779C" w:rsidP="00F05E45">
      <w:pPr>
        <w:pStyle w:val="NormalHanging12a"/>
        <w:widowControl/>
      </w:pPr>
      <w:r w:rsidRPr="00166A70">
        <w:t>W.</w:t>
      </w:r>
      <w:r w:rsidRPr="00166A70">
        <w:tab/>
      </w:r>
      <w:proofErr w:type="gramStart"/>
      <w:r w:rsidRPr="00166A70">
        <w:t>mivel</w:t>
      </w:r>
      <w:proofErr w:type="gramEnd"/>
      <w:r w:rsidRPr="00166A70">
        <w:t xml:space="preserve"> nincs szükség jogszabály-módosításra ahhoz, hogy a Bizottság elállhasson a GMO-k engedélyezésétől olyan esetben, amikor a fellebbviteli bizottságban nincs meg a tagállamok minősített többségének támogatása</w:t>
      </w:r>
      <w:r w:rsidRPr="00166A70">
        <w:rPr>
          <w:rStyle w:val="FootnoteReference"/>
        </w:rPr>
        <w:footnoteReference w:id="16"/>
      </w:r>
      <w:r w:rsidRPr="00166A70">
        <w:t>;</w:t>
      </w:r>
    </w:p>
    <w:p w:rsidR="00B3779C" w:rsidRPr="00166A70" w:rsidRDefault="00B3779C" w:rsidP="00F05E45">
      <w:pPr>
        <w:pStyle w:val="NormalHanging12a"/>
        <w:widowControl/>
      </w:pPr>
      <w:r w:rsidRPr="00166A70">
        <w:t>X.</w:t>
      </w:r>
      <w:r w:rsidRPr="00166A70">
        <w:tab/>
      </w:r>
      <w:r w:rsidRPr="00166A70">
        <w:rPr>
          <w:shd w:val="clear" w:color="auto" w:fill="FFFFFF"/>
        </w:rPr>
        <w:t>mivel az 1829/2003/EK rendelet 35. cikkében említett Növények, Állatok, Élelmiszerek és Takarmányok Állandó Bizottsága 2024. július 8-i szavazása során nem nyilvánított véleményt, ami azt jelenti, hogy az engedélyezést nem támogatta a tagállamok minősített többsége; mivel a fellebbviteli bizottság 2024. szeptember 3-i szavazása során ismét nem született vélemény;</w:t>
      </w:r>
    </w:p>
    <w:p w:rsidR="00B3779C" w:rsidRPr="00166A70" w:rsidRDefault="00B3779C" w:rsidP="00F05E45">
      <w:pPr>
        <w:pStyle w:val="NormalHanging12a"/>
        <w:widowControl/>
      </w:pPr>
      <w:r w:rsidRPr="00166A70">
        <w:t>1.</w:t>
      </w:r>
      <w:r w:rsidRPr="00166A70">
        <w:tab/>
        <w:t>úgy véli, hogy a</w:t>
      </w:r>
      <w:r w:rsidR="004B04FB">
        <w:t>z (EU) 2024/2627</w:t>
      </w:r>
      <w:r w:rsidRPr="00166A70">
        <w:t xml:space="preserve"> bizottsági végrehajtási határozat túllépi az 1829/2003/EK rendeletben meghatározott végrehajtási hatásköröket;</w:t>
      </w:r>
    </w:p>
    <w:p w:rsidR="00B3779C" w:rsidRPr="00166A70" w:rsidRDefault="00B3779C" w:rsidP="00F05E45">
      <w:pPr>
        <w:pStyle w:val="NormalHanging12a"/>
        <w:widowControl/>
      </w:pPr>
      <w:proofErr w:type="gramStart"/>
      <w:r w:rsidRPr="00166A70">
        <w:t>2.</w:t>
      </w:r>
      <w:r w:rsidRPr="00166A70">
        <w:tab/>
        <w:t xml:space="preserve">úgy véli, hogy </w:t>
      </w:r>
      <w:r w:rsidR="004B04FB" w:rsidRPr="004B04FB">
        <w:t>az (EU) 2024/2627</w:t>
      </w:r>
      <w:r w:rsidR="004B04FB">
        <w:t xml:space="preserve"> </w:t>
      </w:r>
      <w:r w:rsidRPr="00166A70">
        <w:t>bizottsági végrehajtási határozat nem felel meg az uniós jognak, mivel nem egyeztethető össze az 1829/2003/EK rendelet célkitűzésével, azaz a 178/2002/EK európai parlamenti és tanácsi rendeletben</w:t>
      </w:r>
      <w:r w:rsidRPr="00166A70">
        <w:rPr>
          <w:rStyle w:val="FootnoteReference"/>
        </w:rPr>
        <w:footnoteReference w:id="17"/>
      </w:r>
      <w:r w:rsidRPr="00166A70">
        <w:t xml:space="preserve"> meghatározott általános alapelvekkel összhangban azzal, hogy a belső piac hatékony működésének biztosítása mellett alapul szolgáljon az emberi élet és egészség, az állatok egészsége és az állatjólét, a környezet és a géntechnológiával módosított élelmiszerekre és takarmányokra vonatkozó fogyasztói érdekek magas szintű védelméhez;</w:t>
      </w:r>
      <w:proofErr w:type="gramEnd"/>
    </w:p>
    <w:p w:rsidR="00B3779C" w:rsidRPr="00166A70" w:rsidRDefault="00B3779C" w:rsidP="00F05E45">
      <w:pPr>
        <w:pStyle w:val="NormalHanging12a"/>
        <w:widowControl/>
      </w:pPr>
      <w:r w:rsidRPr="00166A70">
        <w:t>3.</w:t>
      </w:r>
      <w:r w:rsidRPr="00166A70">
        <w:tab/>
        <w:t xml:space="preserve">felkéri a Bizottságot, hogy vonja vissza </w:t>
      </w:r>
      <w:r w:rsidR="004B04FB">
        <w:t xml:space="preserve">az </w:t>
      </w:r>
      <w:r w:rsidR="004B04FB" w:rsidRPr="004B04FB">
        <w:t>(EU) 2024/2627</w:t>
      </w:r>
      <w:r w:rsidR="004B04FB">
        <w:t xml:space="preserve"> </w:t>
      </w:r>
      <w:r w:rsidRPr="00166A70">
        <w:t>végrehajtási határozat</w:t>
      </w:r>
      <w:r w:rsidR="004B04FB">
        <w:t>át</w:t>
      </w:r>
      <w:r w:rsidRPr="00166A70">
        <w:t xml:space="preserve"> és nyújtson be új tervezetet a bizottságnak;</w:t>
      </w:r>
    </w:p>
    <w:p w:rsidR="00B3779C" w:rsidRPr="00166A70" w:rsidRDefault="00B3779C" w:rsidP="00F05E45">
      <w:pPr>
        <w:pStyle w:val="NormalHanging12a"/>
        <w:widowControl/>
      </w:pPr>
      <w:r w:rsidRPr="00166A70">
        <w:lastRenderedPageBreak/>
        <w:t>4.</w:t>
      </w:r>
      <w:r w:rsidRPr="00166A70">
        <w:tab/>
        <w:t xml:space="preserve">újfent felszólítja a Bizottságot, hogy ne engedélyezze az </w:t>
      </w:r>
      <w:proofErr w:type="spellStart"/>
      <w:r w:rsidRPr="00166A70">
        <w:t>antimikrobiális</w:t>
      </w:r>
      <w:proofErr w:type="spellEnd"/>
      <w:r w:rsidRPr="00166A70">
        <w:t xml:space="preserve"> rezisztenciát okozó géneket tartalmazó, géntechnológiával módosított növények forgalomba hozatalát; megállapítja, hogy az engedélyezés sértené a 2001/18/EK irányelv 4. cikkének (2) bekezdését, amely az emberi egészségre vagy a környezetre esetlegesen káros hatást gyakorló antibiotikum-rezisztencia markergének fokozatos megszüntetésére szólít fel; </w:t>
      </w:r>
    </w:p>
    <w:p w:rsidR="00B3779C" w:rsidRPr="00166A70" w:rsidRDefault="00B3779C" w:rsidP="00F05E45">
      <w:pPr>
        <w:pStyle w:val="NormalHanging12a"/>
        <w:widowControl/>
      </w:pPr>
      <w:r w:rsidRPr="00166A70">
        <w:t>5.</w:t>
      </w:r>
      <w:r w:rsidRPr="00166A70">
        <w:tab/>
        <w:t>üdvözli, hogy a Bizottság a képviselőknek címzett 2020. szeptember 11-i levelében végül elismerte, hogy a GMO-</w:t>
      </w:r>
      <w:proofErr w:type="spellStart"/>
      <w:r w:rsidRPr="00166A70">
        <w:t>kra</w:t>
      </w:r>
      <w:proofErr w:type="spellEnd"/>
      <w:r w:rsidRPr="00166A70">
        <w:t xml:space="preserve"> vonatkozó engedélyezési határozatoknál figyelembe kell venni a </w:t>
      </w:r>
      <w:proofErr w:type="spellStart"/>
      <w:r w:rsidRPr="00166A70">
        <w:t>fenntarthatóságot</w:t>
      </w:r>
      <w:proofErr w:type="spellEnd"/>
      <w:r w:rsidRPr="00166A70">
        <w:rPr>
          <w:rStyle w:val="FootnoteReference"/>
        </w:rPr>
        <w:footnoteReference w:id="18"/>
      </w:r>
      <w:r w:rsidRPr="00166A70">
        <w:t xml:space="preserve">; ugyanakkor mély csalódottságának ad hangot amiatt, hogy a Bizottság </w:t>
      </w:r>
      <w:proofErr w:type="gramStart"/>
      <w:r w:rsidRPr="00166A70">
        <w:t>azóta</w:t>
      </w:r>
      <w:proofErr w:type="gramEnd"/>
      <w:r w:rsidRPr="00166A70">
        <w:t xml:space="preserve"> is folytatja GMO-k behozatalának engedélyezését, jóllehet a Parlament ezt </w:t>
      </w:r>
      <w:proofErr w:type="spellStart"/>
      <w:r w:rsidRPr="00166A70">
        <w:t>ellenzi</w:t>
      </w:r>
      <w:proofErr w:type="spellEnd"/>
      <w:r w:rsidRPr="00166A70">
        <w:t xml:space="preserve"> és a tagállamok többsége ellene szavaz;</w:t>
      </w:r>
    </w:p>
    <w:p w:rsidR="00B3779C" w:rsidRPr="00166A70" w:rsidRDefault="00B3779C" w:rsidP="00F05E45">
      <w:pPr>
        <w:pStyle w:val="NormalHanging12a"/>
        <w:widowControl/>
      </w:pPr>
      <w:r w:rsidRPr="00166A70">
        <w:t>6.</w:t>
      </w:r>
      <w:r w:rsidRPr="00166A70">
        <w:tab/>
        <w:t xml:space="preserve">ismételten sürgeti a Bizottságot, hogy vegye figyelembe az Unió nemzetközi megállapodások – például a Párizsi Megállapodás, a biológiai sokféleségről szóló ENSZ-egyezmény és az Egyesült Nemzetek Szervezetének fenntartható fejlesztési céljai – szerinti kötelezettségeit; ismételten kéri, hogy a végrehajtási jogi </w:t>
      </w:r>
      <w:proofErr w:type="gramStart"/>
      <w:r w:rsidRPr="00166A70">
        <w:t>aktusok</w:t>
      </w:r>
      <w:proofErr w:type="gramEnd"/>
      <w:r w:rsidRPr="00166A70">
        <w:t xml:space="preserve"> tervezetéhez mellékeljenek indokolást arról, hogy azok hogyan tartják tiszteletben a „ne </w:t>
      </w:r>
      <w:proofErr w:type="spellStart"/>
      <w:r w:rsidRPr="00166A70">
        <w:t>árts</w:t>
      </w:r>
      <w:proofErr w:type="spellEnd"/>
      <w:r w:rsidRPr="00166A70">
        <w:t>” elvet</w:t>
      </w:r>
      <w:r w:rsidRPr="00166A70">
        <w:rPr>
          <w:rStyle w:val="FootnoteReference"/>
        </w:rPr>
        <w:footnoteReference w:id="19"/>
      </w:r>
      <w:r w:rsidRPr="00166A70">
        <w:t>;</w:t>
      </w:r>
    </w:p>
    <w:p w:rsidR="00166A70" w:rsidRPr="00166A70" w:rsidRDefault="00B3779C" w:rsidP="00F05E45">
      <w:pPr>
        <w:widowControl/>
        <w:spacing w:after="240"/>
        <w:ind w:left="567" w:hanging="567"/>
      </w:pPr>
      <w:r w:rsidRPr="00166A70">
        <w:t>7.</w:t>
      </w:r>
      <w:r w:rsidRPr="00166A70">
        <w:tab/>
        <w:t xml:space="preserve">utasítja elnökét, hogy továbbítsa ezt az állásfoglalást a Tanácsnak és a Bizottságnak, valamint a tagállamok kormányainak és parlamentjeinek. </w:t>
      </w:r>
    </w:p>
    <w:sectPr w:rsidR="00166A70" w:rsidRPr="00166A70" w:rsidSect="00166A7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E4A" w:rsidRPr="00166A70" w:rsidRDefault="001A6E4A">
      <w:r w:rsidRPr="00166A70">
        <w:separator/>
      </w:r>
    </w:p>
  </w:endnote>
  <w:endnote w:type="continuationSeparator" w:id="0">
    <w:p w:rsidR="001A6E4A" w:rsidRPr="00166A70" w:rsidRDefault="001A6E4A">
      <w:r w:rsidRPr="00166A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6A7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6A7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6A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E4A" w:rsidRPr="00166A70" w:rsidRDefault="001A6E4A">
      <w:r w:rsidRPr="00166A70">
        <w:separator/>
      </w:r>
    </w:p>
  </w:footnote>
  <w:footnote w:type="continuationSeparator" w:id="0">
    <w:p w:rsidR="001A6E4A" w:rsidRPr="00166A70" w:rsidRDefault="001A6E4A">
      <w:r w:rsidRPr="00166A70">
        <w:continuationSeparator/>
      </w:r>
    </w:p>
  </w:footnote>
  <w:footnote w:id="1">
    <w:p w:rsidR="004B04FB" w:rsidRPr="00FD56EA" w:rsidRDefault="004B04FB" w:rsidP="00FD56EA">
      <w:pPr>
        <w:pStyle w:val="FootnoteText"/>
        <w:ind w:left="567" w:hanging="567"/>
        <w:rPr>
          <w:lang w:val="fi-FI"/>
        </w:rPr>
      </w:pPr>
      <w:r>
        <w:rPr>
          <w:rStyle w:val="FootnoteReference"/>
        </w:rPr>
        <w:footnoteRef/>
      </w:r>
      <w:r w:rsidRPr="00FD56EA">
        <w:rPr>
          <w:lang w:val="fi-FI"/>
        </w:rPr>
        <w:t xml:space="preserve"> </w:t>
      </w:r>
      <w:r w:rsidRPr="00FD56EA">
        <w:rPr>
          <w:lang w:val="fi-FI"/>
        </w:rPr>
        <w:tab/>
        <w:t xml:space="preserve">HL L , 2024/2627, 2024.10.10., </w:t>
      </w:r>
      <w:r w:rsidRPr="004B04FB">
        <w:rPr>
          <w:lang w:val="fi-FI"/>
        </w:rPr>
        <w:t xml:space="preserve">ELI: </w:t>
      </w:r>
      <w:hyperlink r:id="rId1" w:history="1">
        <w:r w:rsidRPr="00E642D4">
          <w:rPr>
            <w:rStyle w:val="Hyperlink"/>
            <w:lang w:val="fi-FI"/>
          </w:rPr>
          <w:t>http://data.europa.eu/eli/dec_impl/2024/2627/oj</w:t>
        </w:r>
      </w:hyperlink>
      <w:r w:rsidRPr="004B04FB">
        <w:rPr>
          <w:lang w:val="fi-FI"/>
        </w:rPr>
        <w:t>.</w:t>
      </w:r>
    </w:p>
  </w:footnote>
  <w:footnote w:id="2">
    <w:p w:rsidR="00B3779C" w:rsidRPr="00166A70" w:rsidRDefault="00B3779C" w:rsidP="00E642D4">
      <w:pPr>
        <w:pStyle w:val="FootnoteText"/>
        <w:ind w:left="567" w:hanging="567"/>
        <w:rPr>
          <w:sz w:val="24"/>
          <w:lang w:val="hu-HU"/>
        </w:rPr>
      </w:pPr>
      <w:r w:rsidRPr="00166A70">
        <w:rPr>
          <w:rStyle w:val="FootnoteReference"/>
          <w:sz w:val="24"/>
          <w:lang w:val="hu-HU"/>
        </w:rPr>
        <w:footnoteRef/>
      </w:r>
      <w:r w:rsidR="00166A70" w:rsidRPr="00166A70">
        <w:rPr>
          <w:sz w:val="24"/>
          <w:lang w:val="hu-HU"/>
        </w:rPr>
        <w:t xml:space="preserve"> </w:t>
      </w:r>
      <w:r w:rsidR="00166A70" w:rsidRPr="00166A70">
        <w:rPr>
          <w:sz w:val="24"/>
          <w:lang w:val="hu-HU"/>
        </w:rPr>
        <w:tab/>
      </w:r>
      <w:r w:rsidRPr="00166A70">
        <w:rPr>
          <w:sz w:val="24"/>
          <w:lang w:val="hu-HU"/>
        </w:rPr>
        <w:t>HL L 268., 2003.10.18</w:t>
      </w:r>
      <w:proofErr w:type="gramStart"/>
      <w:r w:rsidRPr="00166A70">
        <w:rPr>
          <w:sz w:val="24"/>
          <w:lang w:val="hu-HU"/>
        </w:rPr>
        <w:t>.,</w:t>
      </w:r>
      <w:proofErr w:type="gramEnd"/>
      <w:r w:rsidRPr="00166A70">
        <w:rPr>
          <w:sz w:val="24"/>
          <w:lang w:val="hu-HU"/>
        </w:rPr>
        <w:t xml:space="preserve"> 1. o., ELI: </w:t>
      </w:r>
      <w:hyperlink r:id="rId2" w:tooltip="Az ELI (európai jogszabály-azonosító) URI-hivatkozása révén biztosít hozzáférést a dokumentumhoz." w:history="1">
        <w:r w:rsidRPr="00166A70">
          <w:rPr>
            <w:rStyle w:val="Hyperlink"/>
            <w:sz w:val="24"/>
            <w:lang w:val="hu-HU"/>
          </w:rPr>
          <w:t>http://data.europa.eu/eli/reg/2003/1829/oj</w:t>
        </w:r>
      </w:hyperlink>
      <w:r w:rsidRPr="00166A70">
        <w:rPr>
          <w:sz w:val="24"/>
          <w:lang w:val="hu-HU"/>
        </w:rPr>
        <w:t>.</w:t>
      </w:r>
    </w:p>
  </w:footnote>
  <w:footnote w:id="3">
    <w:p w:rsidR="00B3779C" w:rsidRPr="00166A70" w:rsidRDefault="00B3779C" w:rsidP="00E642D4">
      <w:pPr>
        <w:pStyle w:val="FootnoteText"/>
        <w:ind w:left="567" w:hanging="567"/>
        <w:rPr>
          <w:sz w:val="24"/>
          <w:lang w:val="hu-HU"/>
        </w:rPr>
      </w:pPr>
      <w:r w:rsidRPr="00166A70">
        <w:rPr>
          <w:rStyle w:val="FootnoteReference"/>
          <w:sz w:val="24"/>
          <w:lang w:val="hu-HU"/>
        </w:rPr>
        <w:footnoteRef/>
      </w:r>
      <w:r w:rsidR="00166A70" w:rsidRPr="00166A70">
        <w:rPr>
          <w:sz w:val="24"/>
          <w:lang w:val="hu-HU"/>
        </w:rPr>
        <w:t xml:space="preserve"> </w:t>
      </w:r>
      <w:r w:rsidR="00166A70" w:rsidRPr="00166A70">
        <w:rPr>
          <w:sz w:val="24"/>
          <w:lang w:val="hu-HU"/>
        </w:rPr>
        <w:tab/>
      </w:r>
      <w:r w:rsidRPr="00166A70">
        <w:rPr>
          <w:sz w:val="24"/>
          <w:lang w:val="hu-HU"/>
        </w:rPr>
        <w:t>HL L 55., 2011.2.28</w:t>
      </w:r>
      <w:proofErr w:type="gramStart"/>
      <w:r w:rsidRPr="00166A70">
        <w:rPr>
          <w:sz w:val="24"/>
          <w:lang w:val="hu-HU"/>
        </w:rPr>
        <w:t>.,</w:t>
      </w:r>
      <w:proofErr w:type="gramEnd"/>
      <w:r w:rsidRPr="00166A70">
        <w:rPr>
          <w:sz w:val="24"/>
          <w:lang w:val="hu-HU"/>
        </w:rPr>
        <w:t xml:space="preserve"> 13. o., ELI: </w:t>
      </w:r>
      <w:hyperlink r:id="rId3" w:tooltip="Az ELI (európai jogszabály-azonosító) URI-hivatkozása révén biztosít hozzáférést a dokumentumhoz." w:history="1">
        <w:r w:rsidRPr="00166A70">
          <w:rPr>
            <w:rStyle w:val="Hyperlink"/>
            <w:sz w:val="24"/>
            <w:lang w:val="hu-HU"/>
          </w:rPr>
          <w:t>http://data.europa.eu/eli/reg/2011/182/oj</w:t>
        </w:r>
      </w:hyperlink>
      <w:r w:rsidRPr="00166A70">
        <w:rPr>
          <w:sz w:val="24"/>
          <w:lang w:val="hu-HU"/>
        </w:rPr>
        <w:t>.</w:t>
      </w:r>
    </w:p>
  </w:footnote>
  <w:footnote w:id="4">
    <w:p w:rsidR="00B3779C" w:rsidRPr="00166A70" w:rsidRDefault="00B3779C" w:rsidP="00E642D4">
      <w:pPr>
        <w:pStyle w:val="FootnoteText"/>
        <w:ind w:left="567" w:hanging="567"/>
        <w:rPr>
          <w:sz w:val="24"/>
          <w:lang w:val="hu-HU"/>
        </w:rPr>
      </w:pPr>
      <w:r w:rsidRPr="00166A70">
        <w:rPr>
          <w:rStyle w:val="FootnoteReference"/>
          <w:sz w:val="24"/>
          <w:lang w:val="hu-HU"/>
        </w:rPr>
        <w:footnoteRef/>
      </w:r>
      <w:r w:rsidR="00166A70" w:rsidRPr="00166A70">
        <w:rPr>
          <w:sz w:val="24"/>
          <w:lang w:val="hu-HU"/>
        </w:rPr>
        <w:t xml:space="preserve"> </w:t>
      </w:r>
      <w:r w:rsidR="00166A70" w:rsidRPr="00166A70">
        <w:rPr>
          <w:sz w:val="24"/>
          <w:lang w:val="hu-HU"/>
        </w:rPr>
        <w:tab/>
      </w:r>
      <w:r w:rsidRPr="00166A70">
        <w:rPr>
          <w:sz w:val="24"/>
          <w:lang w:val="hu-HU"/>
        </w:rPr>
        <w:t xml:space="preserve">Az EFSA géntechnológiával módosított szervezetekkel foglalkozó tudományos testületének tudományos szakvéleménye a géntechnológiával módosított COT102 gyapot élelmiszerként és takarmányként való felhasználás céljából történő, az 1829/2003/EK rendelet szerinti értékeléséről (EFSA-GMO-DE-2017-141 kérelem), EFSA Journal, 2023 </w:t>
      </w:r>
      <w:proofErr w:type="gramStart"/>
      <w:r w:rsidRPr="00166A70">
        <w:rPr>
          <w:sz w:val="24"/>
          <w:lang w:val="hu-HU"/>
        </w:rPr>
        <w:t>21(</w:t>
      </w:r>
      <w:proofErr w:type="gramEnd"/>
      <w:r w:rsidRPr="00166A70">
        <w:rPr>
          <w:sz w:val="24"/>
          <w:lang w:val="hu-HU"/>
        </w:rPr>
        <w:t xml:space="preserve">6):8031, </w:t>
      </w:r>
      <w:hyperlink r:id="rId4" w:history="1">
        <w:r w:rsidRPr="00166A70">
          <w:rPr>
            <w:rStyle w:val="Hyperlink"/>
            <w:sz w:val="24"/>
            <w:lang w:val="hu-HU"/>
          </w:rPr>
          <w:t>https://doi.org/10.2903/j.efsa.2023.8031</w:t>
        </w:r>
      </w:hyperlink>
      <w:r w:rsidRPr="00166A70">
        <w:rPr>
          <w:sz w:val="24"/>
          <w:lang w:val="hu-HU"/>
        </w:rPr>
        <w:t>.</w:t>
      </w:r>
    </w:p>
  </w:footnote>
  <w:footnote w:id="5">
    <w:p w:rsidR="00B3779C" w:rsidRPr="00166A70" w:rsidRDefault="00B3779C">
      <w:pPr>
        <w:pStyle w:val="FootnoteText"/>
        <w:ind w:left="567" w:hanging="567"/>
        <w:rPr>
          <w:sz w:val="24"/>
          <w:lang w:val="hu-HU"/>
        </w:rPr>
      </w:pPr>
      <w:r w:rsidRPr="00166A70">
        <w:rPr>
          <w:rStyle w:val="FootnoteReference"/>
          <w:sz w:val="24"/>
          <w:lang w:val="hu-HU"/>
        </w:rPr>
        <w:footnoteRef/>
      </w:r>
      <w:r w:rsidR="00166A70" w:rsidRPr="00166A70">
        <w:rPr>
          <w:sz w:val="24"/>
          <w:lang w:val="hu-HU"/>
        </w:rPr>
        <w:t xml:space="preserve"> </w:t>
      </w:r>
      <w:r w:rsidR="00166A70" w:rsidRPr="00166A70">
        <w:rPr>
          <w:sz w:val="24"/>
          <w:lang w:val="hu-HU"/>
        </w:rPr>
        <w:tab/>
      </w:r>
      <w:r w:rsidRPr="00166A70">
        <w:rPr>
          <w:sz w:val="24"/>
          <w:lang w:val="hu-HU"/>
        </w:rPr>
        <w:t>A 8. parlamenti ciklusban a Parlament 36, a 9. ciklusban pedig 38 olyan állásfoglalást fogadott el, amelyben kifogást emelt GMO-k engedélyezésével szemben.</w:t>
      </w:r>
    </w:p>
  </w:footnote>
  <w:footnote w:id="6">
    <w:p w:rsidR="00B3779C" w:rsidRPr="00166A70" w:rsidRDefault="00B3779C">
      <w:pPr>
        <w:pStyle w:val="FootnoteText"/>
        <w:ind w:left="567" w:hanging="567"/>
        <w:rPr>
          <w:sz w:val="24"/>
          <w:lang w:val="hu-HU"/>
        </w:rPr>
      </w:pPr>
      <w:r w:rsidRPr="00166A70">
        <w:rPr>
          <w:rStyle w:val="FootnoteReference"/>
          <w:sz w:val="24"/>
          <w:lang w:val="hu-HU"/>
        </w:rPr>
        <w:footnoteRef/>
      </w:r>
      <w:r w:rsidR="00166A70" w:rsidRPr="00166A70">
        <w:rPr>
          <w:sz w:val="24"/>
          <w:lang w:val="hu-HU"/>
        </w:rPr>
        <w:t xml:space="preserve"> </w:t>
      </w:r>
      <w:r w:rsidR="00166A70" w:rsidRPr="00166A70">
        <w:rPr>
          <w:sz w:val="24"/>
          <w:lang w:val="hu-HU"/>
        </w:rPr>
        <w:tab/>
      </w:r>
      <w:proofErr w:type="spellStart"/>
      <w:proofErr w:type="gramStart"/>
      <w:r w:rsidRPr="00166A70">
        <w:rPr>
          <w:sz w:val="24"/>
          <w:lang w:val="hu-HU"/>
        </w:rPr>
        <w:t>MacIntosh</w:t>
      </w:r>
      <w:proofErr w:type="spellEnd"/>
      <w:r w:rsidRPr="00166A70">
        <w:rPr>
          <w:sz w:val="24"/>
          <w:lang w:val="hu-HU"/>
        </w:rPr>
        <w:t xml:space="preserve">, S.C., </w:t>
      </w:r>
      <w:proofErr w:type="spellStart"/>
      <w:r w:rsidRPr="00166A70">
        <w:rPr>
          <w:sz w:val="24"/>
          <w:lang w:val="hu-HU"/>
        </w:rPr>
        <w:t>Kishore</w:t>
      </w:r>
      <w:proofErr w:type="spellEnd"/>
      <w:r w:rsidRPr="00166A70">
        <w:rPr>
          <w:sz w:val="24"/>
          <w:lang w:val="hu-HU"/>
        </w:rPr>
        <w:t xml:space="preserve">, G.M., Perlak, F.J., </w:t>
      </w:r>
      <w:proofErr w:type="spellStart"/>
      <w:r w:rsidRPr="00166A70">
        <w:rPr>
          <w:sz w:val="24"/>
          <w:lang w:val="hu-HU"/>
        </w:rPr>
        <w:t>Marrone</w:t>
      </w:r>
      <w:proofErr w:type="spellEnd"/>
      <w:r w:rsidRPr="00166A70">
        <w:rPr>
          <w:sz w:val="24"/>
          <w:lang w:val="hu-HU"/>
        </w:rPr>
        <w:t xml:space="preserve">, P.G., Stone, T.B., </w:t>
      </w:r>
      <w:proofErr w:type="spellStart"/>
      <w:r w:rsidRPr="00166A70">
        <w:rPr>
          <w:sz w:val="24"/>
          <w:lang w:val="hu-HU"/>
        </w:rPr>
        <w:t>Sims</w:t>
      </w:r>
      <w:proofErr w:type="spellEnd"/>
      <w:r w:rsidRPr="00166A70">
        <w:rPr>
          <w:sz w:val="24"/>
          <w:lang w:val="hu-HU"/>
        </w:rPr>
        <w:t>, S.R., Fuchs, R.L., „</w:t>
      </w:r>
      <w:proofErr w:type="spellStart"/>
      <w:r w:rsidRPr="00166A70">
        <w:rPr>
          <w:sz w:val="24"/>
          <w:lang w:val="hu-HU"/>
        </w:rPr>
        <w:t>Potentiation</w:t>
      </w:r>
      <w:proofErr w:type="spellEnd"/>
      <w:r w:rsidRPr="00166A70">
        <w:rPr>
          <w:sz w:val="24"/>
          <w:lang w:val="hu-HU"/>
        </w:rPr>
        <w:t xml:space="preserve"> of </w:t>
      </w:r>
      <w:r w:rsidRPr="00166A70">
        <w:rPr>
          <w:i/>
          <w:sz w:val="24"/>
          <w:lang w:val="hu-HU"/>
        </w:rPr>
        <w:t xml:space="preserve">Bacillus </w:t>
      </w:r>
      <w:proofErr w:type="spellStart"/>
      <w:r w:rsidRPr="00166A70">
        <w:rPr>
          <w:i/>
          <w:sz w:val="24"/>
          <w:lang w:val="hu-HU"/>
        </w:rPr>
        <w:t>thuringiensis</w:t>
      </w:r>
      <w:proofErr w:type="spellEnd"/>
      <w:r w:rsidRPr="00166A70">
        <w:rPr>
          <w:sz w:val="24"/>
          <w:lang w:val="hu-HU"/>
        </w:rPr>
        <w:t> </w:t>
      </w:r>
      <w:proofErr w:type="spellStart"/>
      <w:r w:rsidRPr="00166A70">
        <w:rPr>
          <w:sz w:val="24"/>
          <w:lang w:val="hu-HU"/>
        </w:rPr>
        <w:t>insecticidal</w:t>
      </w:r>
      <w:proofErr w:type="spellEnd"/>
      <w:r w:rsidRPr="00166A70">
        <w:rPr>
          <w:sz w:val="24"/>
          <w:lang w:val="hu-HU"/>
        </w:rPr>
        <w:t xml:space="preserve"> </w:t>
      </w:r>
      <w:proofErr w:type="spellStart"/>
      <w:r w:rsidRPr="00166A70">
        <w:rPr>
          <w:sz w:val="24"/>
          <w:lang w:val="hu-HU"/>
        </w:rPr>
        <w:t>activity</w:t>
      </w:r>
      <w:proofErr w:type="spellEnd"/>
      <w:r w:rsidRPr="00166A70">
        <w:rPr>
          <w:sz w:val="24"/>
          <w:lang w:val="hu-HU"/>
        </w:rPr>
        <w:t xml:space="preserve"> </w:t>
      </w:r>
      <w:proofErr w:type="spellStart"/>
      <w:r w:rsidRPr="00166A70">
        <w:rPr>
          <w:sz w:val="24"/>
          <w:lang w:val="hu-HU"/>
        </w:rPr>
        <w:t>by</w:t>
      </w:r>
      <w:proofErr w:type="spellEnd"/>
      <w:r w:rsidRPr="00166A70">
        <w:rPr>
          <w:sz w:val="24"/>
          <w:lang w:val="hu-HU"/>
        </w:rPr>
        <w:t xml:space="preserve"> </w:t>
      </w:r>
      <w:proofErr w:type="spellStart"/>
      <w:r w:rsidRPr="00166A70">
        <w:rPr>
          <w:sz w:val="24"/>
          <w:lang w:val="hu-HU"/>
        </w:rPr>
        <w:t>serine</w:t>
      </w:r>
      <w:proofErr w:type="spellEnd"/>
      <w:r w:rsidRPr="00166A70">
        <w:rPr>
          <w:sz w:val="24"/>
          <w:lang w:val="hu-HU"/>
        </w:rPr>
        <w:t xml:space="preserve"> </w:t>
      </w:r>
      <w:proofErr w:type="spellStart"/>
      <w:r w:rsidRPr="00166A70">
        <w:rPr>
          <w:sz w:val="24"/>
          <w:lang w:val="hu-HU"/>
        </w:rPr>
        <w:t>protease</w:t>
      </w:r>
      <w:proofErr w:type="spellEnd"/>
      <w:r w:rsidRPr="00166A70">
        <w:rPr>
          <w:sz w:val="24"/>
          <w:lang w:val="hu-HU"/>
        </w:rPr>
        <w:t xml:space="preserve"> </w:t>
      </w:r>
      <w:proofErr w:type="spellStart"/>
      <w:r w:rsidRPr="00166A70">
        <w:rPr>
          <w:sz w:val="24"/>
          <w:lang w:val="hu-HU"/>
        </w:rPr>
        <w:t>inhibitors</w:t>
      </w:r>
      <w:proofErr w:type="spellEnd"/>
      <w:r w:rsidRPr="00166A70">
        <w:rPr>
          <w:sz w:val="24"/>
          <w:lang w:val="hu-HU"/>
        </w:rPr>
        <w:t xml:space="preserve">”(A szerin </w:t>
      </w:r>
      <w:proofErr w:type="spellStart"/>
      <w:r w:rsidRPr="00166A70">
        <w:rPr>
          <w:sz w:val="24"/>
          <w:lang w:val="hu-HU"/>
        </w:rPr>
        <w:t>proteázgátlók</w:t>
      </w:r>
      <w:proofErr w:type="spellEnd"/>
      <w:r w:rsidRPr="00166A70">
        <w:rPr>
          <w:sz w:val="24"/>
          <w:lang w:val="hu-HU"/>
        </w:rPr>
        <w:t xml:space="preserve"> szerepe a Bacillus </w:t>
      </w:r>
      <w:proofErr w:type="spellStart"/>
      <w:r w:rsidRPr="00166A70">
        <w:rPr>
          <w:sz w:val="24"/>
          <w:lang w:val="hu-HU"/>
        </w:rPr>
        <w:t>thuringiensis</w:t>
      </w:r>
      <w:proofErr w:type="spellEnd"/>
      <w:r w:rsidRPr="00166A70">
        <w:rPr>
          <w:sz w:val="24"/>
          <w:lang w:val="hu-HU"/>
        </w:rPr>
        <w:t xml:space="preserve"> felerősített rovarirtó aktivitásában), Journal of </w:t>
      </w:r>
      <w:proofErr w:type="spellStart"/>
      <w:r w:rsidRPr="00166A70">
        <w:rPr>
          <w:sz w:val="24"/>
          <w:lang w:val="hu-HU"/>
        </w:rPr>
        <w:t>Agricultural</w:t>
      </w:r>
      <w:proofErr w:type="spellEnd"/>
      <w:r w:rsidRPr="00166A70">
        <w:rPr>
          <w:sz w:val="24"/>
          <w:lang w:val="hu-HU"/>
        </w:rPr>
        <w:t xml:space="preserve"> and </w:t>
      </w:r>
      <w:proofErr w:type="spellStart"/>
      <w:r w:rsidRPr="00166A70">
        <w:rPr>
          <w:sz w:val="24"/>
          <w:lang w:val="hu-HU"/>
        </w:rPr>
        <w:t>Food</w:t>
      </w:r>
      <w:proofErr w:type="spellEnd"/>
      <w:r w:rsidRPr="00166A70">
        <w:rPr>
          <w:sz w:val="24"/>
          <w:lang w:val="hu-HU"/>
        </w:rPr>
        <w:t xml:space="preserve"> </w:t>
      </w:r>
      <w:proofErr w:type="spellStart"/>
      <w:r w:rsidRPr="00166A70">
        <w:rPr>
          <w:sz w:val="24"/>
          <w:lang w:val="hu-HU"/>
        </w:rPr>
        <w:t>Chemistry</w:t>
      </w:r>
      <w:proofErr w:type="spellEnd"/>
      <w:r w:rsidRPr="00166A70">
        <w:rPr>
          <w:sz w:val="24"/>
          <w:lang w:val="hu-HU"/>
        </w:rPr>
        <w:t>, 1990,38,4, pp.</w:t>
      </w:r>
      <w:proofErr w:type="gramEnd"/>
      <w:r w:rsidRPr="00166A70">
        <w:rPr>
          <w:sz w:val="24"/>
          <w:lang w:val="hu-HU"/>
        </w:rPr>
        <w:t xml:space="preserve"> 1145-1152, </w:t>
      </w:r>
      <w:hyperlink r:id="rId5" w:history="1">
        <w:r w:rsidRPr="00166A70">
          <w:rPr>
            <w:rStyle w:val="Hyperlink"/>
            <w:sz w:val="24"/>
            <w:lang w:val="hu-HU"/>
          </w:rPr>
          <w:t>https://pubs.acs.org/doi/abs/10.1021/jf00094a051</w:t>
        </w:r>
      </w:hyperlink>
      <w:r w:rsidRPr="00166A70">
        <w:rPr>
          <w:sz w:val="24"/>
          <w:lang w:val="hu-HU"/>
        </w:rPr>
        <w:t>.</w:t>
      </w:r>
    </w:p>
  </w:footnote>
  <w:footnote w:id="7">
    <w:p w:rsidR="00B3779C" w:rsidRPr="00166A70" w:rsidRDefault="00B3779C">
      <w:pPr>
        <w:pStyle w:val="FootnoteText"/>
        <w:ind w:left="567" w:hanging="567"/>
        <w:rPr>
          <w:sz w:val="24"/>
          <w:lang w:val="hu-HU"/>
        </w:rPr>
      </w:pPr>
      <w:r w:rsidRPr="00166A70">
        <w:rPr>
          <w:rStyle w:val="FootnoteReference"/>
          <w:sz w:val="24"/>
          <w:lang w:val="hu-HU"/>
        </w:rPr>
        <w:footnoteRef/>
      </w:r>
      <w:r w:rsidR="00166A70" w:rsidRPr="00166A70">
        <w:rPr>
          <w:sz w:val="24"/>
          <w:lang w:val="hu-HU"/>
        </w:rPr>
        <w:t xml:space="preserve"> </w:t>
      </w:r>
      <w:r w:rsidR="00166A70" w:rsidRPr="00166A70">
        <w:rPr>
          <w:sz w:val="24"/>
          <w:lang w:val="hu-HU"/>
        </w:rPr>
        <w:tab/>
      </w:r>
      <w:r w:rsidRPr="00166A70">
        <w:rPr>
          <w:sz w:val="24"/>
          <w:lang w:val="hu-HU"/>
        </w:rPr>
        <w:t xml:space="preserve">Áttekintésért lásd: </w:t>
      </w:r>
      <w:proofErr w:type="spellStart"/>
      <w:r w:rsidRPr="00166A70">
        <w:rPr>
          <w:sz w:val="24"/>
          <w:lang w:val="hu-HU"/>
        </w:rPr>
        <w:t>Rubio-Infante</w:t>
      </w:r>
      <w:proofErr w:type="spellEnd"/>
      <w:r w:rsidRPr="00166A70">
        <w:rPr>
          <w:sz w:val="24"/>
          <w:lang w:val="hu-HU"/>
        </w:rPr>
        <w:t>, N</w:t>
      </w:r>
      <w:proofErr w:type="gramStart"/>
      <w:r w:rsidRPr="00166A70">
        <w:rPr>
          <w:sz w:val="24"/>
          <w:lang w:val="hu-HU"/>
        </w:rPr>
        <w:t>.,</w:t>
      </w:r>
      <w:proofErr w:type="gramEnd"/>
      <w:r w:rsidRPr="00166A70">
        <w:rPr>
          <w:sz w:val="24"/>
          <w:lang w:val="hu-HU"/>
        </w:rPr>
        <w:t xml:space="preserve"> </w:t>
      </w:r>
      <w:proofErr w:type="spellStart"/>
      <w:r w:rsidRPr="00166A70">
        <w:rPr>
          <w:sz w:val="24"/>
          <w:lang w:val="hu-HU"/>
        </w:rPr>
        <w:t>Moreno-Fierros</w:t>
      </w:r>
      <w:proofErr w:type="spellEnd"/>
      <w:r w:rsidRPr="00166A70">
        <w:rPr>
          <w:sz w:val="24"/>
          <w:lang w:val="hu-HU"/>
        </w:rPr>
        <w:t xml:space="preserve">, L.: „An </w:t>
      </w:r>
      <w:proofErr w:type="spellStart"/>
      <w:r w:rsidRPr="00166A70">
        <w:rPr>
          <w:sz w:val="24"/>
          <w:lang w:val="hu-HU"/>
        </w:rPr>
        <w:t>overview</w:t>
      </w:r>
      <w:proofErr w:type="spellEnd"/>
      <w:r w:rsidRPr="00166A70">
        <w:rPr>
          <w:sz w:val="24"/>
          <w:lang w:val="hu-HU"/>
        </w:rPr>
        <w:t xml:space="preserve"> of </w:t>
      </w:r>
      <w:proofErr w:type="spellStart"/>
      <w:r w:rsidRPr="00166A70">
        <w:rPr>
          <w:sz w:val="24"/>
          <w:lang w:val="hu-HU"/>
        </w:rPr>
        <w:t>the</w:t>
      </w:r>
      <w:proofErr w:type="spellEnd"/>
      <w:r w:rsidRPr="00166A70">
        <w:rPr>
          <w:sz w:val="24"/>
          <w:lang w:val="hu-HU"/>
        </w:rPr>
        <w:t xml:space="preserve"> </w:t>
      </w:r>
      <w:proofErr w:type="spellStart"/>
      <w:r w:rsidRPr="00166A70">
        <w:rPr>
          <w:sz w:val="24"/>
          <w:lang w:val="hu-HU"/>
        </w:rPr>
        <w:t>safety</w:t>
      </w:r>
      <w:proofErr w:type="spellEnd"/>
      <w:r w:rsidRPr="00166A70">
        <w:rPr>
          <w:sz w:val="24"/>
          <w:lang w:val="hu-HU"/>
        </w:rPr>
        <w:t xml:space="preserve"> and </w:t>
      </w:r>
      <w:proofErr w:type="spellStart"/>
      <w:r w:rsidRPr="00166A70">
        <w:rPr>
          <w:sz w:val="24"/>
          <w:lang w:val="hu-HU"/>
        </w:rPr>
        <w:t>biological</w:t>
      </w:r>
      <w:proofErr w:type="spellEnd"/>
      <w:r w:rsidRPr="00166A70">
        <w:rPr>
          <w:sz w:val="24"/>
          <w:lang w:val="hu-HU"/>
        </w:rPr>
        <w:t xml:space="preserve"> </w:t>
      </w:r>
      <w:proofErr w:type="spellStart"/>
      <w:r w:rsidRPr="00166A70">
        <w:rPr>
          <w:sz w:val="24"/>
          <w:lang w:val="hu-HU"/>
        </w:rPr>
        <w:t>effects</w:t>
      </w:r>
      <w:proofErr w:type="spellEnd"/>
      <w:r w:rsidRPr="00166A70">
        <w:rPr>
          <w:sz w:val="24"/>
          <w:lang w:val="hu-HU"/>
        </w:rPr>
        <w:t xml:space="preserve"> of </w:t>
      </w:r>
      <w:r w:rsidRPr="00166A70">
        <w:rPr>
          <w:i/>
          <w:sz w:val="24"/>
          <w:lang w:val="hu-HU"/>
        </w:rPr>
        <w:t xml:space="preserve">Bacillus </w:t>
      </w:r>
      <w:proofErr w:type="spellStart"/>
      <w:r w:rsidRPr="00166A70">
        <w:rPr>
          <w:i/>
          <w:sz w:val="24"/>
          <w:lang w:val="hu-HU"/>
        </w:rPr>
        <w:t>thuringiensis</w:t>
      </w:r>
      <w:proofErr w:type="spellEnd"/>
      <w:r w:rsidRPr="00166A70">
        <w:rPr>
          <w:i/>
          <w:sz w:val="24"/>
          <w:lang w:val="hu-HU"/>
        </w:rPr>
        <w:t> </w:t>
      </w:r>
      <w:proofErr w:type="spellStart"/>
      <w:r w:rsidRPr="00166A70">
        <w:rPr>
          <w:sz w:val="24"/>
          <w:lang w:val="hu-HU"/>
        </w:rPr>
        <w:t>Cry</w:t>
      </w:r>
      <w:proofErr w:type="spellEnd"/>
      <w:r w:rsidRPr="00166A70">
        <w:rPr>
          <w:sz w:val="24"/>
          <w:lang w:val="hu-HU"/>
        </w:rPr>
        <w:t xml:space="preserve"> </w:t>
      </w:r>
      <w:proofErr w:type="spellStart"/>
      <w:r w:rsidRPr="00166A70">
        <w:rPr>
          <w:sz w:val="24"/>
          <w:lang w:val="hu-HU"/>
        </w:rPr>
        <w:t>toxins</w:t>
      </w:r>
      <w:proofErr w:type="spellEnd"/>
      <w:r w:rsidRPr="00166A70">
        <w:rPr>
          <w:sz w:val="24"/>
          <w:lang w:val="hu-HU"/>
        </w:rPr>
        <w:t xml:space="preserve"> in </w:t>
      </w:r>
      <w:proofErr w:type="spellStart"/>
      <w:r w:rsidRPr="00166A70">
        <w:rPr>
          <w:sz w:val="24"/>
          <w:lang w:val="hu-HU"/>
        </w:rPr>
        <w:t>mammals</w:t>
      </w:r>
      <w:proofErr w:type="spellEnd"/>
      <w:r w:rsidRPr="00166A70">
        <w:rPr>
          <w:sz w:val="24"/>
          <w:lang w:val="hu-HU"/>
        </w:rPr>
        <w:t xml:space="preserve">” (Körkép az emlősökben jelen lévő Bacillus </w:t>
      </w:r>
      <w:proofErr w:type="spellStart"/>
      <w:r w:rsidRPr="00166A70">
        <w:rPr>
          <w:sz w:val="24"/>
          <w:lang w:val="hu-HU"/>
        </w:rPr>
        <w:t>thuringiensis</w:t>
      </w:r>
      <w:proofErr w:type="spellEnd"/>
      <w:r w:rsidRPr="00166A70">
        <w:rPr>
          <w:sz w:val="24"/>
          <w:lang w:val="hu-HU"/>
        </w:rPr>
        <w:t xml:space="preserve"> </w:t>
      </w:r>
      <w:proofErr w:type="spellStart"/>
      <w:r w:rsidRPr="00166A70">
        <w:rPr>
          <w:sz w:val="24"/>
          <w:lang w:val="hu-HU"/>
        </w:rPr>
        <w:t>Cry</w:t>
      </w:r>
      <w:proofErr w:type="spellEnd"/>
      <w:r w:rsidRPr="00166A70">
        <w:rPr>
          <w:sz w:val="24"/>
          <w:lang w:val="hu-HU"/>
        </w:rPr>
        <w:t xml:space="preserve">-toxinok biztonságosságáról és biológiai hatásairól), Journal of </w:t>
      </w:r>
      <w:proofErr w:type="spellStart"/>
      <w:r w:rsidRPr="00166A70">
        <w:rPr>
          <w:sz w:val="24"/>
          <w:lang w:val="hu-HU"/>
        </w:rPr>
        <w:t>Applied</w:t>
      </w:r>
      <w:proofErr w:type="spellEnd"/>
      <w:r w:rsidRPr="00166A70">
        <w:rPr>
          <w:sz w:val="24"/>
          <w:lang w:val="hu-HU"/>
        </w:rPr>
        <w:t xml:space="preserve"> </w:t>
      </w:r>
      <w:proofErr w:type="spellStart"/>
      <w:r w:rsidRPr="00166A70">
        <w:rPr>
          <w:sz w:val="24"/>
          <w:lang w:val="hu-HU"/>
        </w:rPr>
        <w:t>Toxicology</w:t>
      </w:r>
      <w:proofErr w:type="spellEnd"/>
      <w:r w:rsidRPr="00166A70">
        <w:rPr>
          <w:sz w:val="24"/>
          <w:lang w:val="hu-HU"/>
        </w:rPr>
        <w:t xml:space="preserve">, 2016. május, 36(36,5), 630–648. o., </w:t>
      </w:r>
      <w:hyperlink r:id="rId6" w:history="1">
        <w:r w:rsidRPr="00166A70">
          <w:rPr>
            <w:rStyle w:val="Hyperlink"/>
            <w:sz w:val="24"/>
            <w:lang w:val="hu-HU"/>
          </w:rPr>
          <w:t>https://onlinelibrary.wiley.com/doi/full/10.1002/jat.3252</w:t>
        </w:r>
      </w:hyperlink>
      <w:r w:rsidRPr="00166A70">
        <w:rPr>
          <w:sz w:val="24"/>
          <w:lang w:val="hu-HU"/>
        </w:rPr>
        <w:t>.</w:t>
      </w:r>
    </w:p>
  </w:footnote>
  <w:footnote w:id="8">
    <w:p w:rsidR="00B3779C" w:rsidRPr="00166A70" w:rsidRDefault="00B3779C">
      <w:pPr>
        <w:pStyle w:val="FootnoteText"/>
        <w:ind w:left="567" w:hanging="567"/>
        <w:rPr>
          <w:sz w:val="24"/>
          <w:lang w:val="hu-HU"/>
        </w:rPr>
      </w:pPr>
      <w:r w:rsidRPr="00166A70">
        <w:rPr>
          <w:rStyle w:val="FootnoteReference"/>
          <w:sz w:val="24"/>
          <w:lang w:val="hu-HU"/>
        </w:rPr>
        <w:footnoteRef/>
      </w:r>
      <w:r w:rsidR="00166A70" w:rsidRPr="00166A70">
        <w:rPr>
          <w:sz w:val="24"/>
          <w:lang w:val="hu-HU"/>
        </w:rPr>
        <w:t xml:space="preserve"> </w:t>
      </w:r>
      <w:r w:rsidR="00166A70" w:rsidRPr="00166A70">
        <w:rPr>
          <w:sz w:val="24"/>
          <w:lang w:val="hu-HU"/>
        </w:rPr>
        <w:tab/>
      </w:r>
      <w:r w:rsidRPr="00166A70">
        <w:rPr>
          <w:sz w:val="24"/>
          <w:lang w:val="hu-HU"/>
        </w:rPr>
        <w:t xml:space="preserve">Lásd például: </w:t>
      </w:r>
      <w:proofErr w:type="spellStart"/>
      <w:r w:rsidRPr="00166A70">
        <w:rPr>
          <w:sz w:val="24"/>
          <w:lang w:val="hu-HU"/>
        </w:rPr>
        <w:t>Hilbeck</w:t>
      </w:r>
      <w:proofErr w:type="spellEnd"/>
      <w:r w:rsidRPr="00166A70">
        <w:rPr>
          <w:sz w:val="24"/>
          <w:lang w:val="hu-HU"/>
        </w:rPr>
        <w:t xml:space="preserve">, </w:t>
      </w:r>
      <w:proofErr w:type="gramStart"/>
      <w:r w:rsidRPr="00166A70">
        <w:rPr>
          <w:sz w:val="24"/>
          <w:lang w:val="hu-HU"/>
        </w:rPr>
        <w:t>A</w:t>
      </w:r>
      <w:proofErr w:type="gramEnd"/>
      <w:r w:rsidRPr="00166A70">
        <w:rPr>
          <w:sz w:val="24"/>
          <w:lang w:val="hu-HU"/>
        </w:rPr>
        <w:t>., Otto, M.: „</w:t>
      </w:r>
      <w:proofErr w:type="spellStart"/>
      <w:r w:rsidRPr="00166A70">
        <w:rPr>
          <w:sz w:val="24"/>
          <w:lang w:val="hu-HU"/>
        </w:rPr>
        <w:t>Specificity</w:t>
      </w:r>
      <w:proofErr w:type="spellEnd"/>
      <w:r w:rsidRPr="00166A70">
        <w:rPr>
          <w:sz w:val="24"/>
          <w:lang w:val="hu-HU"/>
        </w:rPr>
        <w:t xml:space="preserve"> and </w:t>
      </w:r>
      <w:proofErr w:type="spellStart"/>
      <w:r w:rsidRPr="00166A70">
        <w:rPr>
          <w:sz w:val="24"/>
          <w:lang w:val="hu-HU"/>
        </w:rPr>
        <w:t>combinatorial</w:t>
      </w:r>
      <w:proofErr w:type="spellEnd"/>
      <w:r w:rsidRPr="00166A70">
        <w:rPr>
          <w:sz w:val="24"/>
          <w:lang w:val="hu-HU"/>
        </w:rPr>
        <w:t xml:space="preserve"> </w:t>
      </w:r>
      <w:proofErr w:type="spellStart"/>
      <w:r w:rsidRPr="00166A70">
        <w:rPr>
          <w:sz w:val="24"/>
          <w:lang w:val="hu-HU"/>
        </w:rPr>
        <w:t>effects</w:t>
      </w:r>
      <w:proofErr w:type="spellEnd"/>
      <w:r w:rsidRPr="00166A70">
        <w:rPr>
          <w:sz w:val="24"/>
          <w:lang w:val="hu-HU"/>
        </w:rPr>
        <w:t xml:space="preserve"> of </w:t>
      </w:r>
      <w:r w:rsidRPr="00166A70">
        <w:rPr>
          <w:i/>
          <w:sz w:val="24"/>
          <w:lang w:val="hu-HU"/>
        </w:rPr>
        <w:t xml:space="preserve">Bacillus </w:t>
      </w:r>
      <w:proofErr w:type="spellStart"/>
      <w:r w:rsidRPr="00166A70">
        <w:rPr>
          <w:i/>
          <w:sz w:val="24"/>
          <w:lang w:val="hu-HU"/>
        </w:rPr>
        <w:t>thuringiensis</w:t>
      </w:r>
      <w:proofErr w:type="spellEnd"/>
      <w:r w:rsidRPr="00166A70">
        <w:rPr>
          <w:sz w:val="24"/>
          <w:lang w:val="hu-HU"/>
        </w:rPr>
        <w:t xml:space="preserve"> </w:t>
      </w:r>
      <w:proofErr w:type="spellStart"/>
      <w:r w:rsidRPr="00166A70">
        <w:rPr>
          <w:sz w:val="24"/>
          <w:lang w:val="hu-HU"/>
        </w:rPr>
        <w:t>Cry</w:t>
      </w:r>
      <w:proofErr w:type="spellEnd"/>
      <w:r w:rsidRPr="00166A70">
        <w:rPr>
          <w:sz w:val="24"/>
          <w:lang w:val="hu-HU"/>
        </w:rPr>
        <w:t xml:space="preserve"> </w:t>
      </w:r>
      <w:proofErr w:type="spellStart"/>
      <w:r w:rsidRPr="00166A70">
        <w:rPr>
          <w:sz w:val="24"/>
          <w:lang w:val="hu-HU"/>
        </w:rPr>
        <w:t>toxins</w:t>
      </w:r>
      <w:proofErr w:type="spellEnd"/>
      <w:r w:rsidRPr="00166A70">
        <w:rPr>
          <w:sz w:val="24"/>
          <w:lang w:val="hu-HU"/>
        </w:rPr>
        <w:t xml:space="preserve"> in </w:t>
      </w:r>
      <w:proofErr w:type="spellStart"/>
      <w:r w:rsidRPr="00166A70">
        <w:rPr>
          <w:sz w:val="24"/>
          <w:lang w:val="hu-HU"/>
        </w:rPr>
        <w:t>the</w:t>
      </w:r>
      <w:proofErr w:type="spellEnd"/>
      <w:r w:rsidRPr="00166A70">
        <w:rPr>
          <w:sz w:val="24"/>
          <w:lang w:val="hu-HU"/>
        </w:rPr>
        <w:t xml:space="preserve"> context of GMO </w:t>
      </w:r>
      <w:proofErr w:type="spellStart"/>
      <w:r w:rsidRPr="00166A70">
        <w:rPr>
          <w:sz w:val="24"/>
          <w:lang w:val="hu-HU"/>
        </w:rPr>
        <w:t>environmental</w:t>
      </w:r>
      <w:proofErr w:type="spellEnd"/>
      <w:r w:rsidRPr="00166A70">
        <w:rPr>
          <w:sz w:val="24"/>
          <w:lang w:val="hu-HU"/>
        </w:rPr>
        <w:t xml:space="preserve"> </w:t>
      </w:r>
      <w:proofErr w:type="spellStart"/>
      <w:r w:rsidRPr="00166A70">
        <w:rPr>
          <w:sz w:val="24"/>
          <w:lang w:val="hu-HU"/>
        </w:rPr>
        <w:t>risk</w:t>
      </w:r>
      <w:proofErr w:type="spellEnd"/>
      <w:r w:rsidRPr="00166A70">
        <w:rPr>
          <w:sz w:val="24"/>
          <w:lang w:val="hu-HU"/>
        </w:rPr>
        <w:t xml:space="preserve"> </w:t>
      </w:r>
      <w:proofErr w:type="spellStart"/>
      <w:r w:rsidRPr="00166A70">
        <w:rPr>
          <w:sz w:val="24"/>
          <w:lang w:val="hu-HU"/>
        </w:rPr>
        <w:t>assessment</w:t>
      </w:r>
      <w:proofErr w:type="spellEnd"/>
      <w:r w:rsidRPr="00166A70">
        <w:rPr>
          <w:sz w:val="24"/>
          <w:lang w:val="hu-HU"/>
        </w:rPr>
        <w:t xml:space="preserve">” (A Bacillus </w:t>
      </w:r>
      <w:proofErr w:type="spellStart"/>
      <w:r w:rsidRPr="00166A70">
        <w:rPr>
          <w:sz w:val="24"/>
          <w:lang w:val="hu-HU"/>
        </w:rPr>
        <w:t>thuringiensis</w:t>
      </w:r>
      <w:proofErr w:type="spellEnd"/>
      <w:r w:rsidRPr="00166A70">
        <w:rPr>
          <w:sz w:val="24"/>
          <w:lang w:val="hu-HU"/>
        </w:rPr>
        <w:t xml:space="preserve"> </w:t>
      </w:r>
      <w:proofErr w:type="spellStart"/>
      <w:r w:rsidRPr="00166A70">
        <w:rPr>
          <w:sz w:val="24"/>
          <w:lang w:val="hu-HU"/>
        </w:rPr>
        <w:t>Cry</w:t>
      </w:r>
      <w:proofErr w:type="spellEnd"/>
      <w:r w:rsidRPr="00166A70">
        <w:rPr>
          <w:sz w:val="24"/>
          <w:lang w:val="hu-HU"/>
        </w:rPr>
        <w:t xml:space="preserve">-toxinok sajátosságai és kombinált hatásai a GMO-k környezeti kockázatértékelésével összefüggésében), </w:t>
      </w:r>
      <w:proofErr w:type="spellStart"/>
      <w:r w:rsidRPr="00166A70">
        <w:rPr>
          <w:sz w:val="24"/>
          <w:lang w:val="hu-HU"/>
        </w:rPr>
        <w:t>Frontiers</w:t>
      </w:r>
      <w:proofErr w:type="spellEnd"/>
      <w:r w:rsidRPr="00166A70">
        <w:rPr>
          <w:sz w:val="24"/>
          <w:lang w:val="hu-HU"/>
        </w:rPr>
        <w:t xml:space="preserve"> in </w:t>
      </w:r>
      <w:proofErr w:type="spellStart"/>
      <w:r w:rsidRPr="00166A70">
        <w:rPr>
          <w:sz w:val="24"/>
          <w:lang w:val="hu-HU"/>
        </w:rPr>
        <w:t>Environmental</w:t>
      </w:r>
      <w:proofErr w:type="spellEnd"/>
      <w:r w:rsidRPr="00166A70">
        <w:rPr>
          <w:sz w:val="24"/>
          <w:lang w:val="hu-HU"/>
        </w:rPr>
        <w:t xml:space="preserve"> Science, 2015., 3:71, </w:t>
      </w:r>
      <w:hyperlink r:id="rId7" w:history="1">
        <w:r w:rsidRPr="00166A70">
          <w:rPr>
            <w:rStyle w:val="Hyperlink"/>
            <w:sz w:val="24"/>
            <w:lang w:val="hu-HU"/>
          </w:rPr>
          <w:t>https://doi.org/10.3389/fenvs.2015.00071</w:t>
        </w:r>
      </w:hyperlink>
      <w:r w:rsidRPr="00166A70">
        <w:rPr>
          <w:rStyle w:val="Hyperlink"/>
          <w:sz w:val="24"/>
          <w:lang w:val="hu-HU"/>
        </w:rPr>
        <w:t>.</w:t>
      </w:r>
    </w:p>
  </w:footnote>
  <w:footnote w:id="9">
    <w:p w:rsidR="00B3779C" w:rsidRPr="00166A70" w:rsidRDefault="00B3779C">
      <w:pPr>
        <w:pStyle w:val="FootnoteText"/>
        <w:ind w:left="567" w:hanging="567"/>
        <w:rPr>
          <w:sz w:val="24"/>
          <w:lang w:val="hu-HU"/>
        </w:rPr>
      </w:pPr>
      <w:r w:rsidRPr="00166A70">
        <w:rPr>
          <w:rStyle w:val="FootnoteReference"/>
          <w:sz w:val="24"/>
          <w:lang w:val="hu-HU"/>
        </w:rPr>
        <w:footnoteRef/>
      </w:r>
      <w:r w:rsidR="00166A70" w:rsidRPr="00166A70">
        <w:rPr>
          <w:sz w:val="24"/>
          <w:lang w:val="hu-HU"/>
        </w:rPr>
        <w:t xml:space="preserve"> </w:t>
      </w:r>
      <w:r w:rsidR="00166A70" w:rsidRPr="00166A70">
        <w:rPr>
          <w:sz w:val="24"/>
          <w:lang w:val="hu-HU"/>
        </w:rPr>
        <w:tab/>
      </w:r>
      <w:proofErr w:type="spellStart"/>
      <w:r w:rsidRPr="00166A70">
        <w:rPr>
          <w:sz w:val="24"/>
          <w:lang w:val="hu-HU"/>
        </w:rPr>
        <w:t>Hilbeck</w:t>
      </w:r>
      <w:proofErr w:type="spellEnd"/>
      <w:r w:rsidRPr="00166A70">
        <w:rPr>
          <w:sz w:val="24"/>
          <w:lang w:val="hu-HU"/>
        </w:rPr>
        <w:t xml:space="preserve">, </w:t>
      </w:r>
      <w:proofErr w:type="gramStart"/>
      <w:r w:rsidRPr="00166A70">
        <w:rPr>
          <w:sz w:val="24"/>
          <w:lang w:val="hu-HU"/>
        </w:rPr>
        <w:t>A</w:t>
      </w:r>
      <w:proofErr w:type="gramEnd"/>
      <w:r w:rsidRPr="00166A70">
        <w:rPr>
          <w:sz w:val="24"/>
          <w:lang w:val="hu-HU"/>
        </w:rPr>
        <w:t xml:space="preserve">., </w:t>
      </w:r>
      <w:proofErr w:type="spellStart"/>
      <w:r w:rsidRPr="00166A70">
        <w:rPr>
          <w:sz w:val="24"/>
          <w:lang w:val="hu-HU"/>
        </w:rPr>
        <w:t>Defarge</w:t>
      </w:r>
      <w:proofErr w:type="spellEnd"/>
      <w:r w:rsidRPr="00166A70">
        <w:rPr>
          <w:sz w:val="24"/>
          <w:lang w:val="hu-HU"/>
        </w:rPr>
        <w:t xml:space="preserve">, N., </w:t>
      </w:r>
      <w:proofErr w:type="spellStart"/>
      <w:r w:rsidRPr="00166A70">
        <w:rPr>
          <w:sz w:val="24"/>
          <w:lang w:val="hu-HU"/>
        </w:rPr>
        <w:t>Lebrecht</w:t>
      </w:r>
      <w:proofErr w:type="spellEnd"/>
      <w:r w:rsidRPr="00166A70">
        <w:rPr>
          <w:sz w:val="24"/>
          <w:lang w:val="hu-HU"/>
        </w:rPr>
        <w:t xml:space="preserve">, T., </w:t>
      </w:r>
      <w:proofErr w:type="spellStart"/>
      <w:r w:rsidRPr="00166A70">
        <w:rPr>
          <w:sz w:val="24"/>
          <w:lang w:val="hu-HU"/>
        </w:rPr>
        <w:t>Bøhn</w:t>
      </w:r>
      <w:proofErr w:type="spellEnd"/>
      <w:r w:rsidRPr="00166A70">
        <w:rPr>
          <w:sz w:val="24"/>
          <w:lang w:val="hu-HU"/>
        </w:rPr>
        <w:t>, T., „</w:t>
      </w:r>
      <w:proofErr w:type="spellStart"/>
      <w:r w:rsidRPr="00166A70">
        <w:rPr>
          <w:sz w:val="24"/>
          <w:lang w:val="hu-HU"/>
        </w:rPr>
        <w:t>Insecticidal</w:t>
      </w:r>
      <w:proofErr w:type="spellEnd"/>
      <w:r w:rsidRPr="00166A70">
        <w:rPr>
          <w:sz w:val="24"/>
          <w:lang w:val="hu-HU"/>
        </w:rPr>
        <w:t xml:space="preserve"> Bt </w:t>
      </w:r>
      <w:proofErr w:type="spellStart"/>
      <w:r w:rsidRPr="00166A70">
        <w:rPr>
          <w:sz w:val="24"/>
          <w:lang w:val="hu-HU"/>
        </w:rPr>
        <w:t>crops</w:t>
      </w:r>
      <w:proofErr w:type="spellEnd"/>
      <w:r w:rsidRPr="00166A70">
        <w:rPr>
          <w:sz w:val="24"/>
          <w:lang w:val="hu-HU"/>
        </w:rPr>
        <w:t xml:space="preserve">. </w:t>
      </w:r>
      <w:proofErr w:type="spellStart"/>
      <w:r w:rsidRPr="00166A70">
        <w:rPr>
          <w:sz w:val="24"/>
          <w:lang w:val="hu-HU"/>
        </w:rPr>
        <w:t>EFSA’s</w:t>
      </w:r>
      <w:proofErr w:type="spellEnd"/>
      <w:r w:rsidRPr="00166A70">
        <w:rPr>
          <w:sz w:val="24"/>
          <w:lang w:val="hu-HU"/>
        </w:rPr>
        <w:t xml:space="preserve"> </w:t>
      </w:r>
      <w:proofErr w:type="spellStart"/>
      <w:r w:rsidRPr="00166A70">
        <w:rPr>
          <w:sz w:val="24"/>
          <w:lang w:val="hu-HU"/>
        </w:rPr>
        <w:t>risk</w:t>
      </w:r>
      <w:proofErr w:type="spellEnd"/>
      <w:r w:rsidRPr="00166A70">
        <w:rPr>
          <w:sz w:val="24"/>
          <w:lang w:val="hu-HU"/>
        </w:rPr>
        <w:t xml:space="preserve"> </w:t>
      </w:r>
      <w:proofErr w:type="spellStart"/>
      <w:r w:rsidRPr="00166A70">
        <w:rPr>
          <w:sz w:val="24"/>
          <w:lang w:val="hu-HU"/>
        </w:rPr>
        <w:t>assessment</w:t>
      </w:r>
      <w:proofErr w:type="spellEnd"/>
      <w:r w:rsidRPr="00166A70">
        <w:rPr>
          <w:sz w:val="24"/>
          <w:lang w:val="hu-HU"/>
        </w:rPr>
        <w:t xml:space="preserve"> </w:t>
      </w:r>
      <w:proofErr w:type="spellStart"/>
      <w:r w:rsidRPr="00166A70">
        <w:rPr>
          <w:sz w:val="24"/>
          <w:lang w:val="hu-HU"/>
        </w:rPr>
        <w:t>approach</w:t>
      </w:r>
      <w:proofErr w:type="spellEnd"/>
      <w:r w:rsidRPr="00166A70">
        <w:rPr>
          <w:sz w:val="24"/>
          <w:lang w:val="hu-HU"/>
        </w:rPr>
        <w:t xml:space="preserve"> </w:t>
      </w:r>
      <w:proofErr w:type="spellStart"/>
      <w:r w:rsidRPr="00166A70">
        <w:rPr>
          <w:sz w:val="24"/>
          <w:lang w:val="hu-HU"/>
        </w:rPr>
        <w:t>for</w:t>
      </w:r>
      <w:proofErr w:type="spellEnd"/>
      <w:r w:rsidRPr="00166A70">
        <w:rPr>
          <w:sz w:val="24"/>
          <w:lang w:val="hu-HU"/>
        </w:rPr>
        <w:t xml:space="preserve"> GM Bt </w:t>
      </w:r>
      <w:proofErr w:type="spellStart"/>
      <w:r w:rsidRPr="00166A70">
        <w:rPr>
          <w:sz w:val="24"/>
          <w:lang w:val="hu-HU"/>
        </w:rPr>
        <w:t>plants</w:t>
      </w:r>
      <w:proofErr w:type="spellEnd"/>
      <w:r w:rsidRPr="00166A70">
        <w:rPr>
          <w:sz w:val="24"/>
          <w:lang w:val="hu-HU"/>
        </w:rPr>
        <w:t xml:space="preserve"> </w:t>
      </w:r>
      <w:proofErr w:type="spellStart"/>
      <w:r w:rsidRPr="00166A70">
        <w:rPr>
          <w:sz w:val="24"/>
          <w:lang w:val="hu-HU"/>
        </w:rPr>
        <w:t>fails</w:t>
      </w:r>
      <w:proofErr w:type="spellEnd"/>
      <w:r w:rsidRPr="00166A70">
        <w:rPr>
          <w:sz w:val="24"/>
          <w:lang w:val="hu-HU"/>
        </w:rPr>
        <w:t xml:space="preserve"> </w:t>
      </w:r>
      <w:proofErr w:type="spellStart"/>
      <w:r w:rsidRPr="00166A70">
        <w:rPr>
          <w:sz w:val="24"/>
          <w:lang w:val="hu-HU"/>
        </w:rPr>
        <w:t>by</w:t>
      </w:r>
      <w:proofErr w:type="spellEnd"/>
      <w:r w:rsidRPr="00166A70">
        <w:rPr>
          <w:sz w:val="24"/>
          <w:lang w:val="hu-HU"/>
        </w:rPr>
        <w:t xml:space="preserve"> design” (</w:t>
      </w:r>
      <w:proofErr w:type="spellStart"/>
      <w:r w:rsidRPr="00166A70">
        <w:rPr>
          <w:sz w:val="24"/>
          <w:lang w:val="hu-HU"/>
        </w:rPr>
        <w:t>Inszekticid</w:t>
      </w:r>
      <w:proofErr w:type="spellEnd"/>
      <w:r w:rsidRPr="00166A70">
        <w:rPr>
          <w:sz w:val="24"/>
          <w:lang w:val="hu-HU"/>
        </w:rPr>
        <w:t xml:space="preserve"> Bt-növények. Az EFSA géntechnológiával módosított Bt-növényekre vonatkozó kockázatértékelési megközelítése eleve kudarcot vallott), RAGES 2020, 4</w:t>
      </w:r>
      <w:proofErr w:type="gramStart"/>
      <w:r w:rsidRPr="00166A70">
        <w:rPr>
          <w:sz w:val="24"/>
          <w:lang w:val="hu-HU"/>
        </w:rPr>
        <w:t>.o.</w:t>
      </w:r>
      <w:proofErr w:type="gramEnd"/>
      <w:r w:rsidRPr="00166A70">
        <w:rPr>
          <w:sz w:val="24"/>
          <w:lang w:val="hu-HU"/>
        </w:rPr>
        <w:t xml:space="preserve">, </w:t>
      </w:r>
      <w:hyperlink r:id="rId8" w:history="1">
        <w:r w:rsidRPr="00166A70">
          <w:rPr>
            <w:rStyle w:val="Hyperlink"/>
            <w:sz w:val="24"/>
            <w:lang w:val="hu-HU"/>
          </w:rPr>
          <w:t>https://www.testbiotech.org/wp-content/uploads/2023/12/RAGES_report-Insecticidal-Bt-plants.pdf</w:t>
        </w:r>
      </w:hyperlink>
      <w:r w:rsidRPr="00166A70">
        <w:rPr>
          <w:rStyle w:val="Hyperlink"/>
          <w:sz w:val="24"/>
          <w:lang w:val="hu-HU"/>
        </w:rPr>
        <w:t xml:space="preserve">. </w:t>
      </w:r>
    </w:p>
  </w:footnote>
  <w:footnote w:id="10">
    <w:p w:rsidR="00B3779C" w:rsidRPr="00166A70" w:rsidRDefault="00B3779C">
      <w:pPr>
        <w:pStyle w:val="FootnoteText"/>
        <w:ind w:left="567" w:hanging="567"/>
        <w:rPr>
          <w:sz w:val="24"/>
          <w:lang w:val="hu-HU"/>
        </w:rPr>
      </w:pPr>
      <w:r w:rsidRPr="00166A70">
        <w:rPr>
          <w:rStyle w:val="FootnoteReference"/>
          <w:sz w:val="24"/>
          <w:lang w:val="hu-HU"/>
        </w:rPr>
        <w:footnoteRef/>
      </w:r>
      <w:r w:rsidR="00166A70" w:rsidRPr="00166A70">
        <w:rPr>
          <w:sz w:val="24"/>
          <w:lang w:val="hu-HU"/>
        </w:rPr>
        <w:t xml:space="preserve"> </w:t>
      </w:r>
      <w:r w:rsidR="00166A70" w:rsidRPr="00166A70">
        <w:rPr>
          <w:sz w:val="24"/>
          <w:lang w:val="hu-HU"/>
        </w:rPr>
        <w:tab/>
      </w:r>
      <w:hyperlink r:id="rId9" w:history="1">
        <w:r w:rsidRPr="00166A70">
          <w:rPr>
            <w:rStyle w:val="Hyperlink"/>
            <w:sz w:val="24"/>
            <w:lang w:val="hu-HU"/>
          </w:rPr>
          <w:t>https://commission.europa.eu/document/2c64e540-c07a-4376-a1da-368d289f4afe_en</w:t>
        </w:r>
      </w:hyperlink>
    </w:p>
  </w:footnote>
  <w:footnote w:id="11">
    <w:p w:rsidR="00B3779C" w:rsidRPr="00166A70" w:rsidRDefault="00B3779C">
      <w:pPr>
        <w:pStyle w:val="FootnoteText"/>
        <w:ind w:left="567" w:hanging="567"/>
        <w:rPr>
          <w:sz w:val="24"/>
          <w:lang w:val="hu-HU"/>
        </w:rPr>
      </w:pPr>
      <w:r w:rsidRPr="00166A70">
        <w:rPr>
          <w:rStyle w:val="FootnoteReference"/>
          <w:sz w:val="24"/>
          <w:lang w:val="hu-HU"/>
        </w:rPr>
        <w:footnoteRef/>
      </w:r>
      <w:r w:rsidR="00166A70" w:rsidRPr="00166A70">
        <w:rPr>
          <w:sz w:val="24"/>
          <w:lang w:val="hu-HU"/>
        </w:rPr>
        <w:t xml:space="preserve"> </w:t>
      </w:r>
      <w:r w:rsidR="00166A70" w:rsidRPr="00166A70">
        <w:rPr>
          <w:sz w:val="24"/>
          <w:lang w:val="hu-HU"/>
        </w:rPr>
        <w:tab/>
      </w:r>
      <w:r w:rsidRPr="00166A70">
        <w:rPr>
          <w:sz w:val="24"/>
          <w:lang w:val="hu-HU"/>
        </w:rPr>
        <w:t>Az Európai Parlament és a Tanács 2001/18/EK irányelve (2001. március 12.) a géntechnológiával módosított szervezetek környezetbe történő szándékos kibocsátásáról és a 90/220/EGK tanácsi irányelv hatályon kívül helyezéséről (HL L 106., 2001.4.17</w:t>
      </w:r>
      <w:proofErr w:type="gramStart"/>
      <w:r w:rsidRPr="00166A70">
        <w:rPr>
          <w:sz w:val="24"/>
          <w:lang w:val="hu-HU"/>
        </w:rPr>
        <w:t>.,</w:t>
      </w:r>
      <w:proofErr w:type="gramEnd"/>
      <w:r w:rsidRPr="00166A70">
        <w:rPr>
          <w:sz w:val="24"/>
          <w:lang w:val="hu-HU"/>
        </w:rPr>
        <w:t xml:space="preserve"> 1. o., ELI: </w:t>
      </w:r>
      <w:hyperlink r:id="rId10" w:tooltip="Az ELI (európai jogszabály-azonosító) URI-hivatkozása révén biztosít hozzáférést a dokumentumhoz." w:history="1">
        <w:r w:rsidRPr="00166A70">
          <w:rPr>
            <w:rStyle w:val="Hyperlink"/>
            <w:sz w:val="24"/>
            <w:lang w:val="hu-HU"/>
          </w:rPr>
          <w:t>http://data.europa.eu/eli/dir/2001/18/oj</w:t>
        </w:r>
      </w:hyperlink>
      <w:r w:rsidRPr="00166A70">
        <w:rPr>
          <w:sz w:val="24"/>
          <w:lang w:val="hu-HU"/>
        </w:rPr>
        <w:t>).</w:t>
      </w:r>
    </w:p>
  </w:footnote>
  <w:footnote w:id="12">
    <w:p w:rsidR="00B3779C" w:rsidRPr="00166A70" w:rsidRDefault="00B3779C">
      <w:pPr>
        <w:pStyle w:val="FootnoteText"/>
        <w:ind w:left="567" w:hanging="567"/>
        <w:rPr>
          <w:sz w:val="24"/>
          <w:lang w:val="hu-HU"/>
        </w:rPr>
      </w:pPr>
      <w:r w:rsidRPr="00166A70">
        <w:rPr>
          <w:rStyle w:val="FootnoteReference"/>
          <w:sz w:val="24"/>
          <w:lang w:val="hu-HU"/>
        </w:rPr>
        <w:footnoteRef/>
      </w:r>
      <w:r w:rsidR="00166A70" w:rsidRPr="00166A70">
        <w:rPr>
          <w:sz w:val="24"/>
          <w:lang w:val="hu-HU"/>
        </w:rPr>
        <w:t xml:space="preserve"> </w:t>
      </w:r>
      <w:r w:rsidR="00166A70" w:rsidRPr="00166A70">
        <w:rPr>
          <w:sz w:val="24"/>
          <w:lang w:val="hu-HU"/>
        </w:rPr>
        <w:tab/>
      </w:r>
      <w:r w:rsidRPr="00166A70">
        <w:rPr>
          <w:sz w:val="24"/>
          <w:lang w:val="hu-HU"/>
        </w:rPr>
        <w:t xml:space="preserve">A Bizottság 503/2013/EU végrehajtási rendelete </w:t>
      </w:r>
      <w:proofErr w:type="gramStart"/>
      <w:r w:rsidRPr="00166A70">
        <w:rPr>
          <w:sz w:val="24"/>
          <w:lang w:val="hu-HU"/>
        </w:rPr>
        <w:t>( 2013.</w:t>
      </w:r>
      <w:proofErr w:type="gramEnd"/>
      <w:r w:rsidRPr="00166A70">
        <w:rPr>
          <w:sz w:val="24"/>
          <w:lang w:val="hu-HU"/>
        </w:rPr>
        <w:t xml:space="preserve"> április 3. ) a géntechnológiával módosított élelmiszerek és takarmányok 1829/2003/EK európai parlamenti és tanácsi rendelet szerinti engedélyezése iránti kérelemről, valamint a 641/2004/EK és az 1981/2006/EK bizottsági rendelet módosításáról (HL L 157., 2013.6.8</w:t>
      </w:r>
      <w:proofErr w:type="gramStart"/>
      <w:r w:rsidRPr="00166A70">
        <w:rPr>
          <w:sz w:val="24"/>
          <w:lang w:val="hu-HU"/>
        </w:rPr>
        <w:t>.,</w:t>
      </w:r>
      <w:proofErr w:type="gramEnd"/>
      <w:r w:rsidRPr="00166A70">
        <w:rPr>
          <w:sz w:val="24"/>
          <w:lang w:val="hu-HU"/>
        </w:rPr>
        <w:t xml:space="preserve"> 1. o., ELI: </w:t>
      </w:r>
      <w:hyperlink r:id="rId11" w:tooltip="Az ELI (európai jogszabály-azonosító) URI-hivatkozása révén biztosít hozzáférést a dokumentumhoz." w:history="1">
        <w:r w:rsidRPr="00166A70">
          <w:rPr>
            <w:rStyle w:val="Hyperlink"/>
            <w:sz w:val="24"/>
            <w:lang w:val="hu-HU"/>
          </w:rPr>
          <w:t>http://data.europa.eu/eli/reg_impl/2013/503/oj</w:t>
        </w:r>
      </w:hyperlink>
      <w:r w:rsidRPr="00166A70">
        <w:rPr>
          <w:sz w:val="24"/>
          <w:lang w:val="hu-HU"/>
        </w:rPr>
        <w:t>).</w:t>
      </w:r>
    </w:p>
  </w:footnote>
  <w:footnote w:id="13">
    <w:p w:rsidR="00B3779C" w:rsidRPr="00166A70" w:rsidRDefault="00B3779C">
      <w:pPr>
        <w:pStyle w:val="FootnoteText"/>
        <w:ind w:left="567" w:hanging="567"/>
        <w:rPr>
          <w:sz w:val="24"/>
          <w:lang w:val="hu-HU"/>
        </w:rPr>
      </w:pPr>
      <w:r w:rsidRPr="00166A70">
        <w:rPr>
          <w:rStyle w:val="FootnoteReference"/>
          <w:sz w:val="24"/>
          <w:lang w:val="hu-HU"/>
        </w:rPr>
        <w:footnoteRef/>
      </w:r>
      <w:r w:rsidR="00166A70" w:rsidRPr="00166A70">
        <w:rPr>
          <w:sz w:val="24"/>
          <w:lang w:val="hu-HU"/>
        </w:rPr>
        <w:t xml:space="preserve"> </w:t>
      </w:r>
      <w:r w:rsidR="00166A70" w:rsidRPr="00166A70">
        <w:rPr>
          <w:sz w:val="24"/>
          <w:lang w:val="hu-HU"/>
        </w:rPr>
        <w:tab/>
      </w:r>
      <w:proofErr w:type="gramStart"/>
      <w:r w:rsidRPr="00166A70">
        <w:rPr>
          <w:sz w:val="24"/>
          <w:lang w:val="hu-HU"/>
        </w:rPr>
        <w:t>Az Európai Parlament állásfoglalása (2020. november 11.) a géntechnológiával módosított MON 87427 × MON 87460 × MON 89034 × MIR162 × NK603 kukoricát, valamint a MON 87427, MON 87460, MON 89034, MIR162 és NK603 egyszeres genetikai eseményekből kettőt, hármat vagy négyet ötvöző, géntechnológiával módosított kukoricát tartalmazó, abból álló vagy abból előállított termékek forgalomba hozatalának az 1829/2003/EK európai parlamenti és tanácsi rendelet alapján történő engedélyezéséről szóló bizottsági végrehajtási határozat tervezetéről (HL C 415., 2021.10.13., 15. o.).</w:t>
      </w:r>
      <w:proofErr w:type="gramEnd"/>
      <w:r w:rsidRPr="00166A70">
        <w:rPr>
          <w:sz w:val="24"/>
          <w:lang w:val="hu-HU"/>
        </w:rPr>
        <w:t xml:space="preserve"> </w:t>
      </w:r>
    </w:p>
  </w:footnote>
  <w:footnote w:id="14">
    <w:p w:rsidR="00B3779C" w:rsidRPr="00166A70" w:rsidRDefault="00B3779C">
      <w:pPr>
        <w:pStyle w:val="FootnoteText"/>
        <w:ind w:left="567" w:hanging="567"/>
        <w:rPr>
          <w:sz w:val="24"/>
          <w:lang w:val="hu-HU"/>
        </w:rPr>
      </w:pPr>
      <w:r w:rsidRPr="00166A70">
        <w:rPr>
          <w:rStyle w:val="FootnoteReference"/>
          <w:sz w:val="24"/>
          <w:lang w:val="hu-HU"/>
        </w:rPr>
        <w:footnoteRef/>
      </w:r>
      <w:r w:rsidR="00166A70" w:rsidRPr="00166A70">
        <w:rPr>
          <w:sz w:val="24"/>
          <w:lang w:val="hu-HU"/>
        </w:rPr>
        <w:t xml:space="preserve"> </w:t>
      </w:r>
      <w:r w:rsidR="00166A70" w:rsidRPr="00166A70">
        <w:rPr>
          <w:sz w:val="24"/>
          <w:lang w:val="hu-HU"/>
        </w:rPr>
        <w:tab/>
      </w:r>
      <w:hyperlink r:id="rId12" w:history="1">
        <w:r w:rsidRPr="00166A70">
          <w:rPr>
            <w:rStyle w:val="Hyperlink"/>
            <w:sz w:val="24"/>
            <w:lang w:val="hu-HU"/>
          </w:rPr>
          <w:t>https://www.who.int/campaigns/world-amr-awareness-week/2024/amr-is-invisible-i-am-not</w:t>
        </w:r>
      </w:hyperlink>
    </w:p>
  </w:footnote>
  <w:footnote w:id="15">
    <w:p w:rsidR="00B3779C" w:rsidRPr="00166A70" w:rsidRDefault="00B3779C">
      <w:pPr>
        <w:pStyle w:val="FootnoteText"/>
        <w:ind w:left="567" w:hanging="567"/>
        <w:rPr>
          <w:color w:val="1F497D"/>
          <w:sz w:val="24"/>
          <w:szCs w:val="22"/>
          <w:lang w:val="hu-HU"/>
        </w:rPr>
      </w:pPr>
      <w:r w:rsidRPr="00166A70">
        <w:rPr>
          <w:rStyle w:val="FootnoteReference"/>
          <w:sz w:val="24"/>
          <w:lang w:val="hu-HU"/>
        </w:rPr>
        <w:footnoteRef/>
      </w:r>
      <w:r w:rsidR="00166A70" w:rsidRPr="00166A70">
        <w:rPr>
          <w:sz w:val="24"/>
          <w:lang w:val="hu-HU"/>
        </w:rPr>
        <w:t xml:space="preserve"> </w:t>
      </w:r>
      <w:r w:rsidR="00166A70" w:rsidRPr="00166A70">
        <w:rPr>
          <w:sz w:val="24"/>
          <w:lang w:val="hu-HU"/>
        </w:rPr>
        <w:tab/>
      </w:r>
      <w:hyperlink r:id="rId13" w:history="1">
        <w:r w:rsidRPr="00166A70">
          <w:rPr>
            <w:rStyle w:val="Hyperlink"/>
            <w:sz w:val="24"/>
            <w:lang w:val="hu-HU"/>
          </w:rPr>
          <w:t>https://efsa.onlinelibrary.wiley.com/action/downloadSupplement?</w:t>
        </w:r>
        <w:r w:rsidRPr="00166A70">
          <w:rPr>
            <w:rStyle w:val="Hyperlink"/>
            <w:sz w:val="24"/>
            <w:lang w:val="hu-HU"/>
          </w:rPr>
          <w:br/>
          <w:t>doi=10.2903%2Fj.efsa.2023.8031&amp;file=efs28031-sup-0008-Annex8.pdf</w:t>
        </w:r>
      </w:hyperlink>
    </w:p>
  </w:footnote>
  <w:footnote w:id="16">
    <w:p w:rsidR="00B3779C" w:rsidRPr="00166A70" w:rsidRDefault="00B3779C">
      <w:pPr>
        <w:pStyle w:val="FootnoteText"/>
        <w:ind w:left="567" w:hanging="567"/>
        <w:rPr>
          <w:sz w:val="24"/>
          <w:lang w:val="hu-HU"/>
        </w:rPr>
      </w:pPr>
      <w:r w:rsidRPr="00166A70">
        <w:rPr>
          <w:rStyle w:val="FootnoteReference"/>
          <w:sz w:val="24"/>
          <w:lang w:val="hu-HU"/>
        </w:rPr>
        <w:footnoteRef/>
      </w:r>
      <w:r w:rsidR="00166A70" w:rsidRPr="00166A70">
        <w:rPr>
          <w:sz w:val="24"/>
          <w:lang w:val="hu-HU"/>
        </w:rPr>
        <w:t xml:space="preserve"> </w:t>
      </w:r>
      <w:r w:rsidR="00166A70" w:rsidRPr="00166A70">
        <w:rPr>
          <w:sz w:val="24"/>
          <w:lang w:val="hu-HU"/>
        </w:rPr>
        <w:tab/>
      </w:r>
      <w:r w:rsidRPr="00166A70">
        <w:rPr>
          <w:sz w:val="24"/>
          <w:lang w:val="hu-HU"/>
        </w:rPr>
        <w:t xml:space="preserve">A 182/2011/EU rendelet 6. cikkének (3) bekezdése </w:t>
      </w:r>
      <w:proofErr w:type="gramStart"/>
      <w:r w:rsidRPr="00166A70">
        <w:rPr>
          <w:sz w:val="24"/>
          <w:lang w:val="hu-HU"/>
        </w:rPr>
        <w:t>szerint</w:t>
      </w:r>
      <w:proofErr w:type="gramEnd"/>
      <w:r w:rsidRPr="00166A70">
        <w:rPr>
          <w:sz w:val="24"/>
          <w:lang w:val="hu-HU"/>
        </w:rPr>
        <w:t xml:space="preserve"> ha nincs meg a tagállamok minősített többsége a fellebbviteli bizottságban, az Európai Bizottság az engedélyezést „folytathatja”, nem pedig „köteles folytatni”.</w:t>
      </w:r>
    </w:p>
  </w:footnote>
  <w:footnote w:id="17">
    <w:p w:rsidR="00B3779C" w:rsidRPr="00166A70" w:rsidRDefault="00B3779C">
      <w:pPr>
        <w:pStyle w:val="FootnoteText"/>
        <w:ind w:left="567" w:hanging="567"/>
        <w:rPr>
          <w:sz w:val="24"/>
          <w:lang w:val="hu-HU"/>
        </w:rPr>
      </w:pPr>
      <w:r w:rsidRPr="00166A70">
        <w:rPr>
          <w:rStyle w:val="FootnoteReference"/>
          <w:sz w:val="24"/>
          <w:lang w:val="hu-HU"/>
        </w:rPr>
        <w:footnoteRef/>
      </w:r>
      <w:r w:rsidR="00166A70" w:rsidRPr="00166A70">
        <w:rPr>
          <w:sz w:val="24"/>
          <w:lang w:val="hu-HU"/>
        </w:rPr>
        <w:t xml:space="preserve"> </w:t>
      </w:r>
      <w:r w:rsidR="00166A70" w:rsidRPr="00166A70">
        <w:rPr>
          <w:sz w:val="24"/>
          <w:lang w:val="hu-HU"/>
        </w:rPr>
        <w:tab/>
      </w:r>
      <w:r w:rsidRPr="00166A70">
        <w:rPr>
          <w:sz w:val="24"/>
          <w:lang w:val="hu-HU"/>
        </w:rPr>
        <w:t>Az Európai Parlament és a Tanács 178/2002/EK rendelete (2002. január 28.) az élelmiszerjog általános elveiről és követelményeiről, az Európai Élelmiszerbiztonsági Hatóság létrehozásáról és az élelmiszerbiztonságra vonatkozó eljárások megállapításáról (HL L 31</w:t>
      </w:r>
      <w:proofErr w:type="gramStart"/>
      <w:r w:rsidRPr="00166A70">
        <w:rPr>
          <w:sz w:val="24"/>
          <w:lang w:val="hu-HU"/>
        </w:rPr>
        <w:t>.,</w:t>
      </w:r>
      <w:proofErr w:type="gramEnd"/>
      <w:r w:rsidRPr="00166A70">
        <w:rPr>
          <w:sz w:val="24"/>
          <w:lang w:val="hu-HU"/>
        </w:rPr>
        <w:t xml:space="preserve"> 2002.2.1., 1. o., ELI: </w:t>
      </w:r>
      <w:hyperlink r:id="rId14" w:tooltip="Az ELI (európai jogszabály-azonosító) URI-hivatkozása révén biztosít hozzáférést a dokumentumhoz." w:history="1">
        <w:r w:rsidRPr="00166A70">
          <w:rPr>
            <w:rStyle w:val="Hyperlink"/>
            <w:sz w:val="24"/>
            <w:lang w:val="hu-HU"/>
          </w:rPr>
          <w:t>http://data.europa.eu/eli/reg/2002/178/oj</w:t>
        </w:r>
      </w:hyperlink>
      <w:r w:rsidRPr="00166A70">
        <w:rPr>
          <w:sz w:val="24"/>
          <w:lang w:val="hu-HU"/>
        </w:rPr>
        <w:t>).</w:t>
      </w:r>
    </w:p>
  </w:footnote>
  <w:footnote w:id="18">
    <w:p w:rsidR="00B3779C" w:rsidRPr="00166A70" w:rsidRDefault="00B3779C">
      <w:pPr>
        <w:pStyle w:val="FootnoteText"/>
        <w:ind w:left="567" w:hanging="567"/>
        <w:rPr>
          <w:sz w:val="24"/>
          <w:lang w:val="hu-HU"/>
        </w:rPr>
      </w:pPr>
      <w:r w:rsidRPr="00166A70">
        <w:rPr>
          <w:rStyle w:val="FootnoteReference"/>
          <w:sz w:val="24"/>
          <w:lang w:val="hu-HU"/>
        </w:rPr>
        <w:footnoteRef/>
      </w:r>
      <w:r w:rsidR="00166A70" w:rsidRPr="00166A70">
        <w:rPr>
          <w:sz w:val="24"/>
          <w:lang w:val="hu-HU"/>
        </w:rPr>
        <w:t xml:space="preserve"> </w:t>
      </w:r>
      <w:r w:rsidR="00166A70" w:rsidRPr="00166A70">
        <w:rPr>
          <w:sz w:val="24"/>
          <w:lang w:val="hu-HU"/>
        </w:rPr>
        <w:tab/>
      </w:r>
      <w:hyperlink r:id="rId15" w:history="1">
        <w:r w:rsidRPr="00166A70">
          <w:rPr>
            <w:rStyle w:val="Hyperlink"/>
            <w:sz w:val="24"/>
            <w:lang w:val="hu-HU"/>
          </w:rPr>
          <w:t>https://tillymetz.lu/wp-content/uploads/2020/09/Co-signed-letter-MEP-Metz.pdf</w:t>
        </w:r>
      </w:hyperlink>
    </w:p>
  </w:footnote>
  <w:footnote w:id="19">
    <w:p w:rsidR="00B3779C" w:rsidRPr="00166A70" w:rsidRDefault="00B3779C">
      <w:pPr>
        <w:pStyle w:val="FootnoteText"/>
        <w:ind w:left="567" w:hanging="567"/>
        <w:rPr>
          <w:sz w:val="24"/>
          <w:lang w:val="hu-HU"/>
        </w:rPr>
      </w:pPr>
      <w:r w:rsidRPr="00166A70">
        <w:rPr>
          <w:rStyle w:val="FootnoteReference"/>
          <w:sz w:val="24"/>
          <w:lang w:val="hu-HU"/>
        </w:rPr>
        <w:footnoteRef/>
      </w:r>
      <w:r w:rsidR="00166A70" w:rsidRPr="00166A70">
        <w:rPr>
          <w:sz w:val="24"/>
          <w:lang w:val="hu-HU"/>
        </w:rPr>
        <w:t xml:space="preserve"> </w:t>
      </w:r>
      <w:r w:rsidR="00166A70" w:rsidRPr="00166A70">
        <w:rPr>
          <w:sz w:val="24"/>
          <w:lang w:val="hu-HU"/>
        </w:rPr>
        <w:tab/>
      </w:r>
      <w:r w:rsidRPr="00166A70">
        <w:rPr>
          <w:sz w:val="24"/>
          <w:lang w:val="hu-HU"/>
        </w:rPr>
        <w:t>Az Európai Parlament 2020. január 15-i állásfoglalása az európai zöld megállapodásról (HL C 270., 2021.7.7</w:t>
      </w:r>
      <w:proofErr w:type="gramStart"/>
      <w:r w:rsidRPr="00166A70">
        <w:rPr>
          <w:sz w:val="24"/>
          <w:lang w:val="hu-HU"/>
        </w:rPr>
        <w:t>.,</w:t>
      </w:r>
      <w:proofErr w:type="gramEnd"/>
      <w:r w:rsidRPr="00166A70">
        <w:rPr>
          <w:sz w:val="24"/>
          <w:lang w:val="hu-HU"/>
        </w:rPr>
        <w:t xml:space="preserve"> 2. o.), 102. bekezdés.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6A7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6A7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6A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5/2024"/>
    <w:docVar w:name="dvlangue" w:val="HU"/>
    <w:docVar w:name="dvnumam" w:val="0"/>
    <w:docVar w:name="dvpe" w:val="764.959"/>
    <w:docVar w:name="dvtitre" w:val="Az Európai Parlament 2024.  ...-i állásfoglalása a géntechnológiával módosított COT102 gyapotot tartalmazó, abból álló vagy abból előállított termékek forgalomba hozatalának az 1829/2003/EK európai parlamenti és tanácsi rendelet szerinti engedélyezéséről szóló bizottsági végrehajtási határozat tervezetéről(D098499/04 – 2024/2835(RSP))"/>
  </w:docVars>
  <w:rsids>
    <w:rsidRoot w:val="001A6E4A"/>
    <w:rsid w:val="00002272"/>
    <w:rsid w:val="00064002"/>
    <w:rsid w:val="000677B9"/>
    <w:rsid w:val="000831BA"/>
    <w:rsid w:val="000A42CC"/>
    <w:rsid w:val="000E6EF5"/>
    <w:rsid w:val="000E7DD9"/>
    <w:rsid w:val="0010095E"/>
    <w:rsid w:val="00125B37"/>
    <w:rsid w:val="00166A70"/>
    <w:rsid w:val="00187494"/>
    <w:rsid w:val="001A6E4A"/>
    <w:rsid w:val="001F32AE"/>
    <w:rsid w:val="002767FF"/>
    <w:rsid w:val="00293AA9"/>
    <w:rsid w:val="002B18FE"/>
    <w:rsid w:val="002B5493"/>
    <w:rsid w:val="00343214"/>
    <w:rsid w:val="00361C00"/>
    <w:rsid w:val="00395FA1"/>
    <w:rsid w:val="003E15D4"/>
    <w:rsid w:val="00411CCE"/>
    <w:rsid w:val="0041666E"/>
    <w:rsid w:val="00421060"/>
    <w:rsid w:val="00471C19"/>
    <w:rsid w:val="004867E3"/>
    <w:rsid w:val="00494A28"/>
    <w:rsid w:val="004B04FB"/>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0E54"/>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779C"/>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42D4"/>
    <w:rsid w:val="00E820A4"/>
    <w:rsid w:val="00EB006A"/>
    <w:rsid w:val="00EB4772"/>
    <w:rsid w:val="00EC1103"/>
    <w:rsid w:val="00ED169E"/>
    <w:rsid w:val="00ED4235"/>
    <w:rsid w:val="00F04346"/>
    <w:rsid w:val="00F05E45"/>
    <w:rsid w:val="00F075DC"/>
    <w:rsid w:val="00F149E9"/>
    <w:rsid w:val="00F5134D"/>
    <w:rsid w:val="00F74202"/>
    <w:rsid w:val="00F87713"/>
    <w:rsid w:val="00FB4360"/>
    <w:rsid w:val="00FD0C70"/>
    <w:rsid w:val="00FD56E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B75F9"/>
  <w15:chartTrackingRefBased/>
  <w15:docId w15:val="{81BEBC1F-DEE6-4011-80A2-D2885517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3779C"/>
    <w:pPr>
      <w:spacing w:before="480" w:after="240"/>
    </w:pPr>
  </w:style>
  <w:style w:type="paragraph" w:customStyle="1" w:styleId="NormalBold12a">
    <w:name w:val="NormalBold12a"/>
    <w:basedOn w:val="Normal"/>
    <w:rsid w:val="00B3779C"/>
    <w:pPr>
      <w:spacing w:after="240"/>
    </w:pPr>
    <w:rPr>
      <w:b/>
    </w:rPr>
  </w:style>
  <w:style w:type="paragraph" w:customStyle="1" w:styleId="NormalHanging12a">
    <w:name w:val="NormalHanging12a"/>
    <w:basedOn w:val="Normal"/>
    <w:rsid w:val="00B3779C"/>
    <w:pPr>
      <w:spacing w:after="240"/>
      <w:ind w:left="567" w:hanging="567"/>
    </w:pPr>
  </w:style>
  <w:style w:type="character" w:styleId="Hyperlink">
    <w:name w:val="Hyperlink"/>
    <w:basedOn w:val="DefaultParagraphFont"/>
    <w:uiPriority w:val="99"/>
    <w:rsid w:val="00B3779C"/>
    <w:rPr>
      <w:color w:val="0563C1" w:themeColor="hyperlink"/>
      <w:u w:val="single"/>
    </w:rPr>
  </w:style>
  <w:style w:type="paragraph" w:styleId="BalloonText">
    <w:name w:val="Balloon Text"/>
    <w:basedOn w:val="Normal"/>
    <w:link w:val="BalloonTextChar"/>
    <w:rsid w:val="004B04FB"/>
    <w:rPr>
      <w:rFonts w:ascii="Segoe UI" w:hAnsi="Segoe UI" w:cs="Segoe UI"/>
      <w:sz w:val="18"/>
      <w:szCs w:val="18"/>
    </w:rPr>
  </w:style>
  <w:style w:type="character" w:customStyle="1" w:styleId="BalloonTextChar">
    <w:name w:val="Balloon Text Char"/>
    <w:basedOn w:val="DefaultParagraphFont"/>
    <w:link w:val="BalloonText"/>
    <w:rsid w:val="004B04FB"/>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efsa.onlinelibrary.wiley.com/action/downloadSupplement?doi=10.2903/j.efsa.2023.8031&amp;file=efs28031-sup-0008-Annex8.pdf" TargetMode="External"/><Relationship Id="rId3" Type="http://schemas.openxmlformats.org/officeDocument/2006/relationships/hyperlink" Target="http://data.europa.eu/eli/reg/2011/182/oj" TargetMode="External"/><Relationship Id="rId7" Type="http://schemas.openxmlformats.org/officeDocument/2006/relationships/hyperlink" Target="https://doi.org/10.3389/fenvs.2015.00071" TargetMode="External"/><Relationship Id="rId12" Type="http://schemas.openxmlformats.org/officeDocument/2006/relationships/hyperlink" Target="https://www.who.int/campaigns/world-amr-awareness-week/2024/amr-is-invisible-i-am-not"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2627/oj" TargetMode="External"/><Relationship Id="rId6" Type="http://schemas.openxmlformats.org/officeDocument/2006/relationships/hyperlink" Target="https://onlinelibrary.wiley.com/doi/full/10.1002/jat.3252" TargetMode="External"/><Relationship Id="rId11" Type="http://schemas.openxmlformats.org/officeDocument/2006/relationships/hyperlink" Target="http://data.europa.eu/eli/reg_impl/2013/503/oj" TargetMode="External"/><Relationship Id="rId5" Type="http://schemas.openxmlformats.org/officeDocument/2006/relationships/hyperlink" Target="https://pubs.acs.org/doi/abs/10.1021/jf00094a051" TargetMode="External"/><Relationship Id="rId15" Type="http://schemas.openxmlformats.org/officeDocument/2006/relationships/hyperlink" Target="https://tillymetz.lu/wp-content/uploads/2020/09/Co-signed-letter-MEP-Metz.pdf" TargetMode="External"/><Relationship Id="rId10" Type="http://schemas.openxmlformats.org/officeDocument/2006/relationships/hyperlink" Target="http://data.europa.eu/eli/dir/2001/18/oj" TargetMode="External"/><Relationship Id="rId4" Type="http://schemas.openxmlformats.org/officeDocument/2006/relationships/hyperlink" Target="https://doi.org/10.2903/j.efsa.2023.8031" TargetMode="External"/><Relationship Id="rId9" Type="http://schemas.openxmlformats.org/officeDocument/2006/relationships/hyperlink" Target="https://commission.europa.eu/document/2c64e540-c07a-4376-a1da-368d289f4afe_en" TargetMode="External"/><Relationship Id="rId14"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90464-5E5D-4978-B30B-3C99E55AB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1732</Words>
  <Characters>12783</Characters>
  <Application>Microsoft Office Word</Application>
  <DocSecurity>0</DocSecurity>
  <Lines>106</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2</cp:revision>
  <cp:lastPrinted>2004-11-19T15:42:00Z</cp:lastPrinted>
  <dcterms:created xsi:type="dcterms:W3CDTF">2024-11-26T11:29:00Z</dcterms:created>
  <dcterms:modified xsi:type="dcterms:W3CDTF">2024-11-26T11:29:00Z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B10-0145/2024</vt:lpwstr>
  </property>
  <property fmtid="{D5CDD505-2E9C-101B-9397-08002B2CF9AE}" pid="4" name="&lt;Type&gt;">
    <vt:lpwstr>RR</vt:lpwstr>
  </property>
</Properties>
</file>