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670793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751A4A" w:rsidRPr="00670793" w:rsidRDefault="00A812BA" w:rsidP="0010095E">
            <w:pPr>
              <w:pStyle w:val="EPName"/>
            </w:pPr>
            <w:r w:rsidRPr="00670793">
              <w:t>Parlament Europejski</w:t>
            </w:r>
          </w:p>
          <w:p w:rsidR="00751A4A" w:rsidRPr="00670793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670793">
              <w:t>2024</w:t>
            </w:r>
            <w:r w:rsidR="00817416" w:rsidRPr="00670793">
              <w:t>-202</w:t>
            </w:r>
            <w:r w:rsidRPr="00670793">
              <w:t>9</w:t>
            </w:r>
          </w:p>
        </w:tc>
        <w:tc>
          <w:tcPr>
            <w:tcW w:w="2268" w:type="dxa"/>
            <w:shd w:val="clear" w:color="auto" w:fill="auto"/>
          </w:tcPr>
          <w:p w:rsidR="00751A4A" w:rsidRPr="00670793" w:rsidRDefault="00187494" w:rsidP="0010095E">
            <w:pPr>
              <w:pStyle w:val="EPLogo"/>
            </w:pPr>
            <w:r w:rsidRPr="00670793">
              <w:rPr>
                <w:noProof/>
                <w:lang w:val="en-GB"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058B8" w:rsidRPr="00670793" w:rsidRDefault="00D058B8" w:rsidP="004C5D52">
      <w:pPr>
        <w:pStyle w:val="LineTop"/>
      </w:pPr>
    </w:p>
    <w:p w:rsidR="00680577" w:rsidRPr="00670793" w:rsidRDefault="00A812BA" w:rsidP="00680577">
      <w:pPr>
        <w:pStyle w:val="EPBodyTA1"/>
      </w:pPr>
      <w:r w:rsidRPr="00670793">
        <w:t>TEKSTY PRZYJĘTE</w:t>
      </w:r>
    </w:p>
    <w:p w:rsidR="00D058B8" w:rsidRPr="00670793" w:rsidRDefault="00D058B8" w:rsidP="00D058B8">
      <w:pPr>
        <w:pStyle w:val="LineBottom"/>
      </w:pPr>
    </w:p>
    <w:p w:rsidR="00A812BA" w:rsidRPr="00670793" w:rsidRDefault="00A812BA" w:rsidP="00A812BA">
      <w:pPr>
        <w:pStyle w:val="ATHeading1"/>
      </w:pPr>
      <w:bookmarkStart w:id="0" w:name="TANumber"/>
      <w:r w:rsidRPr="00670793">
        <w:t>P10_TA(2024)00</w:t>
      </w:r>
      <w:bookmarkEnd w:id="0"/>
      <w:r w:rsidR="005F469A">
        <w:t>39</w:t>
      </w:r>
      <w:bookmarkStart w:id="1" w:name="_GoBack"/>
      <w:bookmarkEnd w:id="1"/>
    </w:p>
    <w:p w:rsidR="00A812BA" w:rsidRPr="00B82D0D" w:rsidRDefault="00B82D0D" w:rsidP="00A812BA">
      <w:pPr>
        <w:pStyle w:val="ATHeading2"/>
      </w:pPr>
      <w:r>
        <w:rPr>
          <w:bCs/>
        </w:rPr>
        <w:t>G</w:t>
      </w:r>
      <w:r w:rsidRPr="00B82D0D">
        <w:rPr>
          <w:bCs/>
        </w:rPr>
        <w:t>enetycznie zmodyfikowana bawełna COT102</w:t>
      </w:r>
    </w:p>
    <w:p w:rsidR="00A812BA" w:rsidRPr="00670793" w:rsidRDefault="00A812BA" w:rsidP="00A812BA">
      <w:pPr>
        <w:rPr>
          <w:i/>
          <w:vanish/>
        </w:rPr>
      </w:pPr>
      <w:r w:rsidRPr="00670793">
        <w:rPr>
          <w:i/>
        </w:rPr>
        <w:fldChar w:fldCharType="begin"/>
      </w:r>
      <w:r w:rsidRPr="00670793">
        <w:rPr>
          <w:i/>
        </w:rPr>
        <w:instrText xml:space="preserve"> TC"(</w:instrText>
      </w:r>
      <w:bookmarkStart w:id="2" w:name="DocNumber"/>
      <w:r w:rsidRPr="00670793">
        <w:rPr>
          <w:i/>
        </w:rPr>
        <w:instrText>B</w:instrText>
      </w:r>
      <w:proofErr w:type="gramStart"/>
      <w:r w:rsidRPr="00670793">
        <w:rPr>
          <w:i/>
        </w:rPr>
        <w:instrText>10-0145/2024</w:instrText>
      </w:r>
      <w:bookmarkEnd w:id="2"/>
      <w:r w:rsidRPr="00670793">
        <w:rPr>
          <w:i/>
        </w:rPr>
        <w:instrText>)"\l</w:instrText>
      </w:r>
      <w:proofErr w:type="gramEnd"/>
      <w:r w:rsidRPr="00670793">
        <w:rPr>
          <w:i/>
        </w:rPr>
        <w:instrText xml:space="preserve">3 \n&gt; \* MERGEFORMAT </w:instrText>
      </w:r>
      <w:r w:rsidRPr="00670793">
        <w:rPr>
          <w:i/>
        </w:rPr>
        <w:fldChar w:fldCharType="end"/>
      </w:r>
    </w:p>
    <w:p w:rsidR="00A812BA" w:rsidRPr="00670793" w:rsidRDefault="00A812BA" w:rsidP="00A812BA">
      <w:pPr>
        <w:rPr>
          <w:vanish/>
        </w:rPr>
      </w:pPr>
      <w:bookmarkStart w:id="3" w:name="PE"/>
      <w:r w:rsidRPr="00670793">
        <w:rPr>
          <w:vanish/>
        </w:rPr>
        <w:t>PE764.959</w:t>
      </w:r>
      <w:bookmarkEnd w:id="3"/>
    </w:p>
    <w:p w:rsidR="00A812BA" w:rsidRPr="00670793" w:rsidRDefault="00A812BA" w:rsidP="00A812BA">
      <w:pPr>
        <w:pStyle w:val="ATHeading3"/>
      </w:pPr>
      <w:bookmarkStart w:id="4" w:name="Sujet"/>
      <w:r w:rsidRPr="00670793">
        <w:t xml:space="preserve">Rezolucja Parlamentu Europejskiego z dnia </w:t>
      </w:r>
      <w:r w:rsidR="00B82D0D">
        <w:t xml:space="preserve">26 listopada 2024 r. w sprawie </w:t>
      </w:r>
      <w:r w:rsidRPr="00670793">
        <w:t xml:space="preserve">decyzji wykonawczej Komisji </w:t>
      </w:r>
      <w:r w:rsidR="00B82D0D">
        <w:t xml:space="preserve">(UE) 2024/2627 </w:t>
      </w:r>
      <w:r w:rsidRPr="00670793">
        <w:t>zezwalającej na wprowadzenie do obrotu na mocy rozporządzenia (WE) nr 1829/2003 Parlamentu Europejskiego i Rady produktów zawierających genetycznie zmodyfikowaną bawełnę COT102, składających się z niej lub z niej wyprodukowanych</w:t>
      </w:r>
      <w:bookmarkEnd w:id="4"/>
      <w:r w:rsidRPr="00670793">
        <w:t xml:space="preserve"> </w:t>
      </w:r>
      <w:bookmarkStart w:id="5" w:name="References"/>
      <w:r w:rsidR="006574CF">
        <w:t>(</w:t>
      </w:r>
      <w:r w:rsidRPr="00670793">
        <w:t>2024/2835(RSP))</w:t>
      </w:r>
      <w:bookmarkEnd w:id="5"/>
    </w:p>
    <w:p w:rsidR="00A812BA" w:rsidRPr="00670793" w:rsidRDefault="00A812BA" w:rsidP="00A812BA"/>
    <w:p w:rsidR="00133298" w:rsidRPr="00670793" w:rsidRDefault="00133298" w:rsidP="00133298">
      <w:pPr>
        <w:pStyle w:val="EPComma"/>
      </w:pPr>
      <w:bookmarkStart w:id="6" w:name="TextBodyBegin"/>
      <w:bookmarkEnd w:id="6"/>
      <w:r w:rsidRPr="00670793">
        <w:rPr>
          <w:i/>
        </w:rPr>
        <w:t>Parlament Europejski</w:t>
      </w:r>
      <w:r w:rsidRPr="00670793">
        <w:t>,</w:t>
      </w:r>
    </w:p>
    <w:p w:rsidR="00133298" w:rsidRPr="00670793" w:rsidRDefault="00B82D0D" w:rsidP="00133298">
      <w:pPr>
        <w:pStyle w:val="NormalHanging12a"/>
        <w:rPr>
          <w:szCs w:val="24"/>
        </w:rPr>
      </w:pPr>
      <w:r>
        <w:t>–</w:t>
      </w:r>
      <w:r>
        <w:tab/>
        <w:t>uwzględniając decyzję</w:t>
      </w:r>
      <w:r w:rsidR="00133298" w:rsidRPr="00670793">
        <w:t xml:space="preserve"> wykon</w:t>
      </w:r>
      <w:r>
        <w:t>awczą Komisji (UE) 2024/2627 zezwalającą</w:t>
      </w:r>
      <w:r w:rsidR="00133298" w:rsidRPr="00670793">
        <w:t xml:space="preserve"> na wprowadzenie do obrotu na mocy rozporządzenia (WE) nr 1829/2003 Parlamentu Europejskiego i Rady produktów zawierających genetycznie zmodyfikowaną bawełnę COT102, składających się z niej lub z niej wyprodukowanych (D098499/04)</w:t>
      </w:r>
      <w:r w:rsidRPr="00B82D0D">
        <w:rPr>
          <w:vertAlign w:val="superscript"/>
          <w:lang w:val="en-GB"/>
        </w:rPr>
        <w:footnoteReference w:id="1"/>
      </w:r>
      <w:r w:rsidR="00133298" w:rsidRPr="00670793">
        <w:t>,</w:t>
      </w:r>
    </w:p>
    <w:p w:rsidR="00133298" w:rsidRPr="00670793" w:rsidRDefault="00133298" w:rsidP="00133298">
      <w:pPr>
        <w:pStyle w:val="NormalHanging12a"/>
        <w:rPr>
          <w:szCs w:val="24"/>
        </w:rPr>
      </w:pPr>
      <w:r w:rsidRPr="00670793">
        <w:t>–</w:t>
      </w:r>
      <w:r w:rsidRPr="00670793">
        <w:tab/>
        <w:t>uwzględniając rozporządzenie Parlamentu Europejskiego i Rady (WE) nr 1829/2003 z dnia 22 września 2003 r. w sprawie genetycznie zmodyfikowanej żywności i paszy</w:t>
      </w:r>
      <w:r w:rsidRPr="00670793">
        <w:rPr>
          <w:rStyle w:val="FootnoteReference"/>
          <w:szCs w:val="24"/>
        </w:rPr>
        <w:footnoteReference w:id="2"/>
      </w:r>
      <w:r w:rsidRPr="00670793">
        <w:t>, w szczególności jego art. 7 ust. 3 i art. 19 ust. 3,</w:t>
      </w:r>
    </w:p>
    <w:p w:rsidR="00133298" w:rsidRPr="00670793" w:rsidRDefault="00133298" w:rsidP="00133298">
      <w:pPr>
        <w:pStyle w:val="NormalHanging12a"/>
        <w:rPr>
          <w:szCs w:val="24"/>
        </w:rPr>
      </w:pPr>
      <w:r w:rsidRPr="00670793">
        <w:t>–</w:t>
      </w:r>
      <w:r w:rsidRPr="00670793">
        <w:tab/>
        <w:t xml:space="preserve">uwzględniając </w:t>
      </w:r>
      <w:r w:rsidRPr="00670793">
        <w:rPr>
          <w:shd w:val="clear" w:color="auto" w:fill="FFFFFF"/>
        </w:rPr>
        <w:t>głosowanie – bez wydania opinii – przeprowadzone 8 lipca 2024 r. przez Stały Komitet ds. Roślin, Zwierząt, Żywności i Pasz, o którym mowa w art. 35 rozporządzenia (WE) nr 1829/2003, oraz głosowanie komitetu odwoławczego 3 września 2024 r., w wyniku którego również nie</w:t>
      </w:r>
      <w:r w:rsidRPr="00670793">
        <w:t xml:space="preserve"> wydano opinii,</w:t>
      </w:r>
    </w:p>
    <w:p w:rsidR="00133298" w:rsidRPr="00670793" w:rsidRDefault="00133298" w:rsidP="00133298">
      <w:pPr>
        <w:pStyle w:val="NormalHanging12a"/>
        <w:rPr>
          <w:szCs w:val="24"/>
        </w:rPr>
      </w:pPr>
      <w:r w:rsidRPr="00670793">
        <w:t>–</w:t>
      </w:r>
      <w:r w:rsidRPr="00670793">
        <w:tab/>
        <w:t>uwzględniając art. 11 rozporządzenia Parlamentu Europejskiego i Rady (UE) nr 182/2011 z dnia 16 lutego 2011 r. ustanawiającego przepisy i zasady ogólne dotyczące trybu kontroli przez państwa członkowskie wykonywania uprawnień wykonawczych przez Komisję</w:t>
      </w:r>
      <w:r w:rsidRPr="00670793">
        <w:rPr>
          <w:rStyle w:val="FootnoteReference"/>
          <w:szCs w:val="24"/>
        </w:rPr>
        <w:footnoteReference w:id="3"/>
      </w:r>
      <w:r w:rsidRPr="00670793">
        <w:t>,</w:t>
      </w:r>
    </w:p>
    <w:p w:rsidR="00133298" w:rsidRPr="00670793" w:rsidRDefault="00133298" w:rsidP="00133298">
      <w:pPr>
        <w:pStyle w:val="NormalHanging12a"/>
        <w:rPr>
          <w:szCs w:val="24"/>
        </w:rPr>
      </w:pPr>
      <w:r w:rsidRPr="00670793">
        <w:t>–</w:t>
      </w:r>
      <w:r w:rsidRPr="00670793">
        <w:tab/>
        <w:t xml:space="preserve">uwzględniając opinię Europejskiego Urzędu ds. Bezpieczeństwa Żywności (EFSA) </w:t>
      </w:r>
      <w:r w:rsidRPr="00670793">
        <w:lastRenderedPageBreak/>
        <w:t>z dnia 10 maja 2023 r., opublikowaną 26 czerwca 2023 r.</w:t>
      </w:r>
      <w:r w:rsidRPr="00670793">
        <w:rPr>
          <w:rStyle w:val="FootnoteReference"/>
          <w:szCs w:val="24"/>
        </w:rPr>
        <w:footnoteReference w:id="4"/>
      </w:r>
      <w:r w:rsidRPr="00670793">
        <w:t>,</w:t>
      </w:r>
    </w:p>
    <w:p w:rsidR="00133298" w:rsidRPr="00670793" w:rsidRDefault="00133298" w:rsidP="00133298">
      <w:pPr>
        <w:pStyle w:val="NormalHanging12a"/>
        <w:rPr>
          <w:szCs w:val="24"/>
          <w:shd w:val="clear" w:color="auto" w:fill="FFFFFF"/>
        </w:rPr>
      </w:pPr>
      <w:r w:rsidRPr="00670793">
        <w:t>–</w:t>
      </w:r>
      <w:r w:rsidRPr="00670793">
        <w:rPr>
          <w:shd w:val="clear" w:color="auto" w:fill="FFFFFF"/>
        </w:rPr>
        <w:tab/>
        <w:t>uwzględniając swoje wcześniejsze rezolucje zawierające sprzeciw wobec zatwierdzania organizmów zmodyfikowanych genetycznie (GMO)</w:t>
      </w:r>
      <w:r w:rsidRPr="00670793">
        <w:rPr>
          <w:szCs w:val="24"/>
          <w:shd w:val="clear" w:color="auto" w:fill="FFFFFF"/>
          <w:vertAlign w:val="superscript"/>
        </w:rPr>
        <w:footnoteReference w:id="5"/>
      </w:r>
      <w:r w:rsidRPr="00670793">
        <w:rPr>
          <w:shd w:val="clear" w:color="auto" w:fill="FFFFFF"/>
        </w:rPr>
        <w:t>,</w:t>
      </w:r>
    </w:p>
    <w:p w:rsidR="00133298" w:rsidRPr="00670793" w:rsidRDefault="00133298" w:rsidP="00133298">
      <w:pPr>
        <w:pStyle w:val="NormalHanging12a"/>
        <w:rPr>
          <w:szCs w:val="24"/>
        </w:rPr>
      </w:pPr>
      <w:r w:rsidRPr="00670793">
        <w:t>–</w:t>
      </w:r>
      <w:r w:rsidRPr="00670793">
        <w:tab/>
        <w:t>uwzględniając art. 115 ust. 2 i 3 Regulaminu,</w:t>
      </w:r>
    </w:p>
    <w:p w:rsidR="00133298" w:rsidRPr="00670793" w:rsidRDefault="00133298" w:rsidP="00133298">
      <w:pPr>
        <w:pStyle w:val="NormalHanging12a"/>
        <w:rPr>
          <w:szCs w:val="24"/>
        </w:rPr>
      </w:pPr>
      <w:r w:rsidRPr="00670793">
        <w:t>–</w:t>
      </w:r>
      <w:r w:rsidRPr="00670793">
        <w:tab/>
        <w:t>uwzględniając projekt rezolucji Komisji Ochrony Środowiska Naturalnego, Zdrowia Publicznego i Bezpieczeństwa Żywności,</w:t>
      </w:r>
    </w:p>
    <w:p w:rsidR="00133298" w:rsidRPr="00670793" w:rsidRDefault="00133298" w:rsidP="00133298">
      <w:pPr>
        <w:pStyle w:val="NormalHanging12a"/>
        <w:rPr>
          <w:szCs w:val="24"/>
        </w:rPr>
      </w:pPr>
      <w:r w:rsidRPr="00670793">
        <w:t>A.</w:t>
      </w:r>
      <w:r w:rsidRPr="00670793">
        <w:tab/>
      </w:r>
      <w:proofErr w:type="gramStart"/>
      <w:r w:rsidRPr="00670793">
        <w:t>mając</w:t>
      </w:r>
      <w:proofErr w:type="gramEnd"/>
      <w:r w:rsidRPr="00670793">
        <w:t xml:space="preserve"> na uwadze, że 31 marca 2017 r., zgodnie z art. 5 i 17 rozporządzenia (WE) nr 1829/2003, przedsiębiorstwo Syngenta </w:t>
      </w:r>
      <w:proofErr w:type="spellStart"/>
      <w:r w:rsidRPr="00670793">
        <w:t>Crop</w:t>
      </w:r>
      <w:proofErr w:type="spellEnd"/>
      <w:r w:rsidRPr="00670793">
        <w:t xml:space="preserve"> </w:t>
      </w:r>
      <w:proofErr w:type="spellStart"/>
      <w:r w:rsidRPr="00670793">
        <w:t>Protection</w:t>
      </w:r>
      <w:proofErr w:type="spellEnd"/>
      <w:r w:rsidRPr="00670793">
        <w:t xml:space="preserve"> NV/SA z siedzibą w Belgii zwróciło się, w imieniu przedsiębiorstwa Syngenta </w:t>
      </w:r>
      <w:proofErr w:type="spellStart"/>
      <w:r w:rsidRPr="00670793">
        <w:t>Crop</w:t>
      </w:r>
      <w:proofErr w:type="spellEnd"/>
      <w:r w:rsidRPr="00670793">
        <w:t xml:space="preserve"> </w:t>
      </w:r>
      <w:proofErr w:type="spellStart"/>
      <w:r w:rsidRPr="00670793">
        <w:t>Protection</w:t>
      </w:r>
      <w:proofErr w:type="spellEnd"/>
      <w:r w:rsidRPr="00670793">
        <w:t xml:space="preserve"> AG z siedzibą w Szwajcarii, do właściwego organu Niemiec z wnioskiem dotyczącym wprowadzenia do obrotu żywności, składników żywności i paszy zawierających genetycznie zmodyfikowaną bawełnę COT102, składających się z niej lub z niej wyprodukowanych („wniosek”); mając na uwadze, że wniosek ten odnosił się również do wprowadzenia do obrotu produktów zawierających genetycznie zmodyfikowaną bawełnę lub składających się z niej do zastosowań innych niż żywność i pasza, z wyjątkiem uprawy; </w:t>
      </w:r>
    </w:p>
    <w:p w:rsidR="00133298" w:rsidRPr="00670793" w:rsidRDefault="00133298" w:rsidP="00133298">
      <w:pPr>
        <w:pStyle w:val="NormalHanging12a"/>
        <w:rPr>
          <w:szCs w:val="24"/>
        </w:rPr>
      </w:pPr>
      <w:r w:rsidRPr="00670793">
        <w:t>B.</w:t>
      </w:r>
      <w:r w:rsidRPr="00670793">
        <w:tab/>
        <w:t>mając na uwadze, że 10 maja 2023 r. EFSA wydał pozytywną opinię, opublikowaną 26 czerwca 2023 r., w której stwierdził, że genetycznie zmodyfikowana bawełna jest równie bezpieczna jak jej niezmodyfikowany genetycznie odpowiednik i jak przebadane odmiany bawełny niezmodyfikowanej genetycznie pod względem potencjalnego wpływu na zdrowie ludzi i zwierząt oraz na środowisko;</w:t>
      </w:r>
    </w:p>
    <w:p w:rsidR="00133298" w:rsidRPr="00670793" w:rsidRDefault="00133298" w:rsidP="00133298">
      <w:pPr>
        <w:pStyle w:val="NormalHanging12a"/>
        <w:rPr>
          <w:szCs w:val="24"/>
        </w:rPr>
      </w:pPr>
      <w:r w:rsidRPr="00670793">
        <w:t>C.</w:t>
      </w:r>
      <w:r w:rsidRPr="00670793">
        <w:tab/>
      </w:r>
      <w:proofErr w:type="gramStart"/>
      <w:r w:rsidRPr="00670793">
        <w:t>mając</w:t>
      </w:r>
      <w:proofErr w:type="gramEnd"/>
      <w:r w:rsidRPr="00670793">
        <w:t xml:space="preserve"> na uwadze, że genetycznie zmodyfikowana bawełna zawiera geny wytwarzające białka owadobójcze („toksyny </w:t>
      </w:r>
      <w:proofErr w:type="spellStart"/>
      <w:r w:rsidRPr="00670793">
        <w:t>Bt</w:t>
      </w:r>
      <w:proofErr w:type="spellEnd"/>
      <w:r w:rsidRPr="00670793">
        <w:t>”) i gen markerowy kodujący oporność na antybiotyki;</w:t>
      </w:r>
    </w:p>
    <w:p w:rsidR="00133298" w:rsidRPr="00670793" w:rsidRDefault="00133298" w:rsidP="00133298">
      <w:pPr>
        <w:pStyle w:val="NormalHanging12a"/>
        <w:rPr>
          <w:szCs w:val="24"/>
        </w:rPr>
      </w:pPr>
      <w:r w:rsidRPr="00670793">
        <w:t>D.</w:t>
      </w:r>
      <w:r w:rsidRPr="00670793">
        <w:tab/>
      </w:r>
      <w:proofErr w:type="gramStart"/>
      <w:r w:rsidRPr="00670793">
        <w:t>mając</w:t>
      </w:r>
      <w:proofErr w:type="gramEnd"/>
      <w:r w:rsidRPr="00670793">
        <w:t xml:space="preserve"> na uwadze, że olej z nasion bawełny może być stosowany w produkcji szerokiej gamy produktów spożywczych, takich jak dressingi, majonez, drobne wyroby piekarnicze, czekolada do smarowania i chipsy; mając na uwadze, że spożycie mąki z nasion bawełny jest najbardziej prawdopodobnym sposobem, w jaki ludzie mogą być narażeni na działanie dwóch białek powstałych w wyniku modyfikacji genetycznej; mając na uwadze, że bawełna jest powszechnie stosowana w paszach dla zwierząt w postaci </w:t>
      </w:r>
      <w:proofErr w:type="spellStart"/>
      <w:r w:rsidRPr="00670793">
        <w:t>niedelinterowanych</w:t>
      </w:r>
      <w:proofErr w:type="spellEnd"/>
      <w:r w:rsidRPr="00670793">
        <w:t xml:space="preserve"> nasion i mączki; </w:t>
      </w:r>
    </w:p>
    <w:p w:rsidR="00133298" w:rsidRPr="00670793" w:rsidRDefault="00133298" w:rsidP="00133298">
      <w:pPr>
        <w:pStyle w:val="NormalHanging12a"/>
        <w:rPr>
          <w:b/>
          <w:i/>
        </w:rPr>
      </w:pPr>
      <w:r w:rsidRPr="00670793">
        <w:rPr>
          <w:b/>
          <w:i/>
        </w:rPr>
        <w:t xml:space="preserve">Nierozstrzygnięte kwestie dotyczące toksyn </w:t>
      </w:r>
      <w:proofErr w:type="spellStart"/>
      <w:r w:rsidRPr="00670793">
        <w:rPr>
          <w:b/>
          <w:i/>
        </w:rPr>
        <w:t>Bt</w:t>
      </w:r>
      <w:proofErr w:type="spellEnd"/>
    </w:p>
    <w:p w:rsidR="00133298" w:rsidRPr="00670793" w:rsidRDefault="00133298" w:rsidP="00133298">
      <w:pPr>
        <w:pStyle w:val="NormalHanging12a"/>
        <w:rPr>
          <w:szCs w:val="24"/>
        </w:rPr>
      </w:pPr>
      <w:r w:rsidRPr="00670793">
        <w:t>E.</w:t>
      </w:r>
      <w:r w:rsidRPr="00670793">
        <w:tab/>
      </w:r>
      <w:proofErr w:type="gramStart"/>
      <w:r w:rsidRPr="00670793">
        <w:t>mając</w:t>
      </w:r>
      <w:proofErr w:type="gramEnd"/>
      <w:r w:rsidRPr="00670793">
        <w:t xml:space="preserve"> na uwadze, że toksyczność toksyn </w:t>
      </w:r>
      <w:proofErr w:type="spellStart"/>
      <w:r w:rsidRPr="00670793">
        <w:t>Bt</w:t>
      </w:r>
      <w:proofErr w:type="spellEnd"/>
      <w:r w:rsidRPr="00670793">
        <w:t xml:space="preserve"> oceniono na podstawie badań </w:t>
      </w:r>
      <w:proofErr w:type="gramStart"/>
      <w:r w:rsidRPr="00670793">
        <w:t>żywieniowych</w:t>
      </w:r>
      <w:proofErr w:type="gramEnd"/>
      <w:r w:rsidRPr="00670793">
        <w:t xml:space="preserve">, z wykorzystaniem wyłącznie wyizolowanych białek </w:t>
      </w:r>
      <w:proofErr w:type="spellStart"/>
      <w:r w:rsidRPr="00670793">
        <w:t>Bt</w:t>
      </w:r>
      <w:proofErr w:type="spellEnd"/>
      <w:r w:rsidRPr="00670793">
        <w:t xml:space="preserve"> wytwarzanych przez bakterie; mając na uwadze, że do badań toksykologicznych prowadzonych na wyizolowanych białkach nie można przywiązywać dużej wagi, gdyż toksyny </w:t>
      </w:r>
      <w:proofErr w:type="spellStart"/>
      <w:r w:rsidRPr="00670793">
        <w:t>Bt</w:t>
      </w:r>
      <w:proofErr w:type="spellEnd"/>
      <w:r w:rsidRPr="00670793">
        <w:t xml:space="preserve"> w roślinach uprawnych zmodyfikowanych genetycznie, takich jak kukurydza, bawełna i soja, są z natury bardziej toksyczne niż wyizolowane toksyny </w:t>
      </w:r>
      <w:proofErr w:type="spellStart"/>
      <w:r w:rsidRPr="00670793">
        <w:t>Bt</w:t>
      </w:r>
      <w:proofErr w:type="spellEnd"/>
      <w:r w:rsidRPr="00670793">
        <w:t xml:space="preserve">; mając na uwadze, że </w:t>
      </w:r>
      <w:r w:rsidRPr="00670793">
        <w:lastRenderedPageBreak/>
        <w:t xml:space="preserve">wynika to stąd, iż inhibitory proteazy (PI) obecne w tkankach roślinnych mogą zwiększać toksyczność toksyn </w:t>
      </w:r>
      <w:proofErr w:type="spellStart"/>
      <w:r w:rsidRPr="00670793">
        <w:t>Bt</w:t>
      </w:r>
      <w:proofErr w:type="spellEnd"/>
      <w:r w:rsidRPr="00670793">
        <w:t xml:space="preserve">, opóźniając ich rozpad; mając na uwadze, że zjawisko to wykazano w wielu badaniach, w tym w badaniu przeprowadzonym dla przedsiębiorstwa </w:t>
      </w:r>
      <w:proofErr w:type="spellStart"/>
      <w:r w:rsidRPr="00670793">
        <w:t>Monsanto</w:t>
      </w:r>
      <w:proofErr w:type="spellEnd"/>
      <w:r w:rsidRPr="00670793">
        <w:t xml:space="preserve"> – wykazano w nim, że nawet skrajnie niski poziom inhibitorów proteazy </w:t>
      </w:r>
      <w:proofErr w:type="gramStart"/>
      <w:r w:rsidRPr="00670793">
        <w:t>zwiększa</w:t>
      </w:r>
      <w:proofErr w:type="gramEnd"/>
      <w:r w:rsidRPr="00670793">
        <w:t xml:space="preserve"> toksyczność toksyn </w:t>
      </w:r>
      <w:proofErr w:type="spellStart"/>
      <w:r w:rsidRPr="00670793">
        <w:t>Bt</w:t>
      </w:r>
      <w:proofErr w:type="spellEnd"/>
      <w:r w:rsidRPr="00670793">
        <w:t xml:space="preserve"> aż dwudziestokrotnie</w:t>
      </w:r>
      <w:r w:rsidRPr="00670793">
        <w:rPr>
          <w:rStyle w:val="FootnoteReference"/>
          <w:szCs w:val="24"/>
        </w:rPr>
        <w:footnoteReference w:id="6"/>
      </w:r>
      <w:r w:rsidRPr="00670793">
        <w:t>;</w:t>
      </w:r>
    </w:p>
    <w:p w:rsidR="00133298" w:rsidRPr="00670793" w:rsidRDefault="00133298" w:rsidP="00133298">
      <w:pPr>
        <w:pStyle w:val="NormalHanging12a"/>
        <w:rPr>
          <w:szCs w:val="24"/>
        </w:rPr>
      </w:pPr>
      <w:r w:rsidRPr="00670793">
        <w:t>F.</w:t>
      </w:r>
      <w:r w:rsidRPr="00670793">
        <w:tab/>
      </w:r>
      <w:proofErr w:type="gramStart"/>
      <w:r w:rsidRPr="00670793">
        <w:t>mając</w:t>
      </w:r>
      <w:proofErr w:type="gramEnd"/>
      <w:r w:rsidRPr="00670793">
        <w:t xml:space="preserve"> na uwadze, że w ocenach ryzyka EFSA nie uwzględniono tej zwiększonej toksyczności, mimo iż jest ona istotna w przypadku wszystkich roślin </w:t>
      </w:r>
      <w:proofErr w:type="spellStart"/>
      <w:r w:rsidRPr="00670793">
        <w:t>Bt</w:t>
      </w:r>
      <w:proofErr w:type="spellEnd"/>
      <w:r w:rsidRPr="00670793">
        <w:t xml:space="preserve">, dla których wydano zezwolenie na przywóz lub uprawę w Unii; mając na uwadze, że nie można zatem wykluczyć, że ludzie i zwierzęta, którzy spożywają żywność i paszę zawierającą toksyny </w:t>
      </w:r>
      <w:proofErr w:type="spellStart"/>
      <w:r w:rsidRPr="00670793">
        <w:t>Bt</w:t>
      </w:r>
      <w:proofErr w:type="spellEnd"/>
      <w:r w:rsidRPr="00670793">
        <w:t xml:space="preserve">, narażeni są na ryzyko wynikające z tej zwiększonej toksyczności spowodowanej interakcją między inhibitorami proteazy a toksynami </w:t>
      </w:r>
      <w:proofErr w:type="spellStart"/>
      <w:r w:rsidRPr="00670793">
        <w:t>Bt</w:t>
      </w:r>
      <w:proofErr w:type="spellEnd"/>
      <w:r w:rsidRPr="00670793">
        <w:t>;</w:t>
      </w:r>
    </w:p>
    <w:p w:rsidR="00133298" w:rsidRPr="00670793" w:rsidRDefault="00133298" w:rsidP="00133298">
      <w:pPr>
        <w:pStyle w:val="NormalHanging12a"/>
        <w:rPr>
          <w:szCs w:val="24"/>
        </w:rPr>
      </w:pPr>
      <w:r w:rsidRPr="00670793">
        <w:t>G.</w:t>
      </w:r>
      <w:r w:rsidRPr="00670793">
        <w:tab/>
        <w:t xml:space="preserve">mając na uwadze, że w szeregu badań zaobserwowano, iż skutki uboczne powstałe w wyniku narażenia na toksyny </w:t>
      </w:r>
      <w:proofErr w:type="spellStart"/>
      <w:r w:rsidRPr="00670793">
        <w:t>Bt</w:t>
      </w:r>
      <w:proofErr w:type="spellEnd"/>
      <w:r w:rsidRPr="00670793">
        <w:t xml:space="preserve"> mogą wpływać na układ odpornościowy, oraz zauważono, że niektóre toksyny </w:t>
      </w:r>
      <w:proofErr w:type="spellStart"/>
      <w:r w:rsidRPr="00670793">
        <w:t>Bt</w:t>
      </w:r>
      <w:proofErr w:type="spellEnd"/>
      <w:r w:rsidRPr="00670793">
        <w:t xml:space="preserve"> mogą wykazywać właściwości adiuwantów</w:t>
      </w:r>
      <w:r w:rsidRPr="00670793">
        <w:rPr>
          <w:rStyle w:val="FootnoteReference"/>
          <w:szCs w:val="24"/>
        </w:rPr>
        <w:footnoteReference w:id="7"/>
      </w:r>
      <w:r w:rsidRPr="00670793">
        <w:t>, co oznacza, że mogą nasilać alergenność innych białek, z którymi wchodzą w styczność;</w:t>
      </w:r>
    </w:p>
    <w:p w:rsidR="00133298" w:rsidRPr="00670793" w:rsidRDefault="00133298" w:rsidP="00133298">
      <w:pPr>
        <w:pStyle w:val="NormalHanging12a"/>
        <w:rPr>
          <w:b/>
          <w:i/>
          <w:szCs w:val="24"/>
        </w:rPr>
      </w:pPr>
      <w:r w:rsidRPr="00670793">
        <w:rPr>
          <w:b/>
          <w:i/>
        </w:rPr>
        <w:t xml:space="preserve">Uprawy </w:t>
      </w:r>
      <w:proofErr w:type="spellStart"/>
      <w:r w:rsidRPr="00670793">
        <w:rPr>
          <w:b/>
          <w:i/>
        </w:rPr>
        <w:t>Bt</w:t>
      </w:r>
      <w:proofErr w:type="spellEnd"/>
      <w:r w:rsidRPr="00670793">
        <w:rPr>
          <w:b/>
          <w:i/>
        </w:rPr>
        <w:t>: wpływ na organizmy niebędące przedmiotem zwalczania</w:t>
      </w:r>
    </w:p>
    <w:p w:rsidR="00133298" w:rsidRPr="00670793" w:rsidRDefault="00133298" w:rsidP="00133298">
      <w:pPr>
        <w:pStyle w:val="NormalHanging12a"/>
      </w:pPr>
      <w:r w:rsidRPr="00670793">
        <w:t>H.</w:t>
      </w:r>
      <w:r w:rsidRPr="00670793">
        <w:tab/>
      </w:r>
      <w:proofErr w:type="gramStart"/>
      <w:r w:rsidRPr="00670793">
        <w:t>mając</w:t>
      </w:r>
      <w:proofErr w:type="gramEnd"/>
      <w:r w:rsidRPr="00670793">
        <w:t xml:space="preserve"> na uwadze, że w przeciwieństwie do środków owadobójczych, których stosowanie powoduje narażenie w czasie oprysku i przez ograniczony czas po oprysku, uprawa zmodyfikowanych genetycznie roślin </w:t>
      </w:r>
      <w:proofErr w:type="spellStart"/>
      <w:r w:rsidRPr="00670793">
        <w:t>Bt</w:t>
      </w:r>
      <w:proofErr w:type="spellEnd"/>
      <w:r w:rsidRPr="00670793">
        <w:t xml:space="preserve"> oznacza ciągłe narażenie organizmów zwalczanych i innych niż zwalczane na toksyny </w:t>
      </w:r>
      <w:proofErr w:type="spellStart"/>
      <w:r w:rsidRPr="00670793">
        <w:t>Bt</w:t>
      </w:r>
      <w:proofErr w:type="spellEnd"/>
      <w:r w:rsidRPr="00670793">
        <w:t>;</w:t>
      </w:r>
    </w:p>
    <w:p w:rsidR="00133298" w:rsidRPr="00670793" w:rsidRDefault="00133298" w:rsidP="00133298">
      <w:pPr>
        <w:pStyle w:val="NormalHanging12a"/>
      </w:pPr>
      <w:r w:rsidRPr="00670793">
        <w:t>I.</w:t>
      </w:r>
      <w:r w:rsidRPr="00670793">
        <w:tab/>
      </w:r>
      <w:proofErr w:type="gramStart"/>
      <w:r w:rsidRPr="00670793">
        <w:t>mając</w:t>
      </w:r>
      <w:proofErr w:type="gramEnd"/>
      <w:r w:rsidRPr="00670793">
        <w:t xml:space="preserve"> na uwadze, że nie można już uznawać za prawidłowe założenia, iż toksyny </w:t>
      </w:r>
      <w:proofErr w:type="spellStart"/>
      <w:r w:rsidRPr="00670793">
        <w:t>Bt</w:t>
      </w:r>
      <w:proofErr w:type="spellEnd"/>
      <w:r w:rsidRPr="00670793">
        <w:t xml:space="preserve"> wykazują jeden specyficzny dla danego celu zwalczania sposób działania, i nie można wykluczyć wpływu na organizmy inne niż zwalczane</w:t>
      </w:r>
      <w:r w:rsidRPr="00670793">
        <w:rPr>
          <w:rStyle w:val="FootnoteReference"/>
        </w:rPr>
        <w:footnoteReference w:id="8"/>
      </w:r>
      <w:r w:rsidRPr="00670793">
        <w:t xml:space="preserve">; </w:t>
      </w:r>
    </w:p>
    <w:p w:rsidR="00133298" w:rsidRPr="00670793" w:rsidRDefault="00133298" w:rsidP="00133298">
      <w:pPr>
        <w:pStyle w:val="NormalHanging12a"/>
      </w:pPr>
      <w:r w:rsidRPr="00670793">
        <w:t>J.</w:t>
      </w:r>
      <w:r w:rsidRPr="00670793">
        <w:tab/>
        <w:t xml:space="preserve">mając na uwadze doniesienia o różnorodnych skutkach dotykających coraz większą liczbę organizmów innych niż zwalczane; mając na uwadze, że w niedawnym </w:t>
      </w:r>
      <w:r w:rsidRPr="00670793">
        <w:lastRenderedPageBreak/>
        <w:t>przeglądzie</w:t>
      </w:r>
      <w:r w:rsidRPr="00670793">
        <w:rPr>
          <w:rStyle w:val="FootnoteReference"/>
        </w:rPr>
        <w:footnoteReference w:id="9"/>
      </w:r>
      <w:r w:rsidRPr="00670793">
        <w:t xml:space="preserve"> wymieniono 39 recenzowanych publikacji, w których odnotowano istotny niekorzystny wpływ toksyn </w:t>
      </w:r>
      <w:proofErr w:type="spellStart"/>
      <w:r w:rsidRPr="00670793">
        <w:t>Bt</w:t>
      </w:r>
      <w:proofErr w:type="spellEnd"/>
      <w:r w:rsidRPr="00670793">
        <w:t xml:space="preserve"> na wiele gatunków „spoza obszaru działania”;</w:t>
      </w:r>
    </w:p>
    <w:p w:rsidR="00133298" w:rsidRPr="00670793" w:rsidRDefault="00133298" w:rsidP="00133298">
      <w:pPr>
        <w:pStyle w:val="NormalHanging12a"/>
        <w:rPr>
          <w:b/>
          <w:i/>
        </w:rPr>
      </w:pPr>
      <w:r w:rsidRPr="00670793">
        <w:rPr>
          <w:b/>
          <w:i/>
        </w:rPr>
        <w:t>Zmniejszenie zależności od paszy z przywozu</w:t>
      </w:r>
    </w:p>
    <w:p w:rsidR="00133298" w:rsidRPr="00670793" w:rsidRDefault="00133298" w:rsidP="00133298">
      <w:pPr>
        <w:pStyle w:val="NormalHanging12a"/>
      </w:pPr>
      <w:r w:rsidRPr="00670793">
        <w:t>K.</w:t>
      </w:r>
      <w:r w:rsidRPr="00670793">
        <w:tab/>
        <w:t xml:space="preserve">mając na uwadze, że jednym z wniosków wyciągniętych z kryzysu związanego z COVID-19 i trwającej wojny w Ukrainie jest potrzeba uniezależnienia się Unii od niektórych materiałów krytycznych; mając na uwadze, że w piśmie określającym zadania kandydata na komisarza Christophe’a Hansena przewodnicząca Komisji </w:t>
      </w:r>
      <w:proofErr w:type="spellStart"/>
      <w:r w:rsidRPr="00670793">
        <w:t>Ursula</w:t>
      </w:r>
      <w:proofErr w:type="spellEnd"/>
      <w:r w:rsidRPr="00670793">
        <w:t xml:space="preserve"> von der </w:t>
      </w:r>
      <w:proofErr w:type="spellStart"/>
      <w:r w:rsidRPr="00670793">
        <w:t>Leyen</w:t>
      </w:r>
      <w:proofErr w:type="spellEnd"/>
      <w:r w:rsidRPr="00670793">
        <w:t xml:space="preserve"> zwraca się do niego, by przeanalizował sposoby ograniczenia przywozu kluczowych towarów</w:t>
      </w:r>
      <w:r w:rsidRPr="00670793">
        <w:rPr>
          <w:rStyle w:val="FootnoteReference"/>
        </w:rPr>
        <w:footnoteReference w:id="10"/>
      </w:r>
      <w:r w:rsidRPr="00670793">
        <w:t xml:space="preserve">; </w:t>
      </w:r>
    </w:p>
    <w:p w:rsidR="00133298" w:rsidRPr="00670793" w:rsidRDefault="00133298" w:rsidP="00133298">
      <w:pPr>
        <w:pStyle w:val="NormalHanging12a"/>
        <w:rPr>
          <w:b/>
          <w:i/>
        </w:rPr>
      </w:pPr>
      <w:r w:rsidRPr="00670793">
        <w:rPr>
          <w:b/>
          <w:i/>
        </w:rPr>
        <w:t xml:space="preserve">Uwzględnienie genu markerowego kodującego oporność na antybiotyki </w:t>
      </w:r>
    </w:p>
    <w:p w:rsidR="00133298" w:rsidRPr="00670793" w:rsidRDefault="00133298" w:rsidP="00133298">
      <w:pPr>
        <w:pStyle w:val="NormalHanging12a"/>
      </w:pPr>
      <w:r w:rsidRPr="00670793">
        <w:t>L.</w:t>
      </w:r>
      <w:r w:rsidRPr="00670793">
        <w:tab/>
      </w:r>
      <w:proofErr w:type="gramStart"/>
      <w:r w:rsidRPr="00670793">
        <w:t>mając</w:t>
      </w:r>
      <w:proofErr w:type="gramEnd"/>
      <w:r w:rsidRPr="00670793">
        <w:t xml:space="preserve"> na uwadze, że genetycznie zmodyfikowana bawełna wytwarza białko APH4, które jest używane jako gen markerowy oporności na antybiotyki i które dezaktywuje aktywność antybiotyku </w:t>
      </w:r>
      <w:proofErr w:type="spellStart"/>
      <w:r w:rsidRPr="00670793">
        <w:t>higromycyny</w:t>
      </w:r>
      <w:proofErr w:type="spellEnd"/>
      <w:r w:rsidRPr="00670793">
        <w:t xml:space="preserve"> B;</w:t>
      </w:r>
    </w:p>
    <w:p w:rsidR="00133298" w:rsidRPr="00670793" w:rsidRDefault="00133298" w:rsidP="00133298">
      <w:pPr>
        <w:pStyle w:val="NormalHanging12a"/>
      </w:pPr>
      <w:r w:rsidRPr="00670793">
        <w:t>M.</w:t>
      </w:r>
      <w:r w:rsidRPr="00670793">
        <w:tab/>
        <w:t>mając na uwadze, że w art. 4 ust. 2 dyrektywy Parlamentu Europejskiego i Rady 2001/18/WE</w:t>
      </w:r>
      <w:r w:rsidRPr="00670793">
        <w:rPr>
          <w:rStyle w:val="FootnoteReference"/>
        </w:rPr>
        <w:footnoteReference w:id="11"/>
      </w:r>
      <w:r w:rsidRPr="00670793">
        <w:t xml:space="preserve"> wymaga się, aby podczas przeprowadzania oceny zagrożeń dla środowiska naturalnego szczególną uwagę zwracać na organizmy zmodyfikowane genetycznie (GMO) zawierające geny kodujące oporność na antybiotyki stosowane do leczenia ludzi i zwierząt, w celu ich identyfikacji i wycofania GMO wykazujących cechy oporności na antybiotyki, które mogłyby mieć niekorzystny wpływ na zdrowie ludzkie i środowisko naturalne, oraz wyznacza się termin do 2004 r., po upływie którego nie powinny być one wprowadzane do obrotu w Unii;</w:t>
      </w:r>
    </w:p>
    <w:p w:rsidR="00133298" w:rsidRPr="00670793" w:rsidRDefault="00133298" w:rsidP="00133298">
      <w:pPr>
        <w:pStyle w:val="NormalHanging12a"/>
      </w:pPr>
      <w:r w:rsidRPr="00670793">
        <w:t>N.</w:t>
      </w:r>
      <w:r w:rsidRPr="00670793">
        <w:tab/>
        <w:t>mając na uwadze, że w rozporządzeniu wykonawczym Komisji (UE) nr 503/2013</w:t>
      </w:r>
      <w:r w:rsidRPr="00670793">
        <w:rPr>
          <w:rStyle w:val="FootnoteReference"/>
        </w:rPr>
        <w:footnoteReference w:id="12"/>
      </w:r>
      <w:r w:rsidRPr="00670793">
        <w:t xml:space="preserve"> stwierdzono, że obecnie możliwe jest tworzenie organizmów zmodyfikowanych genetycznie bez konieczności stosowania genów markerowych kodujących oporność na antybiotyki [...], </w:t>
      </w:r>
      <w:proofErr w:type="gramStart"/>
      <w:r w:rsidRPr="00670793">
        <w:t>wnioskodawca</w:t>
      </w:r>
      <w:proofErr w:type="gramEnd"/>
      <w:r w:rsidRPr="00670793">
        <w:t xml:space="preserve"> powinien zatem starać się tworzyć organizmy zmodyfikowane genetycznie bez używania genów markerowych oporności na antybiotyki;</w:t>
      </w:r>
    </w:p>
    <w:p w:rsidR="00133298" w:rsidRPr="00670793" w:rsidRDefault="00133298" w:rsidP="00133298">
      <w:pPr>
        <w:pStyle w:val="NormalHanging12a"/>
      </w:pPr>
      <w:r w:rsidRPr="00670793">
        <w:t>O.</w:t>
      </w:r>
      <w:r w:rsidRPr="00670793">
        <w:tab/>
      </w:r>
      <w:proofErr w:type="gramStart"/>
      <w:r w:rsidRPr="00670793">
        <w:t>mając</w:t>
      </w:r>
      <w:proofErr w:type="gramEnd"/>
      <w:r w:rsidRPr="00670793">
        <w:t xml:space="preserve"> na uwadze, że kilka państw członkowskich zgłosiło krytyczne uwagi dotyczące </w:t>
      </w:r>
      <w:r w:rsidRPr="00670793">
        <w:lastRenderedPageBreak/>
        <w:t>stosowania genów markerowych oporności na antybiotyki, w tym faktu, że w obliczu obecnego kryzysu związanego z opornością na antybiotyki rozsądne byłoby wdrożenie zasady ostrożności, zwłaszcza w obecnym przypadku, gdy stosowanie genu markerowego oporności na antybiotyki jest całkowicie niepotrzebne, a usunięcie genu markerowego oporności na antybiotyki z genomu rośliny jest możliwe; mając na uwadze, że właściwy organ jednego z państw członkowskich wydał negatywną opinię na podstawie obecności genu markerowego oporności na antybiotyki w genomie genetycznie zmodyfikowanej bawełny;</w:t>
      </w:r>
    </w:p>
    <w:p w:rsidR="00133298" w:rsidRPr="00670793" w:rsidRDefault="00133298" w:rsidP="00133298">
      <w:pPr>
        <w:pStyle w:val="NormalHanging12a"/>
      </w:pPr>
      <w:r w:rsidRPr="00670793">
        <w:t>P.</w:t>
      </w:r>
      <w:r w:rsidRPr="00670793">
        <w:tab/>
        <w:t xml:space="preserve">mając na uwadze, że Europejska Agencja Leków potwierdziła brak produktów zawierających </w:t>
      </w:r>
      <w:proofErr w:type="spellStart"/>
      <w:r w:rsidRPr="00670793">
        <w:t>higromycynę</w:t>
      </w:r>
      <w:proofErr w:type="spellEnd"/>
      <w:r w:rsidRPr="00670793">
        <w:t xml:space="preserve"> B dopuszczonych do stosowania terapeutycznego, profilaktycznego lub jakichkolwiek innych zastosowań medycznych u ludzi lub zwierząt w państwach członkowskich oraz brak centralnych pozwoleń na stosowanie u ludzi lub zwierząt produktów leczniczych zawierających </w:t>
      </w:r>
      <w:proofErr w:type="spellStart"/>
      <w:r w:rsidRPr="00670793">
        <w:t>higromycynę</w:t>
      </w:r>
      <w:proofErr w:type="spellEnd"/>
      <w:r w:rsidRPr="00670793">
        <w:t xml:space="preserve"> B11; mając na uwadze, że w opinii EFSA stwierdzono, że „panel ds. GMO uważa, że ocena ryzyka może wymagać aktualizacji w przypadku, gdy produkty zawierające </w:t>
      </w:r>
      <w:proofErr w:type="spellStart"/>
      <w:r w:rsidRPr="00670793">
        <w:t>higromycynę</w:t>
      </w:r>
      <w:proofErr w:type="spellEnd"/>
      <w:r w:rsidRPr="00670793">
        <w:t xml:space="preserve"> B lub inne substraty enzymu APH4 uzyskają w przyszłości zatwierdzenie rynkowe w UE”; mając jednak na uwadze, że </w:t>
      </w:r>
      <w:proofErr w:type="spellStart"/>
      <w:r w:rsidRPr="00670793">
        <w:t>higromycyna</w:t>
      </w:r>
      <w:proofErr w:type="spellEnd"/>
      <w:r w:rsidRPr="00670793">
        <w:t xml:space="preserve"> B jest stosowana w produktach weterynaryjnych sprzedawanych poza Unią; </w:t>
      </w:r>
    </w:p>
    <w:p w:rsidR="00133298" w:rsidRPr="00670793" w:rsidRDefault="00133298" w:rsidP="00133298">
      <w:pPr>
        <w:pStyle w:val="NormalHanging12a"/>
      </w:pPr>
      <w:r w:rsidRPr="00670793">
        <w:t>Q.</w:t>
      </w:r>
      <w:r w:rsidRPr="00670793">
        <w:tab/>
      </w:r>
      <w:proofErr w:type="gramStart"/>
      <w:r w:rsidRPr="00670793">
        <w:t>mając</w:t>
      </w:r>
      <w:proofErr w:type="gramEnd"/>
      <w:r w:rsidRPr="00670793">
        <w:t xml:space="preserve"> na uwadze, że Parlament co najmniej raz sprzeciwił się przywozowi genetycznie zmodyfikowanych upraw zawierających geny markerowe oporności na antybiotyki</w:t>
      </w:r>
      <w:r w:rsidRPr="00670793">
        <w:rPr>
          <w:rStyle w:val="FootnoteReference"/>
        </w:rPr>
        <w:footnoteReference w:id="13"/>
      </w:r>
      <w:r w:rsidRPr="00670793">
        <w:t>;</w:t>
      </w:r>
    </w:p>
    <w:p w:rsidR="00133298" w:rsidRPr="00670793" w:rsidRDefault="00133298" w:rsidP="00133298">
      <w:pPr>
        <w:pStyle w:val="NormalHanging12a"/>
      </w:pPr>
      <w:r w:rsidRPr="00670793">
        <w:t>R.</w:t>
      </w:r>
      <w:r w:rsidRPr="00670793">
        <w:tab/>
        <w:t>mając na uwadze, że oporność na środki przeciwdrobnoustrojowe stanowi zagrożenie dla globalnego zdrowia, bezpieczeństwa żywnościowego i osiągnięcia celów zrównoważonego rozwoju na 2030 r., a infekcje lekooporne nie znają granic</w:t>
      </w:r>
      <w:r w:rsidRPr="00670793">
        <w:rPr>
          <w:rStyle w:val="FootnoteReference"/>
        </w:rPr>
        <w:footnoteReference w:id="14"/>
      </w:r>
      <w:r w:rsidRPr="00670793">
        <w:t>;</w:t>
      </w:r>
    </w:p>
    <w:p w:rsidR="00133298" w:rsidRPr="00670793" w:rsidRDefault="00133298" w:rsidP="00133298">
      <w:pPr>
        <w:pStyle w:val="NormalHanging12a"/>
        <w:rPr>
          <w:b/>
          <w:i/>
        </w:rPr>
      </w:pPr>
      <w:r w:rsidRPr="00670793">
        <w:rPr>
          <w:b/>
          <w:i/>
        </w:rPr>
        <w:t>Uwagi właściwych organów państw członkowskich i zainteresowanych stron</w:t>
      </w:r>
    </w:p>
    <w:p w:rsidR="00133298" w:rsidRPr="00670793" w:rsidRDefault="00133298" w:rsidP="00133298">
      <w:pPr>
        <w:pStyle w:val="NormalHanging12a"/>
      </w:pPr>
      <w:r w:rsidRPr="00670793">
        <w:t>S.</w:t>
      </w:r>
      <w:r w:rsidRPr="00670793">
        <w:tab/>
        <w:t>mając na uwadze, że podczas trzymiesięcznego okresu konsultacji państwa członkowskie zgłosiły EFSA wiele krytycznych uwag</w:t>
      </w:r>
      <w:r w:rsidRPr="00670793">
        <w:rPr>
          <w:rStyle w:val="FootnoteReference"/>
        </w:rPr>
        <w:footnoteReference w:id="15"/>
      </w:r>
      <w:r w:rsidRPr="00670793">
        <w:t>, w tym fakt, że uprawę genetycznie zmodyfikowanej bawełny na polach uprawnych należy uznać za celowe zanieczyszczenie środowiska naturalnego genami oporności na antybiotyki, a także że dostarczone informacje na temat charakterystyki molekularnej, składu i toksykologii są niewystarczające, a zatem wnioski EFSA dotyczące równoważności genetycznie zmodyfikowanej bawełny z bawełną konwencjonalną pod względem bezpieczeństwa żywności i pasz są przedwczesne;</w:t>
      </w:r>
    </w:p>
    <w:p w:rsidR="00133298" w:rsidRPr="00670793" w:rsidRDefault="00133298" w:rsidP="00133298">
      <w:pPr>
        <w:pStyle w:val="NormalHanging12a"/>
      </w:pPr>
      <w:r w:rsidRPr="00670793">
        <w:lastRenderedPageBreak/>
        <w:t>T.</w:t>
      </w:r>
      <w:r w:rsidRPr="00670793">
        <w:tab/>
        <w:t>mając na uwadze, że zgodnie z rozporządzeniem (WE) nr 1829/2003 genetycznie zmodyfikowana żywność lub pasza nie może wywierać szkodliwego wpływu na zdrowie ludzi i zwierząt ani na środowisko naturalne, a przy sporządzaniu decyzji Komisja musi brać pod uwagę wszelkie istotne przepisy prawa Unii oraz inne uzasadnione czynniki istotne dla sprawy; mając na uwadze, że takie uzasadnione czynniki powinny obejmować zobowiązania Unii do zwalczania oporności na środki przeciwdrobnoustrojowe;</w:t>
      </w:r>
    </w:p>
    <w:p w:rsidR="00133298" w:rsidRPr="00670793" w:rsidRDefault="00133298" w:rsidP="00133298">
      <w:pPr>
        <w:pStyle w:val="NormalHanging12a"/>
        <w:rPr>
          <w:b/>
          <w:i/>
        </w:rPr>
      </w:pPr>
      <w:r w:rsidRPr="00670793">
        <w:rPr>
          <w:b/>
          <w:i/>
        </w:rPr>
        <w:t>Niedemokratyczny proces podejmowania decyzji</w:t>
      </w:r>
    </w:p>
    <w:p w:rsidR="00133298" w:rsidRPr="00670793" w:rsidRDefault="00133298" w:rsidP="00133298">
      <w:pPr>
        <w:pStyle w:val="NormalHanging12a"/>
      </w:pPr>
      <w:r w:rsidRPr="00670793">
        <w:t>U.</w:t>
      </w:r>
      <w:r w:rsidRPr="00670793">
        <w:tab/>
      </w:r>
      <w:proofErr w:type="gramStart"/>
      <w:r w:rsidRPr="00670793">
        <w:t>mając</w:t>
      </w:r>
      <w:proofErr w:type="gramEnd"/>
      <w:r w:rsidRPr="00670793">
        <w:t xml:space="preserve"> na uwadze, że w trakcie ósmej kadencji Parlament przyjął łącznie 36 rezolucji, w których sprzeciwił się wprowadzeniu do obrotu GMO do zastosowania w żywności i paszy (33 rezolucje) oraz do uprawy w Unii (3 rezolucje); mając na uwadze, że w dziewiątej kadencji Parlament przyjął 38 sprzeciwów wobec wprowadzania GMO do obrotu;</w:t>
      </w:r>
    </w:p>
    <w:p w:rsidR="00133298" w:rsidRPr="00670793" w:rsidRDefault="00133298" w:rsidP="00133298">
      <w:pPr>
        <w:pStyle w:val="NormalHanging12a"/>
      </w:pPr>
      <w:r w:rsidRPr="00670793">
        <w:t>V.</w:t>
      </w:r>
      <w:r w:rsidRPr="00670793">
        <w:tab/>
      </w:r>
      <w:proofErr w:type="gramStart"/>
      <w:r w:rsidRPr="00670793">
        <w:t>mając</w:t>
      </w:r>
      <w:proofErr w:type="gramEnd"/>
      <w:r w:rsidRPr="00670793">
        <w:t xml:space="preserve"> na uwadze, że Komisja nadal wydaje zezwolenia na GMO, mimo że sama stwierdziła niedemokratyczność tego procesu, a także mimo braku poparcia ze strony państw członkowskich i mimo sprzeciwów Parlamentu;</w:t>
      </w:r>
    </w:p>
    <w:p w:rsidR="00133298" w:rsidRPr="00670793" w:rsidRDefault="00133298" w:rsidP="00133298">
      <w:pPr>
        <w:pStyle w:val="NormalHanging12a"/>
      </w:pPr>
      <w:r w:rsidRPr="00670793">
        <w:t>W.</w:t>
      </w:r>
      <w:r w:rsidRPr="00670793">
        <w:tab/>
      </w:r>
      <w:proofErr w:type="gramStart"/>
      <w:r w:rsidRPr="00670793">
        <w:t>mając</w:t>
      </w:r>
      <w:proofErr w:type="gramEnd"/>
      <w:r w:rsidRPr="00670793">
        <w:t xml:space="preserve"> na uwadze, że żadna zmiana w prawie nie jest konieczna, by Komisja mogła nie zatwierdzić GMO, jeżeli w komitecie odwoławczym kwalifikowana większość państw członkowskich nie opowie się za zatwierdzeniem</w:t>
      </w:r>
      <w:r w:rsidRPr="00670793">
        <w:rPr>
          <w:rStyle w:val="FootnoteReference"/>
        </w:rPr>
        <w:footnoteReference w:id="16"/>
      </w:r>
      <w:r w:rsidRPr="00670793">
        <w:t>;</w:t>
      </w:r>
    </w:p>
    <w:p w:rsidR="00133298" w:rsidRPr="00670793" w:rsidRDefault="00133298" w:rsidP="00133298">
      <w:pPr>
        <w:pStyle w:val="NormalHanging12a"/>
      </w:pPr>
      <w:r w:rsidRPr="00670793">
        <w:t>X.</w:t>
      </w:r>
      <w:r w:rsidRPr="00670793">
        <w:tab/>
      </w:r>
      <w:proofErr w:type="gramStart"/>
      <w:r w:rsidRPr="00670793">
        <w:rPr>
          <w:shd w:val="clear" w:color="auto" w:fill="FFFFFF"/>
        </w:rPr>
        <w:t>mając</w:t>
      </w:r>
      <w:proofErr w:type="gramEnd"/>
      <w:r w:rsidRPr="00670793">
        <w:rPr>
          <w:shd w:val="clear" w:color="auto" w:fill="FFFFFF"/>
        </w:rPr>
        <w:t xml:space="preserve"> na uwadze, że 8 lipca 2024 r. Stały Komitet ds. Roślin, Zwierząt, Żywności i Pasz, o którym mowa w art. 35 rozporządzenia (WE) nr 1829/2003, nie wydał opinii w głosowaniu, co oznacza, że zezwolenia nie poparła kwalifikowana większość państw członkowskich; mając na uwadze, że w wyniku głosowania 3 września 2024 r. komitet odwoławczy po raz kolejny nie wydał opinii;</w:t>
      </w:r>
    </w:p>
    <w:p w:rsidR="00133298" w:rsidRPr="00670793" w:rsidRDefault="00B82D0D" w:rsidP="00133298">
      <w:pPr>
        <w:pStyle w:val="NormalHanging12a"/>
      </w:pPr>
      <w:r>
        <w:t>1.</w:t>
      </w:r>
      <w:r>
        <w:tab/>
      </w:r>
      <w:proofErr w:type="gramStart"/>
      <w:r>
        <w:t>uważa</w:t>
      </w:r>
      <w:proofErr w:type="gramEnd"/>
      <w:r>
        <w:t>, że decyzja wykonawcza</w:t>
      </w:r>
      <w:r w:rsidR="00133298" w:rsidRPr="00670793">
        <w:t xml:space="preserve"> Komisji </w:t>
      </w:r>
      <w:r>
        <w:t xml:space="preserve">(UE) 2024/2627 </w:t>
      </w:r>
      <w:r w:rsidR="00133298" w:rsidRPr="00670793">
        <w:t>przekracza uprawnienia wykonawcze przewidziane w rozporządzeniu (WE) nr 1829/2003;</w:t>
      </w:r>
    </w:p>
    <w:p w:rsidR="00133298" w:rsidRPr="00670793" w:rsidRDefault="00B82D0D" w:rsidP="00133298">
      <w:pPr>
        <w:pStyle w:val="NormalHanging12a"/>
      </w:pPr>
      <w:r>
        <w:t>2.</w:t>
      </w:r>
      <w:r>
        <w:tab/>
      </w:r>
      <w:proofErr w:type="gramStart"/>
      <w:r>
        <w:t>uważa</w:t>
      </w:r>
      <w:proofErr w:type="gramEnd"/>
      <w:r>
        <w:t>, że decyzja wykonawcza</w:t>
      </w:r>
      <w:r w:rsidR="00133298" w:rsidRPr="00670793">
        <w:t xml:space="preserve"> Komisji </w:t>
      </w:r>
      <w:r>
        <w:t>(UE) 2024/2627 jest niespójna</w:t>
      </w:r>
      <w:r w:rsidR="00133298" w:rsidRPr="00670793">
        <w:t xml:space="preserve"> z prawem Unii, gdyż nie odpowiada celowi rozporządzenia (WE) nr 1829/2003 zakładającemu – zgodnie z zasadami ogólnymi określonymi w rozporządzeniu Parlamentu Europejskiego i Rady (WE) nr 178/2002</w:t>
      </w:r>
      <w:r w:rsidR="00133298" w:rsidRPr="00670793">
        <w:rPr>
          <w:rStyle w:val="FootnoteReference"/>
        </w:rPr>
        <w:footnoteReference w:id="17"/>
      </w:r>
      <w:r w:rsidR="00133298" w:rsidRPr="00670793">
        <w:t> – stworzenie podstawy do zapewnienia wysokiego poziomu ochrony życia i zdrowia ludzkiego, zdrowia i dobrostanu zwierząt, środowiska naturalnego oraz interesów konsumentów w związku z genetycznie zmodyfikowaną żywnością i paszą, przy jednoczesnym zagwarantowaniu skutecznego funkcjonowania rynku wewnętrznego;</w:t>
      </w:r>
    </w:p>
    <w:p w:rsidR="00133298" w:rsidRPr="00670793" w:rsidRDefault="00133298" w:rsidP="00133298">
      <w:pPr>
        <w:pStyle w:val="NormalHanging12a"/>
      </w:pPr>
      <w:r w:rsidRPr="00670793">
        <w:t>3.</w:t>
      </w:r>
      <w:r w:rsidRPr="00670793">
        <w:tab/>
      </w:r>
      <w:proofErr w:type="gramStart"/>
      <w:r w:rsidRPr="00670793">
        <w:t>wzy</w:t>
      </w:r>
      <w:r w:rsidR="006574CF">
        <w:t>wa</w:t>
      </w:r>
      <w:proofErr w:type="gramEnd"/>
      <w:r w:rsidR="006574CF">
        <w:t xml:space="preserve"> Komisję do uchyle</w:t>
      </w:r>
      <w:r w:rsidR="00B82D0D">
        <w:t>nia</w:t>
      </w:r>
      <w:r w:rsidRPr="00670793">
        <w:t xml:space="preserve"> decyzji wykonawczej </w:t>
      </w:r>
      <w:r w:rsidR="00B82D0D">
        <w:t xml:space="preserve">(UE) 2024/2627 </w:t>
      </w:r>
      <w:r w:rsidRPr="00670793">
        <w:t xml:space="preserve">oraz do </w:t>
      </w:r>
      <w:r w:rsidRPr="00670793">
        <w:lastRenderedPageBreak/>
        <w:t>przedłożenia komitetowi nowego projektu;</w:t>
      </w:r>
    </w:p>
    <w:p w:rsidR="00133298" w:rsidRPr="00670793" w:rsidRDefault="00133298" w:rsidP="00133298">
      <w:pPr>
        <w:pStyle w:val="NormalHanging12a"/>
      </w:pPr>
      <w:r w:rsidRPr="00670793">
        <w:t>4.</w:t>
      </w:r>
      <w:r w:rsidRPr="00670793">
        <w:tab/>
      </w:r>
      <w:proofErr w:type="gramStart"/>
      <w:r w:rsidRPr="00670793">
        <w:t>ponownie</w:t>
      </w:r>
      <w:proofErr w:type="gramEnd"/>
      <w:r w:rsidRPr="00670793">
        <w:t xml:space="preserve"> wzywa Komisję, by nie zezwalała na wprowadzanie zmodyfikowanych genetycznie roślin zawierających geny nadające oporność na środki przeciwdrobnoustrojowe; zauważa, że zezwolenie takie oznacza naruszenie art. 4 ust. 2 dyrektywy 2001/18/WE, w którym wezwano do wycofywania z GMO genów markerowych kodujących oporność na antybiotyki mogących mieć niekorzystny wpływ na zdrowie ludzkie lub środowisko; </w:t>
      </w:r>
    </w:p>
    <w:p w:rsidR="00133298" w:rsidRPr="00670793" w:rsidRDefault="00133298" w:rsidP="00133298">
      <w:pPr>
        <w:pStyle w:val="NormalHanging12a"/>
      </w:pPr>
      <w:r w:rsidRPr="00670793">
        <w:t>5.</w:t>
      </w:r>
      <w:r w:rsidRPr="00670793">
        <w:tab/>
      </w:r>
      <w:proofErr w:type="gramStart"/>
      <w:r w:rsidRPr="00670793">
        <w:t>z</w:t>
      </w:r>
      <w:proofErr w:type="gramEnd"/>
      <w:r w:rsidRPr="00670793">
        <w:t xml:space="preserve"> zadowoleniem przyjmuje fakt, że w skierowanym do posłów piśmie z 11 września 2020 r. Komisja w końcu przyznała, iż przy podejmowaniu decyzji o zezwoleniu na wprowadzenie GMO należy uwzględniać zasady zrównoważonego rozwoju</w:t>
      </w:r>
      <w:r w:rsidRPr="00670793">
        <w:rPr>
          <w:rStyle w:val="FootnoteReference"/>
        </w:rPr>
        <w:footnoteReference w:id="18"/>
      </w:r>
      <w:r w:rsidRPr="00670793">
        <w:t>; jest jednak głęboko rozczarowany faktem, że od tego czasu Komisja wciąż zezwala na przywóz GMO do Unii mimo sprzeciwu Parlamentu i większości państw członkowskich;</w:t>
      </w:r>
    </w:p>
    <w:p w:rsidR="00133298" w:rsidRPr="00670793" w:rsidRDefault="00133298" w:rsidP="00133298">
      <w:pPr>
        <w:pStyle w:val="NormalHanging12a"/>
      </w:pPr>
      <w:r w:rsidRPr="00670793">
        <w:t>6.</w:t>
      </w:r>
      <w:r w:rsidRPr="00670793">
        <w:tab/>
      </w:r>
      <w:proofErr w:type="gramStart"/>
      <w:r w:rsidRPr="00670793">
        <w:t>ponownie</w:t>
      </w:r>
      <w:proofErr w:type="gramEnd"/>
      <w:r w:rsidRPr="00670793">
        <w:t xml:space="preserve"> apeluje do Komisji o uwzględnianie zobowiązań Unii wynikających z umów międzynarodowych, takich jak paryskie porozumienie klimatyczne, Konwencja ONZ o różnorodności biologicznej i cele zrównoważonego rozwoju ONZ; ponawia apel o to, by projektom aktów wykonawczych towarzyszyło uzasadnienie wyjaśniające, w jaki sposób gwarantują one przestrzeganie zasady „nie szkodzić”</w:t>
      </w:r>
      <w:r w:rsidRPr="00670793">
        <w:rPr>
          <w:rStyle w:val="FootnoteReference"/>
        </w:rPr>
        <w:footnoteReference w:id="19"/>
      </w:r>
      <w:r w:rsidRPr="00670793">
        <w:t>;</w:t>
      </w:r>
    </w:p>
    <w:p w:rsidR="00670793" w:rsidRPr="00670793" w:rsidRDefault="00133298" w:rsidP="00670793">
      <w:pPr>
        <w:widowControl/>
        <w:ind w:left="567" w:hanging="567"/>
      </w:pPr>
      <w:r w:rsidRPr="00670793">
        <w:t>7.</w:t>
      </w:r>
      <w:r w:rsidRPr="00670793">
        <w:tab/>
      </w:r>
      <w:proofErr w:type="gramStart"/>
      <w:r w:rsidRPr="00670793">
        <w:t>zobowiązuje</w:t>
      </w:r>
      <w:proofErr w:type="gramEnd"/>
      <w:r w:rsidRPr="00670793">
        <w:t xml:space="preserve"> swoją przewodniczącą do przekazania niniejszej rezolucji Radzie i Komisji oraz rządom i parlamentom państw członkowskich.</w:t>
      </w:r>
    </w:p>
    <w:p w:rsidR="00E365E1" w:rsidRPr="00670793" w:rsidRDefault="00E365E1" w:rsidP="00A812BA"/>
    <w:sectPr w:rsidR="00E365E1" w:rsidRPr="00670793" w:rsidSect="00670793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Page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812BA" w:rsidRPr="00670793" w:rsidRDefault="00A812BA">
      <w:r w:rsidRPr="00670793">
        <w:separator/>
      </w:r>
    </w:p>
  </w:endnote>
  <w:endnote w:type="continuationSeparator" w:id="0">
    <w:p w:rsidR="00A812BA" w:rsidRPr="00670793" w:rsidRDefault="00A812BA">
      <w:r w:rsidRPr="00670793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00"/>
    <w:family w:val="swiss"/>
    <w:pitch w:val="variable"/>
    <w:sig w:usb0="03000003" w:usb1="00000000" w:usb2="00000000" w:usb3="00000000" w:csb0="00010001" w:csb1="00000000"/>
  </w:font>
  <w:font w:name="Yu Mincho">
    <w:altName w:val="游明朝"/>
    <w:panose1 w:val="00000000000000000000"/>
    <w:charset w:val="80"/>
    <w:family w:val="roman"/>
    <w:notTrueType/>
    <w:pitch w:val="default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670793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670793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670793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812BA" w:rsidRPr="00670793" w:rsidRDefault="00A812BA">
      <w:r w:rsidRPr="00670793">
        <w:separator/>
      </w:r>
    </w:p>
  </w:footnote>
  <w:footnote w:type="continuationSeparator" w:id="0">
    <w:p w:rsidR="00A812BA" w:rsidRPr="00670793" w:rsidRDefault="00A812BA">
      <w:r w:rsidRPr="00670793">
        <w:continuationSeparator/>
      </w:r>
    </w:p>
  </w:footnote>
  <w:footnote w:id="1">
    <w:p w:rsidR="00B82D0D" w:rsidRPr="00D12689" w:rsidRDefault="00B82D0D" w:rsidP="00B82D0D">
      <w:pPr>
        <w:pStyle w:val="FootnoteText"/>
        <w:ind w:left="567" w:hanging="567"/>
        <w:rPr>
          <w:lang w:val="fi-FI"/>
        </w:rPr>
      </w:pPr>
      <w:r w:rsidRPr="00B82D0D">
        <w:rPr>
          <w:rStyle w:val="FootnoteReference"/>
        </w:rPr>
        <w:footnoteRef/>
      </w:r>
      <w:r w:rsidRPr="00B82D0D">
        <w:rPr>
          <w:lang w:val="fi-FI"/>
        </w:rPr>
        <w:t xml:space="preserve"> </w:t>
      </w:r>
      <w:r w:rsidRPr="00B82D0D">
        <w:rPr>
          <w:sz w:val="24"/>
          <w:lang w:val="fi-FI"/>
        </w:rPr>
        <w:tab/>
      </w:r>
      <w:proofErr w:type="spellStart"/>
      <w:r>
        <w:rPr>
          <w:sz w:val="24"/>
          <w:lang w:val="fi-FI"/>
        </w:rPr>
        <w:t>Dz.U</w:t>
      </w:r>
      <w:proofErr w:type="spellEnd"/>
      <w:r>
        <w:rPr>
          <w:sz w:val="24"/>
          <w:lang w:val="fi-FI"/>
        </w:rPr>
        <w:t>.</w:t>
      </w:r>
      <w:r w:rsidRPr="00B82D0D">
        <w:rPr>
          <w:sz w:val="24"/>
          <w:lang w:val="fi-FI"/>
        </w:rPr>
        <w:t xml:space="preserve"> L, 2024/2627, 10.10.2024, ELI: </w:t>
      </w:r>
      <w:hyperlink r:id="rId1" w:history="1">
        <w:r w:rsidRPr="00287FD5">
          <w:rPr>
            <w:rStyle w:val="Hyperlink"/>
            <w:sz w:val="24"/>
            <w:lang w:val="fi-FI"/>
          </w:rPr>
          <w:t>http://data.europa.eu/eli/dec_impl/2024/2627/oj</w:t>
        </w:r>
      </w:hyperlink>
      <w:r w:rsidRPr="00B82D0D">
        <w:rPr>
          <w:sz w:val="24"/>
          <w:lang w:val="fi-FI"/>
        </w:rPr>
        <w:t>.</w:t>
      </w:r>
    </w:p>
  </w:footnote>
  <w:footnote w:id="2">
    <w:p w:rsidR="00133298" w:rsidRPr="00670793" w:rsidRDefault="00133298" w:rsidP="00670793">
      <w:pPr>
        <w:pStyle w:val="FootnoteText"/>
        <w:ind w:left="567" w:hanging="567"/>
        <w:rPr>
          <w:sz w:val="24"/>
          <w:lang w:val="pl-PL"/>
        </w:rPr>
      </w:pPr>
      <w:r w:rsidRPr="00670793">
        <w:rPr>
          <w:rStyle w:val="FootnoteReference"/>
          <w:sz w:val="24"/>
          <w:lang w:val="pl-PL"/>
        </w:rPr>
        <w:footnoteRef/>
      </w:r>
      <w:r w:rsidR="00670793" w:rsidRPr="00670793">
        <w:rPr>
          <w:sz w:val="24"/>
          <w:lang w:val="pl-PL"/>
        </w:rPr>
        <w:t xml:space="preserve"> </w:t>
      </w:r>
      <w:r w:rsidR="00670793" w:rsidRPr="00670793">
        <w:rPr>
          <w:sz w:val="24"/>
          <w:lang w:val="pl-PL"/>
        </w:rPr>
        <w:tab/>
      </w:r>
      <w:r w:rsidRPr="00670793">
        <w:rPr>
          <w:sz w:val="24"/>
          <w:lang w:val="pl-PL"/>
        </w:rPr>
        <w:t xml:space="preserve">Dz.U. L 268 z 18.10.2003, </w:t>
      </w:r>
      <w:proofErr w:type="gramStart"/>
      <w:r w:rsidRPr="00670793">
        <w:rPr>
          <w:sz w:val="24"/>
          <w:lang w:val="pl-PL"/>
        </w:rPr>
        <w:t>s</w:t>
      </w:r>
      <w:proofErr w:type="gramEnd"/>
      <w:r w:rsidRPr="00670793">
        <w:rPr>
          <w:sz w:val="24"/>
          <w:lang w:val="pl-PL"/>
        </w:rPr>
        <w:t xml:space="preserve">. 1, ELI: </w:t>
      </w:r>
      <w:r w:rsidR="005F469A">
        <w:fldChar w:fldCharType="begin"/>
      </w:r>
      <w:r w:rsidR="005F469A" w:rsidRPr="005F469A">
        <w:rPr>
          <w:lang w:val="pl-PL"/>
        </w:rPr>
        <w:instrText xml:space="preserve"> HYPERLINK "http://data.europa.eu/eli/reg/2003/1829/oj" \o "Dostęp do</w:instrText>
      </w:r>
      <w:r w:rsidR="005F469A" w:rsidRPr="005F469A">
        <w:rPr>
          <w:lang w:val="pl-PL"/>
        </w:rPr>
        <w:instrText xml:space="preserve"> dokumentu przez ELI URI." </w:instrText>
      </w:r>
      <w:r w:rsidR="005F469A">
        <w:fldChar w:fldCharType="separate"/>
      </w:r>
      <w:r w:rsidRPr="00670793">
        <w:rPr>
          <w:rStyle w:val="Hyperlink"/>
          <w:sz w:val="24"/>
          <w:lang w:val="pl-PL"/>
        </w:rPr>
        <w:t>http://data.europa.eu/eli/reg/2003/1829/oj</w:t>
      </w:r>
      <w:r w:rsidR="005F469A">
        <w:rPr>
          <w:rStyle w:val="Hyperlink"/>
          <w:sz w:val="24"/>
          <w:lang w:val="pl-PL"/>
        </w:rPr>
        <w:fldChar w:fldCharType="end"/>
      </w:r>
      <w:r w:rsidRPr="00670793">
        <w:rPr>
          <w:sz w:val="24"/>
          <w:lang w:val="pl-PL"/>
        </w:rPr>
        <w:t>.</w:t>
      </w:r>
    </w:p>
  </w:footnote>
  <w:footnote w:id="3">
    <w:p w:rsidR="00133298" w:rsidRPr="00670793" w:rsidRDefault="00133298" w:rsidP="00670793">
      <w:pPr>
        <w:pStyle w:val="FootnoteText"/>
        <w:ind w:left="567" w:hanging="567"/>
        <w:rPr>
          <w:sz w:val="24"/>
          <w:lang w:val="pl-PL"/>
        </w:rPr>
      </w:pPr>
      <w:r w:rsidRPr="00670793">
        <w:rPr>
          <w:rStyle w:val="FootnoteReference"/>
          <w:sz w:val="24"/>
          <w:lang w:val="pl-PL"/>
        </w:rPr>
        <w:footnoteRef/>
      </w:r>
      <w:r w:rsidR="00670793" w:rsidRPr="00670793">
        <w:rPr>
          <w:sz w:val="24"/>
          <w:lang w:val="pl-PL"/>
        </w:rPr>
        <w:t xml:space="preserve"> </w:t>
      </w:r>
      <w:r w:rsidR="00670793" w:rsidRPr="00670793">
        <w:rPr>
          <w:sz w:val="24"/>
          <w:lang w:val="pl-PL"/>
        </w:rPr>
        <w:tab/>
      </w:r>
      <w:r w:rsidRPr="00670793">
        <w:rPr>
          <w:sz w:val="24"/>
          <w:lang w:val="pl-PL"/>
        </w:rPr>
        <w:t xml:space="preserve">Dz.U. L 55 z 28.2.2011, </w:t>
      </w:r>
      <w:proofErr w:type="gramStart"/>
      <w:r w:rsidRPr="00670793">
        <w:rPr>
          <w:sz w:val="24"/>
          <w:lang w:val="pl-PL"/>
        </w:rPr>
        <w:t>s</w:t>
      </w:r>
      <w:proofErr w:type="gramEnd"/>
      <w:r w:rsidRPr="00670793">
        <w:rPr>
          <w:sz w:val="24"/>
          <w:lang w:val="pl-PL"/>
        </w:rPr>
        <w:t xml:space="preserve">. 13, ELI: </w:t>
      </w:r>
      <w:r w:rsidR="005F469A">
        <w:fldChar w:fldCharType="begin"/>
      </w:r>
      <w:r w:rsidR="005F469A" w:rsidRPr="005F469A">
        <w:rPr>
          <w:lang w:val="pl-PL"/>
        </w:rPr>
        <w:instrText xml:space="preserve"> HYPERLINK "http://data.europa.eu/eli/reg/2011/182/oj" \o "Dostęp do dokumentu przez ELI URI." </w:instrText>
      </w:r>
      <w:r w:rsidR="005F469A">
        <w:fldChar w:fldCharType="separate"/>
      </w:r>
      <w:r w:rsidRPr="00670793">
        <w:rPr>
          <w:rStyle w:val="Hyperlink"/>
          <w:sz w:val="24"/>
          <w:lang w:val="pl-PL"/>
        </w:rPr>
        <w:t>http://data.europa.eu/eli/reg/2011/182/oj</w:t>
      </w:r>
      <w:r w:rsidR="005F469A">
        <w:rPr>
          <w:rStyle w:val="Hyperlink"/>
          <w:sz w:val="24"/>
          <w:lang w:val="pl-PL"/>
        </w:rPr>
        <w:fldChar w:fldCharType="end"/>
      </w:r>
      <w:r w:rsidRPr="00670793">
        <w:rPr>
          <w:sz w:val="24"/>
          <w:lang w:val="pl-PL"/>
        </w:rPr>
        <w:t>.</w:t>
      </w:r>
    </w:p>
  </w:footnote>
  <w:footnote w:id="4">
    <w:p w:rsidR="00133298" w:rsidRPr="00670793" w:rsidRDefault="00133298" w:rsidP="00670793">
      <w:pPr>
        <w:pStyle w:val="FootnoteText"/>
        <w:ind w:left="567" w:hanging="567"/>
        <w:rPr>
          <w:sz w:val="24"/>
          <w:lang w:val="pl-PL"/>
        </w:rPr>
      </w:pPr>
      <w:r w:rsidRPr="00670793">
        <w:rPr>
          <w:rStyle w:val="FootnoteReference"/>
          <w:sz w:val="24"/>
          <w:lang w:val="pl-PL"/>
        </w:rPr>
        <w:footnoteRef/>
      </w:r>
      <w:r w:rsidR="00670793" w:rsidRPr="00670793">
        <w:rPr>
          <w:sz w:val="24"/>
          <w:lang w:val="pl-PL"/>
        </w:rPr>
        <w:t xml:space="preserve"> </w:t>
      </w:r>
      <w:r w:rsidR="00670793" w:rsidRPr="00670793">
        <w:rPr>
          <w:sz w:val="24"/>
          <w:lang w:val="pl-PL"/>
        </w:rPr>
        <w:tab/>
      </w:r>
      <w:r w:rsidRPr="00670793">
        <w:rPr>
          <w:sz w:val="24"/>
          <w:lang w:val="pl-PL"/>
        </w:rPr>
        <w:t>Opinia naukowa panelu EFSA ds. organizmów modyfikowanych genetycznie dotycząca oceny genetycznie zmodyfikowanej bawełny COT102 z przeznaczeniem na żywność i pasze, na podstawie rozporządzenia (WE) nr 1829/2003 (wniosek EFSA-GMO-DE-2017-141), Dziennik EFSA</w:t>
      </w:r>
      <w:proofErr w:type="gramStart"/>
      <w:r w:rsidRPr="00670793">
        <w:rPr>
          <w:sz w:val="24"/>
          <w:lang w:val="pl-PL"/>
        </w:rPr>
        <w:t xml:space="preserve">, 2023;21(6):8031, </w:t>
      </w:r>
      <w:r w:rsidR="005F469A">
        <w:fldChar w:fldCharType="begin"/>
      </w:r>
      <w:r w:rsidR="005F469A" w:rsidRPr="005F469A">
        <w:rPr>
          <w:lang w:val="pl-PL"/>
        </w:rPr>
        <w:instrText xml:space="preserve"> HYPERLINK "https://doi.org/10.2903/j.efsa.2023.8031" </w:instrText>
      </w:r>
      <w:r w:rsidR="005F469A">
        <w:fldChar w:fldCharType="separate"/>
      </w:r>
      <w:proofErr w:type="gramEnd"/>
      <w:r w:rsidRPr="00670793">
        <w:rPr>
          <w:rStyle w:val="Hyperlink"/>
          <w:sz w:val="24"/>
          <w:lang w:val="pl-PL"/>
        </w:rPr>
        <w:t>https://doi.org/10.2903/j.efsa.2023.8031</w:t>
      </w:r>
      <w:r w:rsidR="005F469A">
        <w:rPr>
          <w:rStyle w:val="Hyperlink"/>
          <w:sz w:val="24"/>
          <w:lang w:val="pl-PL"/>
        </w:rPr>
        <w:fldChar w:fldCharType="end"/>
      </w:r>
      <w:r w:rsidRPr="00670793">
        <w:rPr>
          <w:sz w:val="24"/>
          <w:lang w:val="pl-PL"/>
        </w:rPr>
        <w:t>.</w:t>
      </w:r>
    </w:p>
  </w:footnote>
  <w:footnote w:id="5">
    <w:p w:rsidR="00133298" w:rsidRPr="00670793" w:rsidRDefault="00133298" w:rsidP="00670793">
      <w:pPr>
        <w:pStyle w:val="FootnoteText"/>
        <w:ind w:left="567" w:hanging="567"/>
        <w:rPr>
          <w:sz w:val="24"/>
          <w:lang w:val="pl-PL"/>
        </w:rPr>
      </w:pPr>
      <w:r w:rsidRPr="00670793">
        <w:rPr>
          <w:rStyle w:val="FootnoteReference"/>
          <w:sz w:val="24"/>
          <w:lang w:val="pl-PL"/>
        </w:rPr>
        <w:footnoteRef/>
      </w:r>
      <w:r w:rsidR="00670793" w:rsidRPr="00670793">
        <w:rPr>
          <w:color w:val="000000" w:themeColor="text1"/>
          <w:sz w:val="24"/>
          <w:lang w:val="pl-PL"/>
        </w:rPr>
        <w:t xml:space="preserve"> </w:t>
      </w:r>
      <w:r w:rsidR="00670793" w:rsidRPr="00670793">
        <w:rPr>
          <w:color w:val="000000" w:themeColor="text1"/>
          <w:sz w:val="24"/>
          <w:lang w:val="pl-PL"/>
        </w:rPr>
        <w:tab/>
      </w:r>
      <w:r w:rsidRPr="00670793">
        <w:rPr>
          <w:color w:val="000000" w:themeColor="text1"/>
          <w:sz w:val="24"/>
          <w:lang w:val="pl-PL"/>
        </w:rPr>
        <w:t>W ósmej kadencji Parlament przyjął 36, a w dziewiątej – 38 rezolucji sprzeciwiających się zatwierdzaniu GMO.</w:t>
      </w:r>
    </w:p>
  </w:footnote>
  <w:footnote w:id="6">
    <w:p w:rsidR="00133298" w:rsidRPr="00670793" w:rsidRDefault="00133298" w:rsidP="00670793">
      <w:pPr>
        <w:pStyle w:val="FootnoteText"/>
        <w:ind w:left="567" w:hanging="567"/>
        <w:rPr>
          <w:sz w:val="24"/>
          <w:lang w:val="pl-PL"/>
        </w:rPr>
      </w:pPr>
      <w:r w:rsidRPr="00670793">
        <w:rPr>
          <w:rStyle w:val="FootnoteReference"/>
          <w:sz w:val="24"/>
          <w:lang w:val="pl-PL"/>
        </w:rPr>
        <w:footnoteRef/>
      </w:r>
      <w:r w:rsidR="00670793" w:rsidRPr="00670793">
        <w:rPr>
          <w:sz w:val="24"/>
          <w:lang w:val="pl-PL"/>
        </w:rPr>
        <w:t xml:space="preserve"> </w:t>
      </w:r>
      <w:r w:rsidR="00670793" w:rsidRPr="00670793">
        <w:rPr>
          <w:sz w:val="24"/>
          <w:lang w:val="pl-PL"/>
        </w:rPr>
        <w:tab/>
      </w:r>
      <w:proofErr w:type="spellStart"/>
      <w:r w:rsidRPr="00670793">
        <w:rPr>
          <w:sz w:val="24"/>
          <w:lang w:val="pl-PL"/>
        </w:rPr>
        <w:t>MacIntosh</w:t>
      </w:r>
      <w:proofErr w:type="spellEnd"/>
      <w:r w:rsidRPr="00670793">
        <w:rPr>
          <w:sz w:val="24"/>
          <w:lang w:val="pl-PL"/>
        </w:rPr>
        <w:t xml:space="preserve">, S.C., </w:t>
      </w:r>
      <w:proofErr w:type="spellStart"/>
      <w:r w:rsidRPr="00670793">
        <w:rPr>
          <w:sz w:val="24"/>
          <w:lang w:val="pl-PL"/>
        </w:rPr>
        <w:t>Kishore</w:t>
      </w:r>
      <w:proofErr w:type="spellEnd"/>
      <w:r w:rsidRPr="00670793">
        <w:rPr>
          <w:sz w:val="24"/>
          <w:lang w:val="pl-PL"/>
        </w:rPr>
        <w:t xml:space="preserve">, G.M., Perlak, F.J., </w:t>
      </w:r>
      <w:proofErr w:type="spellStart"/>
      <w:r w:rsidRPr="00670793">
        <w:rPr>
          <w:sz w:val="24"/>
          <w:lang w:val="pl-PL"/>
        </w:rPr>
        <w:t>Marrone</w:t>
      </w:r>
      <w:proofErr w:type="spellEnd"/>
      <w:r w:rsidRPr="00670793">
        <w:rPr>
          <w:sz w:val="24"/>
          <w:lang w:val="pl-PL"/>
        </w:rPr>
        <w:t xml:space="preserve">, P.G., </w:t>
      </w:r>
      <w:proofErr w:type="spellStart"/>
      <w:r w:rsidRPr="00670793">
        <w:rPr>
          <w:sz w:val="24"/>
          <w:lang w:val="pl-PL"/>
        </w:rPr>
        <w:t>Stone</w:t>
      </w:r>
      <w:proofErr w:type="spellEnd"/>
      <w:r w:rsidRPr="00670793">
        <w:rPr>
          <w:sz w:val="24"/>
          <w:lang w:val="pl-PL"/>
        </w:rPr>
        <w:t xml:space="preserve">, T.B., </w:t>
      </w:r>
      <w:proofErr w:type="spellStart"/>
      <w:r w:rsidRPr="00670793">
        <w:rPr>
          <w:sz w:val="24"/>
          <w:lang w:val="pl-PL"/>
        </w:rPr>
        <w:t>Sims</w:t>
      </w:r>
      <w:proofErr w:type="spellEnd"/>
      <w:r w:rsidRPr="00670793">
        <w:rPr>
          <w:sz w:val="24"/>
          <w:lang w:val="pl-PL"/>
        </w:rPr>
        <w:t>, S.R., Fuchs, R.L., „</w:t>
      </w:r>
      <w:proofErr w:type="spellStart"/>
      <w:r w:rsidRPr="00670793">
        <w:rPr>
          <w:sz w:val="24"/>
          <w:lang w:val="pl-PL"/>
        </w:rPr>
        <w:t>Potentiation</w:t>
      </w:r>
      <w:proofErr w:type="spellEnd"/>
      <w:r w:rsidRPr="00670793">
        <w:rPr>
          <w:sz w:val="24"/>
          <w:lang w:val="pl-PL"/>
        </w:rPr>
        <w:t xml:space="preserve"> of </w:t>
      </w:r>
      <w:proofErr w:type="spellStart"/>
      <w:r w:rsidRPr="00670793">
        <w:rPr>
          <w:i/>
          <w:sz w:val="24"/>
          <w:lang w:val="pl-PL"/>
        </w:rPr>
        <w:t>Bacillus</w:t>
      </w:r>
      <w:proofErr w:type="spellEnd"/>
      <w:r w:rsidRPr="00670793">
        <w:rPr>
          <w:i/>
          <w:sz w:val="24"/>
          <w:lang w:val="pl-PL"/>
        </w:rPr>
        <w:t xml:space="preserve"> </w:t>
      </w:r>
      <w:proofErr w:type="spellStart"/>
      <w:r w:rsidRPr="00670793">
        <w:rPr>
          <w:i/>
          <w:sz w:val="24"/>
          <w:lang w:val="pl-PL"/>
        </w:rPr>
        <w:t>thuringiensis</w:t>
      </w:r>
      <w:proofErr w:type="spellEnd"/>
      <w:r w:rsidRPr="00670793">
        <w:rPr>
          <w:sz w:val="24"/>
          <w:lang w:val="pl-PL"/>
        </w:rPr>
        <w:t> </w:t>
      </w:r>
      <w:proofErr w:type="spellStart"/>
      <w:r w:rsidRPr="00670793">
        <w:rPr>
          <w:sz w:val="24"/>
          <w:lang w:val="pl-PL"/>
        </w:rPr>
        <w:t>insecticidal</w:t>
      </w:r>
      <w:proofErr w:type="spellEnd"/>
      <w:r w:rsidRPr="00670793">
        <w:rPr>
          <w:sz w:val="24"/>
          <w:lang w:val="pl-PL"/>
        </w:rPr>
        <w:t xml:space="preserve"> </w:t>
      </w:r>
      <w:proofErr w:type="spellStart"/>
      <w:r w:rsidRPr="00670793">
        <w:rPr>
          <w:sz w:val="24"/>
          <w:lang w:val="pl-PL"/>
        </w:rPr>
        <w:t>activity</w:t>
      </w:r>
      <w:proofErr w:type="spellEnd"/>
      <w:r w:rsidRPr="00670793">
        <w:rPr>
          <w:sz w:val="24"/>
          <w:lang w:val="pl-PL"/>
        </w:rPr>
        <w:t xml:space="preserve"> by </w:t>
      </w:r>
      <w:proofErr w:type="spellStart"/>
      <w:r w:rsidRPr="00670793">
        <w:rPr>
          <w:sz w:val="24"/>
          <w:lang w:val="pl-PL"/>
        </w:rPr>
        <w:t>serine</w:t>
      </w:r>
      <w:proofErr w:type="spellEnd"/>
      <w:r w:rsidRPr="00670793">
        <w:rPr>
          <w:sz w:val="24"/>
          <w:lang w:val="pl-PL"/>
        </w:rPr>
        <w:t xml:space="preserve"> </w:t>
      </w:r>
      <w:proofErr w:type="spellStart"/>
      <w:r w:rsidRPr="00670793">
        <w:rPr>
          <w:sz w:val="24"/>
          <w:lang w:val="pl-PL"/>
        </w:rPr>
        <w:t>protease</w:t>
      </w:r>
      <w:proofErr w:type="spellEnd"/>
      <w:r w:rsidRPr="00670793">
        <w:rPr>
          <w:sz w:val="24"/>
          <w:lang w:val="pl-PL"/>
        </w:rPr>
        <w:t xml:space="preserve"> </w:t>
      </w:r>
      <w:proofErr w:type="spellStart"/>
      <w:r w:rsidRPr="00670793">
        <w:rPr>
          <w:sz w:val="24"/>
          <w:lang w:val="pl-PL"/>
        </w:rPr>
        <w:t>inhibitors</w:t>
      </w:r>
      <w:proofErr w:type="spellEnd"/>
      <w:r w:rsidRPr="00670793">
        <w:rPr>
          <w:sz w:val="24"/>
          <w:lang w:val="pl-PL"/>
        </w:rPr>
        <w:t xml:space="preserve">” [Nasilenie aktywności owadobójczej </w:t>
      </w:r>
      <w:proofErr w:type="spellStart"/>
      <w:r w:rsidRPr="00670793">
        <w:rPr>
          <w:sz w:val="24"/>
          <w:lang w:val="pl-PL"/>
        </w:rPr>
        <w:t>Bacillus</w:t>
      </w:r>
      <w:proofErr w:type="spellEnd"/>
      <w:r w:rsidRPr="00670793">
        <w:rPr>
          <w:sz w:val="24"/>
          <w:lang w:val="pl-PL"/>
        </w:rPr>
        <w:t xml:space="preserve"> </w:t>
      </w:r>
      <w:proofErr w:type="spellStart"/>
      <w:r w:rsidRPr="00670793">
        <w:rPr>
          <w:sz w:val="24"/>
          <w:lang w:val="pl-PL"/>
        </w:rPr>
        <w:t>thuringiensis</w:t>
      </w:r>
      <w:proofErr w:type="spellEnd"/>
      <w:r w:rsidRPr="00670793">
        <w:rPr>
          <w:sz w:val="24"/>
          <w:lang w:val="pl-PL"/>
        </w:rPr>
        <w:t xml:space="preserve"> w obecności inhibitorów proteazy serynowej], </w:t>
      </w:r>
      <w:proofErr w:type="spellStart"/>
      <w:r w:rsidRPr="00670793">
        <w:rPr>
          <w:sz w:val="24"/>
          <w:lang w:val="pl-PL"/>
        </w:rPr>
        <w:t>Journal</w:t>
      </w:r>
      <w:proofErr w:type="spellEnd"/>
      <w:r w:rsidRPr="00670793">
        <w:rPr>
          <w:sz w:val="24"/>
          <w:lang w:val="pl-PL"/>
        </w:rPr>
        <w:t xml:space="preserve"> of </w:t>
      </w:r>
      <w:proofErr w:type="spellStart"/>
      <w:r w:rsidRPr="00670793">
        <w:rPr>
          <w:sz w:val="24"/>
          <w:lang w:val="pl-PL"/>
        </w:rPr>
        <w:t>Agricultural</w:t>
      </w:r>
      <w:proofErr w:type="spellEnd"/>
      <w:r w:rsidRPr="00670793">
        <w:rPr>
          <w:sz w:val="24"/>
          <w:lang w:val="pl-PL"/>
        </w:rPr>
        <w:t xml:space="preserve"> and Food </w:t>
      </w:r>
      <w:proofErr w:type="spellStart"/>
      <w:r w:rsidRPr="00670793">
        <w:rPr>
          <w:sz w:val="24"/>
          <w:lang w:val="pl-PL"/>
        </w:rPr>
        <w:t>Chemistry</w:t>
      </w:r>
      <w:proofErr w:type="spellEnd"/>
      <w:r w:rsidRPr="00670793">
        <w:rPr>
          <w:sz w:val="24"/>
          <w:lang w:val="pl-PL"/>
        </w:rPr>
        <w:t xml:space="preserve">, 1990,38,4, s. 1145–1152, </w:t>
      </w:r>
      <w:hyperlink r:id="rId2" w:history="1">
        <w:r w:rsidRPr="00670793">
          <w:rPr>
            <w:rStyle w:val="Hyperlink"/>
            <w:sz w:val="24"/>
            <w:lang w:val="pl-PL"/>
          </w:rPr>
          <w:t>https://pubs.acs.org/doi/abs/10.1021/jf00094a051</w:t>
        </w:r>
      </w:hyperlink>
      <w:r w:rsidRPr="00670793">
        <w:rPr>
          <w:sz w:val="24"/>
          <w:lang w:val="pl-PL"/>
        </w:rPr>
        <w:t>.</w:t>
      </w:r>
    </w:p>
  </w:footnote>
  <w:footnote w:id="7">
    <w:p w:rsidR="00133298" w:rsidRPr="00670793" w:rsidRDefault="00133298" w:rsidP="00670793">
      <w:pPr>
        <w:pStyle w:val="FootnoteText"/>
        <w:ind w:left="567" w:hanging="567"/>
        <w:rPr>
          <w:sz w:val="24"/>
          <w:lang w:val="pl-PL"/>
        </w:rPr>
      </w:pPr>
      <w:r w:rsidRPr="00670793">
        <w:rPr>
          <w:rStyle w:val="FootnoteReference"/>
          <w:sz w:val="24"/>
          <w:lang w:val="pl-PL"/>
        </w:rPr>
        <w:footnoteRef/>
      </w:r>
      <w:r w:rsidR="00670793" w:rsidRPr="00670793">
        <w:rPr>
          <w:sz w:val="24"/>
          <w:lang w:val="pl-PL"/>
        </w:rPr>
        <w:t xml:space="preserve"> </w:t>
      </w:r>
      <w:r w:rsidR="00670793" w:rsidRPr="00670793">
        <w:rPr>
          <w:sz w:val="24"/>
          <w:lang w:val="pl-PL"/>
        </w:rPr>
        <w:tab/>
      </w:r>
      <w:r w:rsidRPr="00670793">
        <w:rPr>
          <w:sz w:val="24"/>
          <w:lang w:val="pl-PL"/>
        </w:rPr>
        <w:t xml:space="preserve">Zob. </w:t>
      </w:r>
      <w:proofErr w:type="spellStart"/>
      <w:r w:rsidRPr="00670793">
        <w:rPr>
          <w:sz w:val="24"/>
          <w:lang w:val="pl-PL"/>
        </w:rPr>
        <w:t>Rubio-Infante</w:t>
      </w:r>
      <w:proofErr w:type="spellEnd"/>
      <w:r w:rsidRPr="00670793">
        <w:rPr>
          <w:sz w:val="24"/>
          <w:lang w:val="pl-PL"/>
        </w:rPr>
        <w:t xml:space="preserve"> N., Moreno-</w:t>
      </w:r>
      <w:proofErr w:type="spellStart"/>
      <w:r w:rsidRPr="00670793">
        <w:rPr>
          <w:sz w:val="24"/>
          <w:lang w:val="pl-PL"/>
        </w:rPr>
        <w:t>Fierros</w:t>
      </w:r>
      <w:proofErr w:type="spellEnd"/>
      <w:r w:rsidRPr="00670793">
        <w:rPr>
          <w:sz w:val="24"/>
          <w:lang w:val="pl-PL"/>
        </w:rPr>
        <w:t xml:space="preserve"> L., „</w:t>
      </w:r>
      <w:proofErr w:type="spellStart"/>
      <w:r w:rsidRPr="00670793">
        <w:rPr>
          <w:sz w:val="24"/>
          <w:lang w:val="pl-PL"/>
        </w:rPr>
        <w:t>An</w:t>
      </w:r>
      <w:proofErr w:type="spellEnd"/>
      <w:r w:rsidRPr="00670793">
        <w:rPr>
          <w:sz w:val="24"/>
          <w:lang w:val="pl-PL"/>
        </w:rPr>
        <w:t xml:space="preserve"> </w:t>
      </w:r>
      <w:proofErr w:type="spellStart"/>
      <w:r w:rsidRPr="00670793">
        <w:rPr>
          <w:sz w:val="24"/>
          <w:lang w:val="pl-PL"/>
        </w:rPr>
        <w:t>overview</w:t>
      </w:r>
      <w:proofErr w:type="spellEnd"/>
      <w:r w:rsidRPr="00670793">
        <w:rPr>
          <w:sz w:val="24"/>
          <w:lang w:val="pl-PL"/>
        </w:rPr>
        <w:t xml:space="preserve"> of the </w:t>
      </w:r>
      <w:proofErr w:type="spellStart"/>
      <w:r w:rsidRPr="00670793">
        <w:rPr>
          <w:sz w:val="24"/>
          <w:lang w:val="pl-PL"/>
        </w:rPr>
        <w:t>safety</w:t>
      </w:r>
      <w:proofErr w:type="spellEnd"/>
      <w:r w:rsidRPr="00670793">
        <w:rPr>
          <w:sz w:val="24"/>
          <w:lang w:val="pl-PL"/>
        </w:rPr>
        <w:t xml:space="preserve"> and </w:t>
      </w:r>
      <w:proofErr w:type="spellStart"/>
      <w:r w:rsidRPr="00670793">
        <w:rPr>
          <w:sz w:val="24"/>
          <w:lang w:val="pl-PL"/>
        </w:rPr>
        <w:t>biological</w:t>
      </w:r>
      <w:proofErr w:type="spellEnd"/>
      <w:r w:rsidRPr="00670793">
        <w:rPr>
          <w:sz w:val="24"/>
          <w:lang w:val="pl-PL"/>
        </w:rPr>
        <w:t xml:space="preserve"> </w:t>
      </w:r>
      <w:proofErr w:type="spellStart"/>
      <w:r w:rsidRPr="00670793">
        <w:rPr>
          <w:sz w:val="24"/>
          <w:lang w:val="pl-PL"/>
        </w:rPr>
        <w:t>effects</w:t>
      </w:r>
      <w:proofErr w:type="spellEnd"/>
      <w:r w:rsidRPr="00670793">
        <w:rPr>
          <w:sz w:val="24"/>
          <w:lang w:val="pl-PL"/>
        </w:rPr>
        <w:t xml:space="preserve"> of </w:t>
      </w:r>
      <w:proofErr w:type="spellStart"/>
      <w:r w:rsidRPr="00670793">
        <w:rPr>
          <w:i/>
          <w:sz w:val="24"/>
          <w:lang w:val="pl-PL"/>
        </w:rPr>
        <w:t>Bacillus</w:t>
      </w:r>
      <w:proofErr w:type="spellEnd"/>
      <w:r w:rsidRPr="00670793">
        <w:rPr>
          <w:i/>
          <w:sz w:val="24"/>
          <w:lang w:val="pl-PL"/>
        </w:rPr>
        <w:t xml:space="preserve"> </w:t>
      </w:r>
      <w:proofErr w:type="spellStart"/>
      <w:r w:rsidRPr="00670793">
        <w:rPr>
          <w:i/>
          <w:sz w:val="24"/>
          <w:lang w:val="pl-PL"/>
        </w:rPr>
        <w:t>thuringiensis</w:t>
      </w:r>
      <w:proofErr w:type="spellEnd"/>
      <w:r w:rsidRPr="00670793">
        <w:rPr>
          <w:sz w:val="24"/>
          <w:lang w:val="pl-PL"/>
        </w:rPr>
        <w:t> </w:t>
      </w:r>
      <w:proofErr w:type="spellStart"/>
      <w:r w:rsidRPr="00670793">
        <w:rPr>
          <w:sz w:val="24"/>
          <w:lang w:val="pl-PL"/>
        </w:rPr>
        <w:t>Cry</w:t>
      </w:r>
      <w:proofErr w:type="spellEnd"/>
      <w:r w:rsidRPr="00670793">
        <w:rPr>
          <w:sz w:val="24"/>
          <w:lang w:val="pl-PL"/>
        </w:rPr>
        <w:t xml:space="preserve"> </w:t>
      </w:r>
      <w:proofErr w:type="spellStart"/>
      <w:r w:rsidRPr="00670793">
        <w:rPr>
          <w:sz w:val="24"/>
          <w:lang w:val="pl-PL"/>
        </w:rPr>
        <w:t>toxins</w:t>
      </w:r>
      <w:proofErr w:type="spellEnd"/>
      <w:r w:rsidRPr="00670793">
        <w:rPr>
          <w:sz w:val="24"/>
          <w:lang w:val="pl-PL"/>
        </w:rPr>
        <w:t xml:space="preserve"> in </w:t>
      </w:r>
      <w:proofErr w:type="spellStart"/>
      <w:r w:rsidRPr="00670793">
        <w:rPr>
          <w:sz w:val="24"/>
          <w:lang w:val="pl-PL"/>
        </w:rPr>
        <w:t>mammals</w:t>
      </w:r>
      <w:proofErr w:type="spellEnd"/>
      <w:r w:rsidRPr="00670793">
        <w:rPr>
          <w:sz w:val="24"/>
          <w:lang w:val="pl-PL"/>
        </w:rPr>
        <w:t xml:space="preserve">” [Przegląd bezpieczeństwa i skutków biologicznych toksyn </w:t>
      </w:r>
      <w:proofErr w:type="spellStart"/>
      <w:r w:rsidRPr="00670793">
        <w:rPr>
          <w:sz w:val="24"/>
          <w:lang w:val="pl-PL"/>
        </w:rPr>
        <w:t>Cry</w:t>
      </w:r>
      <w:proofErr w:type="spellEnd"/>
      <w:r w:rsidRPr="00670793">
        <w:rPr>
          <w:sz w:val="24"/>
          <w:lang w:val="pl-PL"/>
        </w:rPr>
        <w:t xml:space="preserve"> </w:t>
      </w:r>
      <w:proofErr w:type="spellStart"/>
      <w:r w:rsidRPr="00670793">
        <w:rPr>
          <w:sz w:val="24"/>
          <w:lang w:val="pl-PL"/>
        </w:rPr>
        <w:t>Bacillus</w:t>
      </w:r>
      <w:proofErr w:type="spellEnd"/>
      <w:r w:rsidRPr="00670793">
        <w:rPr>
          <w:sz w:val="24"/>
          <w:lang w:val="pl-PL"/>
        </w:rPr>
        <w:t xml:space="preserve"> </w:t>
      </w:r>
      <w:proofErr w:type="spellStart"/>
      <w:r w:rsidRPr="00670793">
        <w:rPr>
          <w:sz w:val="24"/>
          <w:lang w:val="pl-PL"/>
        </w:rPr>
        <w:t>thuringiensis</w:t>
      </w:r>
      <w:proofErr w:type="spellEnd"/>
      <w:r w:rsidRPr="00670793">
        <w:rPr>
          <w:sz w:val="24"/>
          <w:lang w:val="pl-PL"/>
        </w:rPr>
        <w:t xml:space="preserve"> u ssaków], </w:t>
      </w:r>
      <w:proofErr w:type="spellStart"/>
      <w:r w:rsidRPr="00670793">
        <w:rPr>
          <w:sz w:val="24"/>
          <w:lang w:val="pl-PL"/>
        </w:rPr>
        <w:t>Journal</w:t>
      </w:r>
      <w:proofErr w:type="spellEnd"/>
      <w:r w:rsidRPr="00670793">
        <w:rPr>
          <w:sz w:val="24"/>
          <w:lang w:val="pl-PL"/>
        </w:rPr>
        <w:t xml:space="preserve"> of Applied </w:t>
      </w:r>
      <w:proofErr w:type="spellStart"/>
      <w:r w:rsidRPr="00670793">
        <w:rPr>
          <w:sz w:val="24"/>
          <w:lang w:val="pl-PL"/>
        </w:rPr>
        <w:t>Toxicology</w:t>
      </w:r>
      <w:proofErr w:type="spellEnd"/>
      <w:r w:rsidRPr="00670793">
        <w:rPr>
          <w:sz w:val="24"/>
          <w:lang w:val="pl-PL"/>
        </w:rPr>
        <w:t xml:space="preserve">, maj 2016, (36,5), s. 630–648, </w:t>
      </w:r>
      <w:hyperlink r:id="rId3" w:history="1">
        <w:r w:rsidRPr="00670793">
          <w:rPr>
            <w:rStyle w:val="Hyperlink"/>
            <w:sz w:val="24"/>
            <w:lang w:val="pl-PL"/>
          </w:rPr>
          <w:t>https://onlinelibrary.wiley.com/doi/full/10.1002/jat.3252</w:t>
        </w:r>
      </w:hyperlink>
      <w:r w:rsidRPr="00670793">
        <w:rPr>
          <w:sz w:val="24"/>
          <w:lang w:val="pl-PL"/>
        </w:rPr>
        <w:t>.</w:t>
      </w:r>
    </w:p>
  </w:footnote>
  <w:footnote w:id="8">
    <w:p w:rsidR="00133298" w:rsidRPr="00670793" w:rsidRDefault="00133298" w:rsidP="00670793">
      <w:pPr>
        <w:pStyle w:val="FootnoteText"/>
        <w:ind w:left="567" w:hanging="567"/>
        <w:rPr>
          <w:sz w:val="24"/>
          <w:lang w:val="pl-PL"/>
        </w:rPr>
      </w:pPr>
      <w:r w:rsidRPr="00670793">
        <w:rPr>
          <w:rStyle w:val="FootnoteReference"/>
          <w:sz w:val="24"/>
          <w:lang w:val="pl-PL"/>
        </w:rPr>
        <w:footnoteRef/>
      </w:r>
      <w:r w:rsidR="00670793" w:rsidRPr="00670793">
        <w:rPr>
          <w:sz w:val="24"/>
          <w:lang w:val="pl-PL"/>
        </w:rPr>
        <w:t xml:space="preserve"> </w:t>
      </w:r>
      <w:r w:rsidR="00670793" w:rsidRPr="00670793">
        <w:rPr>
          <w:sz w:val="24"/>
          <w:lang w:val="pl-PL"/>
        </w:rPr>
        <w:tab/>
      </w:r>
      <w:r w:rsidRPr="00670793">
        <w:rPr>
          <w:sz w:val="24"/>
          <w:lang w:val="pl-PL"/>
        </w:rPr>
        <w:t xml:space="preserve">Zob. np. </w:t>
      </w:r>
      <w:proofErr w:type="spellStart"/>
      <w:r w:rsidRPr="00670793">
        <w:rPr>
          <w:sz w:val="24"/>
          <w:lang w:val="pl-PL"/>
        </w:rPr>
        <w:t>Hilbeck</w:t>
      </w:r>
      <w:proofErr w:type="spellEnd"/>
      <w:r w:rsidRPr="00670793">
        <w:rPr>
          <w:sz w:val="24"/>
          <w:lang w:val="pl-PL"/>
        </w:rPr>
        <w:t>, A., Otto, M., „</w:t>
      </w:r>
      <w:proofErr w:type="spellStart"/>
      <w:r w:rsidRPr="00670793">
        <w:rPr>
          <w:sz w:val="24"/>
          <w:lang w:val="pl-PL"/>
        </w:rPr>
        <w:t>Specificity</w:t>
      </w:r>
      <w:proofErr w:type="spellEnd"/>
      <w:r w:rsidRPr="00670793">
        <w:rPr>
          <w:sz w:val="24"/>
          <w:lang w:val="pl-PL"/>
        </w:rPr>
        <w:t xml:space="preserve"> and </w:t>
      </w:r>
      <w:proofErr w:type="spellStart"/>
      <w:r w:rsidRPr="00670793">
        <w:rPr>
          <w:sz w:val="24"/>
          <w:lang w:val="pl-PL"/>
        </w:rPr>
        <w:t>combinatorial</w:t>
      </w:r>
      <w:proofErr w:type="spellEnd"/>
      <w:r w:rsidRPr="00670793">
        <w:rPr>
          <w:sz w:val="24"/>
          <w:lang w:val="pl-PL"/>
        </w:rPr>
        <w:t xml:space="preserve"> </w:t>
      </w:r>
      <w:proofErr w:type="spellStart"/>
      <w:r w:rsidRPr="00670793">
        <w:rPr>
          <w:sz w:val="24"/>
          <w:lang w:val="pl-PL"/>
        </w:rPr>
        <w:t>effects</w:t>
      </w:r>
      <w:proofErr w:type="spellEnd"/>
      <w:r w:rsidRPr="00670793">
        <w:rPr>
          <w:sz w:val="24"/>
          <w:lang w:val="pl-PL"/>
        </w:rPr>
        <w:t xml:space="preserve"> of </w:t>
      </w:r>
      <w:proofErr w:type="spellStart"/>
      <w:r w:rsidRPr="00670793">
        <w:rPr>
          <w:i/>
          <w:sz w:val="24"/>
          <w:lang w:val="pl-PL"/>
        </w:rPr>
        <w:t>Bacillus</w:t>
      </w:r>
      <w:proofErr w:type="spellEnd"/>
      <w:r w:rsidRPr="00670793">
        <w:rPr>
          <w:i/>
          <w:sz w:val="24"/>
          <w:lang w:val="pl-PL"/>
        </w:rPr>
        <w:t xml:space="preserve"> </w:t>
      </w:r>
      <w:proofErr w:type="spellStart"/>
      <w:r w:rsidRPr="00670793">
        <w:rPr>
          <w:i/>
          <w:sz w:val="24"/>
          <w:lang w:val="pl-PL"/>
        </w:rPr>
        <w:t>thuringiensis</w:t>
      </w:r>
      <w:proofErr w:type="spellEnd"/>
      <w:r w:rsidRPr="00670793">
        <w:rPr>
          <w:sz w:val="24"/>
          <w:lang w:val="pl-PL"/>
        </w:rPr>
        <w:t> </w:t>
      </w:r>
      <w:proofErr w:type="spellStart"/>
      <w:r w:rsidRPr="00670793">
        <w:rPr>
          <w:sz w:val="24"/>
          <w:lang w:val="pl-PL"/>
        </w:rPr>
        <w:t>Cry</w:t>
      </w:r>
      <w:proofErr w:type="spellEnd"/>
      <w:r w:rsidRPr="00670793">
        <w:rPr>
          <w:sz w:val="24"/>
          <w:lang w:val="pl-PL"/>
        </w:rPr>
        <w:t xml:space="preserve"> </w:t>
      </w:r>
      <w:proofErr w:type="spellStart"/>
      <w:r w:rsidRPr="00670793">
        <w:rPr>
          <w:sz w:val="24"/>
          <w:lang w:val="pl-PL"/>
        </w:rPr>
        <w:t>toxins</w:t>
      </w:r>
      <w:proofErr w:type="spellEnd"/>
      <w:r w:rsidRPr="00670793">
        <w:rPr>
          <w:sz w:val="24"/>
          <w:lang w:val="pl-PL"/>
        </w:rPr>
        <w:t xml:space="preserve"> in the </w:t>
      </w:r>
      <w:proofErr w:type="spellStart"/>
      <w:r w:rsidRPr="00670793">
        <w:rPr>
          <w:sz w:val="24"/>
          <w:lang w:val="pl-PL"/>
        </w:rPr>
        <w:t>context</w:t>
      </w:r>
      <w:proofErr w:type="spellEnd"/>
      <w:r w:rsidRPr="00670793">
        <w:rPr>
          <w:sz w:val="24"/>
          <w:lang w:val="pl-PL"/>
        </w:rPr>
        <w:t xml:space="preserve"> of GMO </w:t>
      </w:r>
      <w:proofErr w:type="spellStart"/>
      <w:r w:rsidRPr="00670793">
        <w:rPr>
          <w:sz w:val="24"/>
          <w:lang w:val="pl-PL"/>
        </w:rPr>
        <w:t>environmental</w:t>
      </w:r>
      <w:proofErr w:type="spellEnd"/>
      <w:r w:rsidRPr="00670793">
        <w:rPr>
          <w:sz w:val="24"/>
          <w:lang w:val="pl-PL"/>
        </w:rPr>
        <w:t xml:space="preserve"> </w:t>
      </w:r>
      <w:proofErr w:type="spellStart"/>
      <w:r w:rsidRPr="00670793">
        <w:rPr>
          <w:sz w:val="24"/>
          <w:lang w:val="pl-PL"/>
        </w:rPr>
        <w:t>risk</w:t>
      </w:r>
      <w:proofErr w:type="spellEnd"/>
      <w:r w:rsidRPr="00670793">
        <w:rPr>
          <w:sz w:val="24"/>
          <w:lang w:val="pl-PL"/>
        </w:rPr>
        <w:t xml:space="preserve"> </w:t>
      </w:r>
      <w:proofErr w:type="spellStart"/>
      <w:r w:rsidRPr="00670793">
        <w:rPr>
          <w:sz w:val="24"/>
          <w:lang w:val="pl-PL"/>
        </w:rPr>
        <w:t>assessment</w:t>
      </w:r>
      <w:proofErr w:type="spellEnd"/>
      <w:r w:rsidRPr="00670793">
        <w:rPr>
          <w:sz w:val="24"/>
          <w:lang w:val="pl-PL"/>
        </w:rPr>
        <w:t xml:space="preserve">” [Swoistość i skutki skojarzone toksyn </w:t>
      </w:r>
      <w:proofErr w:type="spellStart"/>
      <w:r w:rsidRPr="00670793">
        <w:rPr>
          <w:sz w:val="24"/>
          <w:lang w:val="pl-PL"/>
        </w:rPr>
        <w:t>Cry</w:t>
      </w:r>
      <w:proofErr w:type="spellEnd"/>
      <w:r w:rsidRPr="00670793">
        <w:rPr>
          <w:sz w:val="24"/>
          <w:lang w:val="pl-PL"/>
        </w:rPr>
        <w:t xml:space="preserve"> </w:t>
      </w:r>
      <w:proofErr w:type="spellStart"/>
      <w:r w:rsidRPr="00670793">
        <w:rPr>
          <w:sz w:val="24"/>
          <w:lang w:val="pl-PL"/>
        </w:rPr>
        <w:t>Bacillus</w:t>
      </w:r>
      <w:proofErr w:type="spellEnd"/>
      <w:r w:rsidRPr="00670793">
        <w:rPr>
          <w:sz w:val="24"/>
          <w:lang w:val="pl-PL"/>
        </w:rPr>
        <w:t xml:space="preserve"> </w:t>
      </w:r>
      <w:proofErr w:type="spellStart"/>
      <w:r w:rsidRPr="00670793">
        <w:rPr>
          <w:sz w:val="24"/>
          <w:lang w:val="pl-PL"/>
        </w:rPr>
        <w:t>thuringiensis</w:t>
      </w:r>
      <w:proofErr w:type="spellEnd"/>
      <w:r w:rsidRPr="00670793">
        <w:rPr>
          <w:sz w:val="24"/>
          <w:lang w:val="pl-PL"/>
        </w:rPr>
        <w:t xml:space="preserve"> w kontekście oceny ryzyka związanego z GMO], </w:t>
      </w:r>
      <w:proofErr w:type="spellStart"/>
      <w:r w:rsidRPr="00670793">
        <w:rPr>
          <w:sz w:val="24"/>
          <w:lang w:val="pl-PL"/>
        </w:rPr>
        <w:t>Frontiers</w:t>
      </w:r>
      <w:proofErr w:type="spellEnd"/>
      <w:r w:rsidRPr="00670793">
        <w:rPr>
          <w:sz w:val="24"/>
          <w:lang w:val="pl-PL"/>
        </w:rPr>
        <w:t xml:space="preserve"> in </w:t>
      </w:r>
      <w:proofErr w:type="spellStart"/>
      <w:r w:rsidRPr="00670793">
        <w:rPr>
          <w:sz w:val="24"/>
          <w:lang w:val="pl-PL"/>
        </w:rPr>
        <w:t>Environmental</w:t>
      </w:r>
      <w:proofErr w:type="spellEnd"/>
      <w:r w:rsidRPr="00670793">
        <w:rPr>
          <w:sz w:val="24"/>
          <w:lang w:val="pl-PL"/>
        </w:rPr>
        <w:t xml:space="preserve"> Science</w:t>
      </w:r>
      <w:proofErr w:type="gramStart"/>
      <w:r w:rsidRPr="00670793">
        <w:rPr>
          <w:sz w:val="24"/>
          <w:lang w:val="pl-PL"/>
        </w:rPr>
        <w:t xml:space="preserve"> 2015, 3:71, </w:t>
      </w:r>
      <w:r w:rsidR="005F469A">
        <w:fldChar w:fldCharType="begin"/>
      </w:r>
      <w:r w:rsidR="005F469A" w:rsidRPr="005F469A">
        <w:rPr>
          <w:lang w:val="pl-PL"/>
        </w:rPr>
        <w:instrText xml:space="preserve"> HYPERLINK "https://doi.org/10.3389/fenvs.2015.00071" </w:instrText>
      </w:r>
      <w:r w:rsidR="005F469A">
        <w:fldChar w:fldCharType="separate"/>
      </w:r>
      <w:proofErr w:type="gramEnd"/>
      <w:r w:rsidRPr="00670793">
        <w:rPr>
          <w:rStyle w:val="Hyperlink"/>
          <w:sz w:val="24"/>
          <w:lang w:val="pl-PL"/>
        </w:rPr>
        <w:t>https://doi.org/10.3389/fenvs.2015.00071</w:t>
      </w:r>
      <w:r w:rsidR="005F469A">
        <w:rPr>
          <w:rStyle w:val="Hyperlink"/>
          <w:sz w:val="24"/>
          <w:lang w:val="pl-PL"/>
        </w:rPr>
        <w:fldChar w:fldCharType="end"/>
      </w:r>
      <w:r w:rsidRPr="00670793">
        <w:rPr>
          <w:rStyle w:val="Hyperlink"/>
          <w:sz w:val="24"/>
          <w:lang w:val="pl-PL"/>
        </w:rPr>
        <w:t>.</w:t>
      </w:r>
    </w:p>
  </w:footnote>
  <w:footnote w:id="9">
    <w:p w:rsidR="00133298" w:rsidRPr="00670793" w:rsidRDefault="00133298" w:rsidP="00670793">
      <w:pPr>
        <w:pStyle w:val="FootnoteText"/>
        <w:ind w:left="567" w:hanging="567"/>
        <w:rPr>
          <w:sz w:val="24"/>
          <w:lang w:val="pl-PL"/>
        </w:rPr>
      </w:pPr>
      <w:r w:rsidRPr="00670793">
        <w:rPr>
          <w:rStyle w:val="FootnoteReference"/>
          <w:sz w:val="24"/>
          <w:lang w:val="pl-PL"/>
        </w:rPr>
        <w:footnoteRef/>
      </w:r>
      <w:r w:rsidR="00670793" w:rsidRPr="006574CF">
        <w:rPr>
          <w:sz w:val="24"/>
          <w:lang w:val="en-GB"/>
        </w:rPr>
        <w:t xml:space="preserve"> </w:t>
      </w:r>
      <w:r w:rsidR="00670793" w:rsidRPr="006574CF">
        <w:rPr>
          <w:sz w:val="24"/>
          <w:lang w:val="en-GB"/>
        </w:rPr>
        <w:tab/>
      </w:r>
      <w:r w:rsidRPr="006574CF">
        <w:rPr>
          <w:sz w:val="24"/>
          <w:lang w:val="en-GB"/>
        </w:rPr>
        <w:t xml:space="preserve">Hilbeck, A., Defarge, N., Lebrecht, T., Bøhn, T., „Insecticidal Bt crops. EFSA’s risk assessment approach for GM Bt plants fails by design” [Rośliny owadobójcze Bt. </w:t>
      </w:r>
      <w:r w:rsidRPr="00670793">
        <w:rPr>
          <w:sz w:val="24"/>
          <w:lang w:val="pl-PL"/>
        </w:rPr>
        <w:t xml:space="preserve">Podejście EFSA do oceny ryzyka związanego ze zmodyfikowanymi genetycznie roślinami </w:t>
      </w:r>
      <w:proofErr w:type="spellStart"/>
      <w:proofErr w:type="gramStart"/>
      <w:r w:rsidRPr="00670793">
        <w:rPr>
          <w:sz w:val="24"/>
          <w:lang w:val="pl-PL"/>
        </w:rPr>
        <w:t>Bt</w:t>
      </w:r>
      <w:proofErr w:type="spellEnd"/>
      <w:proofErr w:type="gramEnd"/>
      <w:r w:rsidRPr="00670793">
        <w:rPr>
          <w:sz w:val="24"/>
          <w:lang w:val="pl-PL"/>
        </w:rPr>
        <w:t xml:space="preserve"> nie daje właściwych wyników z powodu przyjętych metod], RAGES 2020, s. 4, </w:t>
      </w:r>
      <w:hyperlink r:id="rId4" w:history="1">
        <w:r w:rsidRPr="00670793">
          <w:rPr>
            <w:rStyle w:val="Hyperlink"/>
            <w:sz w:val="24"/>
            <w:lang w:val="pl-PL"/>
          </w:rPr>
          <w:t>https://www.testbiotech.org/wp-content/uploads/2023/12/RAGES_report-Insecticidal-Bt-plants.pdf</w:t>
        </w:r>
      </w:hyperlink>
      <w:r w:rsidRPr="00670793">
        <w:rPr>
          <w:rStyle w:val="Hyperlink"/>
          <w:sz w:val="24"/>
          <w:lang w:val="pl-PL"/>
        </w:rPr>
        <w:t xml:space="preserve">. </w:t>
      </w:r>
    </w:p>
  </w:footnote>
  <w:footnote w:id="10">
    <w:p w:rsidR="00133298" w:rsidRPr="00670793" w:rsidRDefault="00133298" w:rsidP="00670793">
      <w:pPr>
        <w:pStyle w:val="FootnoteText"/>
        <w:ind w:left="567" w:hanging="567"/>
        <w:rPr>
          <w:sz w:val="24"/>
          <w:lang w:val="pl-PL"/>
        </w:rPr>
      </w:pPr>
      <w:r w:rsidRPr="00670793">
        <w:rPr>
          <w:rStyle w:val="FootnoteReference"/>
          <w:sz w:val="24"/>
          <w:lang w:val="pl-PL"/>
        </w:rPr>
        <w:footnoteRef/>
      </w:r>
      <w:r w:rsidR="00670793" w:rsidRPr="00670793">
        <w:rPr>
          <w:sz w:val="24"/>
          <w:lang w:val="pl-PL"/>
        </w:rPr>
        <w:t xml:space="preserve"> </w:t>
      </w:r>
      <w:r w:rsidR="00670793" w:rsidRPr="00670793">
        <w:rPr>
          <w:sz w:val="24"/>
          <w:lang w:val="pl-PL"/>
        </w:rPr>
        <w:tab/>
      </w:r>
      <w:hyperlink r:id="rId5" w:history="1">
        <w:r w:rsidRPr="00670793">
          <w:rPr>
            <w:rStyle w:val="Hyperlink"/>
            <w:sz w:val="24"/>
            <w:lang w:val="pl-PL"/>
          </w:rPr>
          <w:t>https://commission.europa.eu/document/2c64e540-c07a-4376-a1da-368d289f4afe_en</w:t>
        </w:r>
      </w:hyperlink>
    </w:p>
  </w:footnote>
  <w:footnote w:id="11">
    <w:p w:rsidR="00133298" w:rsidRPr="00670793" w:rsidRDefault="00133298" w:rsidP="00670793">
      <w:pPr>
        <w:pStyle w:val="FootnoteText"/>
        <w:ind w:left="567" w:hanging="567"/>
        <w:rPr>
          <w:sz w:val="24"/>
          <w:lang w:val="pl-PL"/>
        </w:rPr>
      </w:pPr>
      <w:r w:rsidRPr="00670793">
        <w:rPr>
          <w:rStyle w:val="FootnoteReference"/>
          <w:sz w:val="24"/>
          <w:lang w:val="pl-PL"/>
        </w:rPr>
        <w:footnoteRef/>
      </w:r>
      <w:r w:rsidR="00670793" w:rsidRPr="00670793">
        <w:rPr>
          <w:sz w:val="24"/>
          <w:lang w:val="pl-PL"/>
        </w:rPr>
        <w:t xml:space="preserve"> </w:t>
      </w:r>
      <w:r w:rsidR="00670793" w:rsidRPr="00670793">
        <w:rPr>
          <w:sz w:val="24"/>
          <w:lang w:val="pl-PL"/>
        </w:rPr>
        <w:tab/>
      </w:r>
      <w:r w:rsidRPr="00670793">
        <w:rPr>
          <w:sz w:val="24"/>
          <w:lang w:val="pl-PL"/>
        </w:rPr>
        <w:t>Dyrektywa Parlamentu Europejskiego i Rady 2001/18/WE z dnia 12 marca 2001 r. w sprawie zamierzonego uwalniania do środowiska organizmów zmodyfikowanych genetycznie i uchylająca dyrektywę Rady 90/220/EWG (Dz.U. L 106 z 17.4.2001, s. 1, ELI</w:t>
      </w:r>
      <w:proofErr w:type="gramStart"/>
      <w:r w:rsidRPr="00670793">
        <w:rPr>
          <w:sz w:val="24"/>
          <w:lang w:val="pl-PL"/>
        </w:rPr>
        <w:t>: </w:t>
      </w:r>
      <w:r w:rsidR="005F469A">
        <w:fldChar w:fldCharType="begin"/>
      </w:r>
      <w:r w:rsidR="005F469A" w:rsidRPr="005F469A">
        <w:rPr>
          <w:lang w:val="pl-PL"/>
        </w:rPr>
        <w:instrText xml:space="preserve"> HYPERLINK "http://data.europa.eu/eli/dir/2001/18/oj" \o "Dostęp do dokumentu przez ELI URI." </w:instrText>
      </w:r>
      <w:r w:rsidR="005F469A">
        <w:fldChar w:fldCharType="separate"/>
      </w:r>
      <w:proofErr w:type="gramEnd"/>
      <w:r w:rsidRPr="00670793">
        <w:rPr>
          <w:rStyle w:val="Hyperlink"/>
          <w:sz w:val="24"/>
          <w:lang w:val="pl-PL"/>
        </w:rPr>
        <w:t>http://data.europa.eu/eli/dir/2001/18/oj</w:t>
      </w:r>
      <w:r w:rsidR="005F469A">
        <w:rPr>
          <w:rStyle w:val="Hyperlink"/>
          <w:sz w:val="24"/>
          <w:lang w:val="pl-PL"/>
        </w:rPr>
        <w:fldChar w:fldCharType="end"/>
      </w:r>
      <w:r w:rsidRPr="00670793">
        <w:rPr>
          <w:sz w:val="24"/>
          <w:lang w:val="pl-PL"/>
        </w:rPr>
        <w:t>).</w:t>
      </w:r>
    </w:p>
  </w:footnote>
  <w:footnote w:id="12">
    <w:p w:rsidR="00133298" w:rsidRPr="00670793" w:rsidRDefault="00133298" w:rsidP="00670793">
      <w:pPr>
        <w:pStyle w:val="FootnoteText"/>
        <w:ind w:left="567" w:hanging="567"/>
        <w:rPr>
          <w:sz w:val="24"/>
          <w:lang w:val="pl-PL"/>
        </w:rPr>
      </w:pPr>
      <w:r w:rsidRPr="00670793">
        <w:rPr>
          <w:rStyle w:val="FootnoteReference"/>
          <w:sz w:val="24"/>
          <w:lang w:val="pl-PL"/>
        </w:rPr>
        <w:footnoteRef/>
      </w:r>
      <w:r w:rsidR="00670793" w:rsidRPr="00670793">
        <w:rPr>
          <w:sz w:val="24"/>
          <w:lang w:val="pl-PL"/>
        </w:rPr>
        <w:t xml:space="preserve"> </w:t>
      </w:r>
      <w:r w:rsidR="00670793" w:rsidRPr="00670793">
        <w:rPr>
          <w:sz w:val="24"/>
          <w:lang w:val="pl-PL"/>
        </w:rPr>
        <w:tab/>
      </w:r>
      <w:r w:rsidRPr="00670793">
        <w:rPr>
          <w:sz w:val="24"/>
          <w:lang w:val="pl-PL"/>
        </w:rPr>
        <w:t>Rozporządzenie wykonawcze Komisji (UE) nr 503/2013 z dnia 3 kwietnia 2013 r. w sprawie wniosków o zatwierdzenie genetycznie zmodyfikowanej żywności i paszy zgodnie z rozporządzeniem (WE) nr 1829/2003 Parlamentu Europejskiego i Rady oraz zmieniające rozporządzenia Komisji (WE) nr 641/2004 i (WE) nr 1981/2006 (Dz.U. L 157 z 8.6.2013, s. 1, ELI</w:t>
      </w:r>
      <w:proofErr w:type="gramStart"/>
      <w:r w:rsidRPr="00670793">
        <w:rPr>
          <w:sz w:val="24"/>
          <w:lang w:val="pl-PL"/>
        </w:rPr>
        <w:t>: </w:t>
      </w:r>
      <w:hyperlink r:id="rId6" w:tooltip="Dostęp do dokumentu przez ELI URI." w:history="1">
        <w:proofErr w:type="gramEnd"/>
        <w:r w:rsidRPr="00670793">
          <w:rPr>
            <w:rStyle w:val="Hyperlink"/>
            <w:sz w:val="24"/>
            <w:lang w:val="pl-PL"/>
          </w:rPr>
          <w:t>http://data.europa.eu/eli/reg_impl/2013/503/oj</w:t>
        </w:r>
      </w:hyperlink>
      <w:r w:rsidRPr="00670793">
        <w:rPr>
          <w:sz w:val="24"/>
          <w:lang w:val="pl-PL"/>
        </w:rPr>
        <w:t>).</w:t>
      </w:r>
    </w:p>
  </w:footnote>
  <w:footnote w:id="13">
    <w:p w:rsidR="00133298" w:rsidRPr="00670793" w:rsidRDefault="00133298" w:rsidP="00670793">
      <w:pPr>
        <w:pStyle w:val="FootnoteText"/>
        <w:ind w:left="567" w:hanging="567"/>
        <w:rPr>
          <w:sz w:val="24"/>
          <w:lang w:val="pl-PL"/>
        </w:rPr>
      </w:pPr>
      <w:r w:rsidRPr="00670793">
        <w:rPr>
          <w:rStyle w:val="FootnoteReference"/>
          <w:sz w:val="24"/>
          <w:lang w:val="pl-PL"/>
        </w:rPr>
        <w:footnoteRef/>
      </w:r>
      <w:r w:rsidR="00670793" w:rsidRPr="00670793">
        <w:rPr>
          <w:sz w:val="24"/>
          <w:lang w:val="pl-PL"/>
        </w:rPr>
        <w:t xml:space="preserve"> </w:t>
      </w:r>
      <w:r w:rsidR="00670793" w:rsidRPr="00670793">
        <w:rPr>
          <w:sz w:val="24"/>
          <w:lang w:val="pl-PL"/>
        </w:rPr>
        <w:tab/>
      </w:r>
      <w:r w:rsidRPr="00670793">
        <w:rPr>
          <w:sz w:val="24"/>
          <w:lang w:val="pl-PL"/>
        </w:rPr>
        <w:t xml:space="preserve">Rezolucja Parlamentu Europejskiego z dnia 11 listopada 2020 r. w sprawie projektu decyzji wykonawczej Komisji zezwalającej na wprowadzenie do obrotu, na podstawie rozporządzenia (WE) nr 1829/2003 Parlamentu Europejskiego i Rady, produktów zawierających zmodyfikowaną genetycznie kukurydzę MON 87427 × MON 87460 × MON 89034 × MIR162 × NK603 oraz rodzaje zmodyfikowanej genetycznie kukurydzy łączące dwie, trzy lub cztery modyfikacje MON 87427, MON 87460, MON 89034, MIR162 i NK603 i produktów składających się z wymienionych rodzajów zmodyfikowanej genetycznie kukurydzy lub z niej wyprodukowanych (Dz.U. C 415 z 13.10.2021, </w:t>
      </w:r>
      <w:proofErr w:type="gramStart"/>
      <w:r w:rsidRPr="00670793">
        <w:rPr>
          <w:sz w:val="24"/>
          <w:lang w:val="pl-PL"/>
        </w:rPr>
        <w:t>s</w:t>
      </w:r>
      <w:proofErr w:type="gramEnd"/>
      <w:r w:rsidRPr="00670793">
        <w:rPr>
          <w:sz w:val="24"/>
          <w:lang w:val="pl-PL"/>
        </w:rPr>
        <w:t xml:space="preserve">. 15). </w:t>
      </w:r>
    </w:p>
  </w:footnote>
  <w:footnote w:id="14">
    <w:p w:rsidR="00133298" w:rsidRPr="00670793" w:rsidRDefault="00133298" w:rsidP="00670793">
      <w:pPr>
        <w:pStyle w:val="FootnoteText"/>
        <w:ind w:left="567" w:hanging="567"/>
        <w:rPr>
          <w:sz w:val="24"/>
          <w:lang w:val="pl-PL"/>
        </w:rPr>
      </w:pPr>
      <w:r w:rsidRPr="00670793">
        <w:rPr>
          <w:rStyle w:val="FootnoteReference"/>
          <w:sz w:val="24"/>
          <w:lang w:val="pl-PL"/>
        </w:rPr>
        <w:footnoteRef/>
      </w:r>
      <w:r w:rsidR="00670793" w:rsidRPr="00670793">
        <w:rPr>
          <w:sz w:val="24"/>
          <w:lang w:val="pl-PL"/>
        </w:rPr>
        <w:t xml:space="preserve"> </w:t>
      </w:r>
      <w:r w:rsidR="00670793" w:rsidRPr="00670793">
        <w:rPr>
          <w:sz w:val="24"/>
          <w:lang w:val="pl-PL"/>
        </w:rPr>
        <w:tab/>
      </w:r>
      <w:hyperlink r:id="rId7" w:history="1">
        <w:r w:rsidRPr="00670793">
          <w:rPr>
            <w:rStyle w:val="Hyperlink"/>
            <w:sz w:val="24"/>
            <w:lang w:val="pl-PL"/>
          </w:rPr>
          <w:t>https://www.who.int/campaigns/world-amr-awareness-week/2024/amr-is-invisible-i-am-not</w:t>
        </w:r>
      </w:hyperlink>
    </w:p>
  </w:footnote>
  <w:footnote w:id="15">
    <w:p w:rsidR="00133298" w:rsidRPr="00670793" w:rsidRDefault="00133298" w:rsidP="00670793">
      <w:pPr>
        <w:pStyle w:val="FootnoteText"/>
        <w:ind w:left="567" w:hanging="567"/>
        <w:rPr>
          <w:color w:val="1F497D"/>
          <w:sz w:val="24"/>
          <w:szCs w:val="22"/>
          <w:lang w:val="pl-PL"/>
        </w:rPr>
      </w:pPr>
      <w:r w:rsidRPr="00670793">
        <w:rPr>
          <w:rStyle w:val="FootnoteReference"/>
          <w:sz w:val="24"/>
          <w:lang w:val="pl-PL"/>
        </w:rPr>
        <w:footnoteRef/>
      </w:r>
      <w:r w:rsidR="00670793" w:rsidRPr="00670793">
        <w:rPr>
          <w:sz w:val="24"/>
          <w:lang w:val="pl-PL"/>
        </w:rPr>
        <w:t xml:space="preserve"> </w:t>
      </w:r>
      <w:r w:rsidR="00670793" w:rsidRPr="00670793">
        <w:rPr>
          <w:sz w:val="24"/>
          <w:lang w:val="pl-PL"/>
        </w:rPr>
        <w:tab/>
      </w:r>
      <w:hyperlink r:id="rId8" w:history="1">
        <w:r w:rsidRPr="00670793">
          <w:rPr>
            <w:rStyle w:val="Hyperlink"/>
            <w:sz w:val="24"/>
            <w:lang w:val="pl-PL"/>
          </w:rPr>
          <w:t>https://efsa.onlinelibrary.wiley.com/action/downloadSupplement?</w:t>
        </w:r>
        <w:r w:rsidRPr="00670793">
          <w:rPr>
            <w:rStyle w:val="Hyperlink"/>
            <w:sz w:val="24"/>
            <w:lang w:val="pl-PL"/>
          </w:rPr>
          <w:br/>
          <w:t>doi=10.2903%2Fj.efsa.2023.8031&amp;file=efs28031-sup-0008-Annex8.pdf</w:t>
        </w:r>
      </w:hyperlink>
      <w:r w:rsidRPr="00670793">
        <w:rPr>
          <w:sz w:val="24"/>
          <w:lang w:val="pl-PL"/>
        </w:rPr>
        <w:t>.</w:t>
      </w:r>
    </w:p>
  </w:footnote>
  <w:footnote w:id="16">
    <w:p w:rsidR="00133298" w:rsidRPr="00670793" w:rsidRDefault="00133298" w:rsidP="00670793">
      <w:pPr>
        <w:pStyle w:val="FootnoteText"/>
        <w:ind w:left="567" w:hanging="567"/>
        <w:rPr>
          <w:sz w:val="24"/>
          <w:lang w:val="pl-PL"/>
        </w:rPr>
      </w:pPr>
      <w:r w:rsidRPr="00670793">
        <w:rPr>
          <w:rStyle w:val="FootnoteReference"/>
          <w:sz w:val="24"/>
          <w:lang w:val="pl-PL"/>
        </w:rPr>
        <w:footnoteRef/>
      </w:r>
      <w:r w:rsidR="00670793" w:rsidRPr="00670793">
        <w:rPr>
          <w:sz w:val="24"/>
          <w:lang w:val="pl-PL"/>
        </w:rPr>
        <w:t xml:space="preserve"> </w:t>
      </w:r>
      <w:r w:rsidR="00670793" w:rsidRPr="00670793">
        <w:rPr>
          <w:sz w:val="24"/>
          <w:lang w:val="pl-PL"/>
        </w:rPr>
        <w:tab/>
      </w:r>
      <w:r w:rsidRPr="00670793">
        <w:rPr>
          <w:sz w:val="24"/>
          <w:lang w:val="pl-PL"/>
        </w:rPr>
        <w:t>Zgodnie z art. 6 ust. 3 rozporządzenia (UE) nr 182/2011 Komisja „może przyjąć”, a nie „przyjmuje” zezwolenie, jeżeli nie opowie się za nim kwalifikowana większość państw członkowskich w komitecie odwoławczym.</w:t>
      </w:r>
    </w:p>
  </w:footnote>
  <w:footnote w:id="17">
    <w:p w:rsidR="00133298" w:rsidRPr="00670793" w:rsidRDefault="00133298" w:rsidP="00670793">
      <w:pPr>
        <w:pStyle w:val="FootnoteText"/>
        <w:ind w:left="567" w:hanging="567"/>
        <w:rPr>
          <w:sz w:val="24"/>
          <w:lang w:val="pl-PL"/>
        </w:rPr>
      </w:pPr>
      <w:r w:rsidRPr="00670793">
        <w:rPr>
          <w:rStyle w:val="FootnoteReference"/>
          <w:sz w:val="24"/>
          <w:lang w:val="pl-PL"/>
        </w:rPr>
        <w:footnoteRef/>
      </w:r>
      <w:r w:rsidR="00670793" w:rsidRPr="00670793">
        <w:rPr>
          <w:sz w:val="24"/>
          <w:lang w:val="pl-PL"/>
        </w:rPr>
        <w:t xml:space="preserve"> </w:t>
      </w:r>
      <w:r w:rsidR="00670793" w:rsidRPr="00670793">
        <w:rPr>
          <w:sz w:val="24"/>
          <w:lang w:val="pl-PL"/>
        </w:rPr>
        <w:tab/>
      </w:r>
      <w:r w:rsidRPr="00670793">
        <w:rPr>
          <w:sz w:val="24"/>
          <w:lang w:val="pl-PL"/>
        </w:rPr>
        <w:t>Rozporządzenie (WE) nr 178/2002 Parlamentu Europejskiego i Rady z dnia 28 stycznia 2002 r. ustanawiające ogólne zasady i wymagania prawa żywnościowego, powołujące Europejski Urząd ds. Bezpieczeństwa Żywności oraz ustanawiające procedury w zakresie bezpieczeństwa żywności (Dz.U. L 31 z 1.2.2002, s. 1, ELI</w:t>
      </w:r>
      <w:proofErr w:type="gramStart"/>
      <w:r w:rsidRPr="00670793">
        <w:rPr>
          <w:sz w:val="24"/>
          <w:lang w:val="pl-PL"/>
        </w:rPr>
        <w:t>: </w:t>
      </w:r>
      <w:hyperlink r:id="rId9" w:tooltip="Dostęp do dokumentu przez ELI URI." w:history="1">
        <w:proofErr w:type="gramEnd"/>
        <w:r w:rsidRPr="00670793">
          <w:rPr>
            <w:rStyle w:val="Hyperlink"/>
            <w:sz w:val="24"/>
            <w:lang w:val="pl-PL"/>
          </w:rPr>
          <w:t>http://data.europa.eu/eli/reg/2002/178/oj</w:t>
        </w:r>
      </w:hyperlink>
      <w:r w:rsidRPr="00670793">
        <w:rPr>
          <w:sz w:val="24"/>
          <w:lang w:val="pl-PL"/>
        </w:rPr>
        <w:t>).</w:t>
      </w:r>
    </w:p>
  </w:footnote>
  <w:footnote w:id="18">
    <w:p w:rsidR="00133298" w:rsidRPr="00670793" w:rsidRDefault="00133298" w:rsidP="00670793">
      <w:pPr>
        <w:pStyle w:val="FootnoteText"/>
        <w:ind w:left="567" w:hanging="567"/>
        <w:rPr>
          <w:sz w:val="24"/>
          <w:lang w:val="pl-PL"/>
        </w:rPr>
      </w:pPr>
      <w:r w:rsidRPr="00670793">
        <w:rPr>
          <w:rStyle w:val="FootnoteReference"/>
          <w:sz w:val="24"/>
          <w:lang w:val="pl-PL"/>
        </w:rPr>
        <w:footnoteRef/>
      </w:r>
      <w:r w:rsidR="00670793" w:rsidRPr="00670793">
        <w:rPr>
          <w:sz w:val="24"/>
          <w:lang w:val="pl-PL"/>
        </w:rPr>
        <w:t xml:space="preserve"> </w:t>
      </w:r>
      <w:r w:rsidR="00670793" w:rsidRPr="00670793">
        <w:rPr>
          <w:sz w:val="24"/>
          <w:lang w:val="pl-PL"/>
        </w:rPr>
        <w:tab/>
      </w:r>
      <w:hyperlink r:id="rId10" w:history="1">
        <w:r w:rsidRPr="00670793">
          <w:rPr>
            <w:rStyle w:val="Hyperlink"/>
            <w:sz w:val="24"/>
            <w:lang w:val="pl-PL"/>
          </w:rPr>
          <w:t>https://tillymetz.lu/wp-content/uploads/2020/09/Co-signed-letter-MEP-Metz.pdf</w:t>
        </w:r>
      </w:hyperlink>
      <w:r w:rsidRPr="00670793">
        <w:rPr>
          <w:rStyle w:val="Hyperlink"/>
          <w:sz w:val="24"/>
          <w:lang w:val="pl-PL"/>
        </w:rPr>
        <w:t>.</w:t>
      </w:r>
    </w:p>
  </w:footnote>
  <w:footnote w:id="19">
    <w:p w:rsidR="00133298" w:rsidRPr="00670793" w:rsidRDefault="00133298" w:rsidP="00670793">
      <w:pPr>
        <w:pStyle w:val="FootnoteText"/>
        <w:ind w:left="567" w:hanging="567"/>
        <w:rPr>
          <w:sz w:val="24"/>
          <w:lang w:val="pl-PL"/>
        </w:rPr>
      </w:pPr>
      <w:r w:rsidRPr="00670793">
        <w:rPr>
          <w:rStyle w:val="FootnoteReference"/>
          <w:sz w:val="24"/>
          <w:lang w:val="pl-PL"/>
        </w:rPr>
        <w:footnoteRef/>
      </w:r>
      <w:r w:rsidR="00670793" w:rsidRPr="00670793">
        <w:rPr>
          <w:sz w:val="24"/>
          <w:lang w:val="pl-PL"/>
        </w:rPr>
        <w:t xml:space="preserve"> </w:t>
      </w:r>
      <w:r w:rsidR="00670793" w:rsidRPr="00670793">
        <w:rPr>
          <w:sz w:val="24"/>
          <w:lang w:val="pl-PL"/>
        </w:rPr>
        <w:tab/>
      </w:r>
      <w:r w:rsidRPr="00670793">
        <w:rPr>
          <w:sz w:val="24"/>
          <w:lang w:val="pl-PL"/>
        </w:rPr>
        <w:t xml:space="preserve">Rezolucja Parlamentu Europejskiego z dnia 15 stycznia 2020 r. w sprawie Europejskiego Zielonego Ładu (Dz.U. C 270 z 7.7.2021, </w:t>
      </w:r>
      <w:proofErr w:type="gramStart"/>
      <w:r w:rsidRPr="00670793">
        <w:rPr>
          <w:sz w:val="24"/>
          <w:lang w:val="pl-PL"/>
        </w:rPr>
        <w:t>s</w:t>
      </w:r>
      <w:proofErr w:type="gramEnd"/>
      <w:r w:rsidRPr="00670793">
        <w:rPr>
          <w:sz w:val="24"/>
          <w:lang w:val="pl-PL"/>
        </w:rPr>
        <w:t>. 2), ust. 102.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670793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670793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670793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7"/>
  </w:num>
  <w:num w:numId="5">
    <w:abstractNumId w:val="6"/>
  </w:num>
  <w:num w:numId="6">
    <w:abstractNumId w:val="6"/>
  </w:num>
  <w:num w:numId="7">
    <w:abstractNumId w:val="5"/>
  </w:num>
  <w:num w:numId="8">
    <w:abstractNumId w:val="5"/>
  </w:num>
  <w:num w:numId="9">
    <w:abstractNumId w:val="4"/>
  </w:num>
  <w:num w:numId="10">
    <w:abstractNumId w:val="4"/>
  </w:num>
  <w:num w:numId="11">
    <w:abstractNumId w:val="8"/>
  </w:num>
  <w:num w:numId="12">
    <w:abstractNumId w:val="8"/>
  </w:num>
  <w:num w:numId="13">
    <w:abstractNumId w:val="3"/>
  </w:num>
  <w:num w:numId="14">
    <w:abstractNumId w:val="3"/>
  </w:num>
  <w:num w:numId="15">
    <w:abstractNumId w:val="2"/>
  </w:num>
  <w:num w:numId="16">
    <w:abstractNumId w:val="2"/>
  </w:num>
  <w:num w:numId="17">
    <w:abstractNumId w:val="1"/>
  </w:num>
  <w:num w:numId="18">
    <w:abstractNumId w:val="1"/>
  </w:num>
  <w:num w:numId="19">
    <w:abstractNumId w:val="0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9"/>
  </w:num>
  <w:num w:numId="32">
    <w:abstractNumId w:val="7"/>
  </w:num>
  <w:num w:numId="33">
    <w:abstractNumId w:val="6"/>
  </w:num>
  <w:num w:numId="34">
    <w:abstractNumId w:val="5"/>
  </w:num>
  <w:num w:numId="35">
    <w:abstractNumId w:val="4"/>
  </w:num>
  <w:num w:numId="36">
    <w:abstractNumId w:val="8"/>
  </w:num>
  <w:num w:numId="37">
    <w:abstractNumId w:val="3"/>
  </w:num>
  <w:num w:numId="38">
    <w:abstractNumId w:val="2"/>
  </w:num>
  <w:num w:numId="39">
    <w:abstractNumId w:val="1"/>
  </w:num>
  <w:num w:numId="40">
    <w:abstractNumId w:val="0"/>
  </w:num>
  <w:num w:numId="41">
    <w:abstractNumId w:val="10"/>
  </w:num>
  <w:num w:numId="42">
    <w:abstractNumId w:val="10"/>
  </w:num>
  <w:num w:numId="43">
    <w:abstractNumId w:val="10"/>
  </w:num>
  <w:num w:numId="4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mirrorMargins/>
  <w:bordersDoNotSurroundHeader/>
  <w:bordersDoNotSurroundFooter/>
  <w:activeWritingStyle w:appName="MSWord" w:lang="fi-FI" w:vendorID="64" w:dllVersion="131078" w:nlCheck="1" w:checkStyle="0"/>
  <w:activeWritingStyle w:appName="MSWord" w:lang="en-GB" w:vendorID="64" w:dllVersion="131078" w:nlCheck="1" w:checkStyle="1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Page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B10-0145/2024"/>
    <w:docVar w:name="dvlangue" w:val="PL"/>
    <w:docVar w:name="dvnumam" w:val="0"/>
    <w:docVar w:name="dvpe" w:val="764.959"/>
    <w:docVar w:name="dvtitre" w:val="Rezolucja Parlamentu Europejskiego z dnia  2024 r. w sprawie projektu decyzji wykonawczej Komisji zezwalającej na wprowadzenie do obrotu na mocy rozporządzenia (WE) nr 1829/2003 Parlamentu Europejskiego i Rady produktów zawierających genetycznie zmodyfikowaną bawełnę COT102, składających się z niej lub z niej wyprodukowanych(D098499/04 – 2024/2835(RSP))"/>
  </w:docVars>
  <w:rsids>
    <w:rsidRoot w:val="00A812BA"/>
    <w:rsid w:val="00002272"/>
    <w:rsid w:val="00064002"/>
    <w:rsid w:val="000677B9"/>
    <w:rsid w:val="000831BA"/>
    <w:rsid w:val="000A42CC"/>
    <w:rsid w:val="000E7DD9"/>
    <w:rsid w:val="0010095E"/>
    <w:rsid w:val="00125B37"/>
    <w:rsid w:val="00133298"/>
    <w:rsid w:val="00187494"/>
    <w:rsid w:val="001F32AE"/>
    <w:rsid w:val="002767FF"/>
    <w:rsid w:val="002B18FE"/>
    <w:rsid w:val="002B5493"/>
    <w:rsid w:val="00343214"/>
    <w:rsid w:val="00361C00"/>
    <w:rsid w:val="00395FA1"/>
    <w:rsid w:val="003E15D4"/>
    <w:rsid w:val="00411CCE"/>
    <w:rsid w:val="0041666E"/>
    <w:rsid w:val="00421060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C2568"/>
    <w:rsid w:val="005F1B17"/>
    <w:rsid w:val="005F469A"/>
    <w:rsid w:val="006037C0"/>
    <w:rsid w:val="006574CF"/>
    <w:rsid w:val="006631B6"/>
    <w:rsid w:val="00670793"/>
    <w:rsid w:val="00680577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7416"/>
    <w:rsid w:val="00842779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81893"/>
    <w:rsid w:val="00A1687D"/>
    <w:rsid w:val="00A43E52"/>
    <w:rsid w:val="00A4678D"/>
    <w:rsid w:val="00A778C7"/>
    <w:rsid w:val="00A812BA"/>
    <w:rsid w:val="00AB441E"/>
    <w:rsid w:val="00AB6293"/>
    <w:rsid w:val="00AE0928"/>
    <w:rsid w:val="00AF3B82"/>
    <w:rsid w:val="00B12E95"/>
    <w:rsid w:val="00B22876"/>
    <w:rsid w:val="00B558F0"/>
    <w:rsid w:val="00B82D0D"/>
    <w:rsid w:val="00BD48FE"/>
    <w:rsid w:val="00BD7BD8"/>
    <w:rsid w:val="00BE6ADC"/>
    <w:rsid w:val="00C05BFE"/>
    <w:rsid w:val="00C23CD4"/>
    <w:rsid w:val="00C61C0C"/>
    <w:rsid w:val="00C941CB"/>
    <w:rsid w:val="00CC2357"/>
    <w:rsid w:val="00CF071A"/>
    <w:rsid w:val="00D058B8"/>
    <w:rsid w:val="00D56C11"/>
    <w:rsid w:val="00D834A0"/>
    <w:rsid w:val="00D872DF"/>
    <w:rsid w:val="00D91E21"/>
    <w:rsid w:val="00DA7FCD"/>
    <w:rsid w:val="00E365E1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2E82604"/>
  <w15:chartTrackingRefBased/>
  <w15:docId w15:val="{CAA68D8F-3D86-4EA0-A73D-94407127DE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footnote text" w:uiPriority="99"/>
    <w:lsdException w:name="caption" w:semiHidden="1" w:unhideWhenUsed="1" w:qFormat="1"/>
    <w:lsdException w:name="footnote reference" w:uiPriority="99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pl-PL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uiPriority w:val="99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uiPriority w:val="99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uiPriority w:val="99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EPComma">
    <w:name w:val="EPComma"/>
    <w:basedOn w:val="Normal"/>
    <w:rsid w:val="00133298"/>
    <w:pPr>
      <w:spacing w:before="480" w:after="240"/>
    </w:pPr>
  </w:style>
  <w:style w:type="paragraph" w:customStyle="1" w:styleId="NormalHanging12a">
    <w:name w:val="NormalHanging12a"/>
    <w:basedOn w:val="Normal"/>
    <w:rsid w:val="00133298"/>
    <w:pPr>
      <w:spacing w:after="240"/>
      <w:ind w:left="567" w:hanging="567"/>
    </w:pPr>
  </w:style>
  <w:style w:type="character" w:styleId="Hyperlink">
    <w:name w:val="Hyperlink"/>
    <w:basedOn w:val="DefaultParagraphFont"/>
    <w:uiPriority w:val="99"/>
    <w:rsid w:val="00133298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footnotes.xml.rels><?xml version="1.0" encoding="UTF-8" standalone="yes"?>
<Relationships xmlns="http://schemas.openxmlformats.org/package/2006/relationships"><Relationship Id="rId8" Type="http://schemas.openxmlformats.org/officeDocument/2006/relationships/hyperlink" Target="https://efsa.onlinelibrary.wiley.com/action/downloadSupplement?doi=10.2903/j.efsa.2023.8031&amp;file=efs28031-sup-0008-Annex8.pdf" TargetMode="External"/><Relationship Id="rId3" Type="http://schemas.openxmlformats.org/officeDocument/2006/relationships/hyperlink" Target="https://onlinelibrary.wiley.com/doi/full/10.1002/jat.3252" TargetMode="External"/><Relationship Id="rId7" Type="http://schemas.openxmlformats.org/officeDocument/2006/relationships/hyperlink" Target="https://www.who.int/campaigns/world-amr-awareness-week/2024/amr-is-invisible-i-am-not" TargetMode="External"/><Relationship Id="rId2" Type="http://schemas.openxmlformats.org/officeDocument/2006/relationships/hyperlink" Target="https://pubs.acs.org/doi/abs/10.1021/jf00094a051" TargetMode="External"/><Relationship Id="rId1" Type="http://schemas.openxmlformats.org/officeDocument/2006/relationships/hyperlink" Target="http://data.europa.eu/eli/dec_impl/2024/2627/oj" TargetMode="External"/><Relationship Id="rId6" Type="http://schemas.openxmlformats.org/officeDocument/2006/relationships/hyperlink" Target="http://data.europa.eu/eli/reg_impl/2013/503/oj" TargetMode="External"/><Relationship Id="rId5" Type="http://schemas.openxmlformats.org/officeDocument/2006/relationships/hyperlink" Target="https://commission.europa.eu/document/2c64e540-c07a-4376-a1da-368d289f4afe_en" TargetMode="External"/><Relationship Id="rId10" Type="http://schemas.openxmlformats.org/officeDocument/2006/relationships/hyperlink" Target="https://tillymetz.lu/wp-content/uploads/2020/09/Co-signed-letter-MEP-Metz.pdf" TargetMode="External"/><Relationship Id="rId4" Type="http://schemas.openxmlformats.org/officeDocument/2006/relationships/hyperlink" Target="https://www.testbiotech.org/wp-content/uploads/2023/12/RAGES_report-Insecticidal-Bt-plants.pdf" TargetMode="External"/><Relationship Id="rId9" Type="http://schemas.openxmlformats.org/officeDocument/2006/relationships/hyperlink" Target="http://data.europa.eu/eli/reg/2002/178/oj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B1A6BCD-1582-4F62-93FE-7C2BCBCB73D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7</Pages>
  <Words>1966</Words>
  <Characters>12473</Characters>
  <Application>Microsoft Office Word</Application>
  <DocSecurity>0</DocSecurity>
  <Lines>239</Lines>
  <Paragraphs>75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14364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BOZYK-MAZURENKO Agnieszka</dc:creator>
  <cp:keywords/>
  <cp:lastModifiedBy>BOZYK-MAZURENKO Agnieszka</cp:lastModifiedBy>
  <cp:revision>2</cp:revision>
  <cp:lastPrinted>2004-11-19T15:42:00Z</cp:lastPrinted>
  <dcterms:created xsi:type="dcterms:W3CDTF">2024-11-26T11:23:00Z</dcterms:created>
  <dcterms:modified xsi:type="dcterms:W3CDTF">2024-11-26T11:23:00Z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PL</vt:lpwstr>
  </property>
  <property fmtid="{D5CDD505-2E9C-101B-9397-08002B2CF9AE}" pid="3" name="&lt;FdR&gt;">
    <vt:lpwstr>B10-0145/2024</vt:lpwstr>
  </property>
  <property fmtid="{D5CDD505-2E9C-101B-9397-08002B2CF9AE}" pid="4" name="&lt;Type&gt;">
    <vt:lpwstr>RR</vt:lpwstr>
  </property>
</Properties>
</file>