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706B" w14:paraId="7D3FFE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217F69" w14:textId="77777777" w:rsidR="00751A4A" w:rsidRPr="00B9706B" w:rsidRDefault="008E4D6F" w:rsidP="0010095E">
            <w:pPr>
              <w:pStyle w:val="EPName"/>
            </w:pPr>
            <w:r w:rsidRPr="00B9706B">
              <w:t>Parlamento Europeu</w:t>
            </w:r>
          </w:p>
          <w:p w14:paraId="3C21C187" w14:textId="77777777" w:rsidR="00751A4A" w:rsidRPr="00B9706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706B">
              <w:t>2024</w:t>
            </w:r>
            <w:r w:rsidR="00817416" w:rsidRPr="00B9706B">
              <w:t>-202</w:t>
            </w:r>
            <w:r w:rsidRPr="00B9706B">
              <w:t>9</w:t>
            </w:r>
          </w:p>
        </w:tc>
        <w:tc>
          <w:tcPr>
            <w:tcW w:w="2268" w:type="dxa"/>
            <w:shd w:val="clear" w:color="auto" w:fill="auto"/>
          </w:tcPr>
          <w:p w14:paraId="760A1E79" w14:textId="77777777" w:rsidR="00751A4A" w:rsidRPr="00B9706B" w:rsidRDefault="00187494" w:rsidP="0010095E">
            <w:pPr>
              <w:pStyle w:val="EPLogo"/>
            </w:pPr>
            <w:r w:rsidRPr="00B9706B">
              <w:rPr>
                <w:noProof/>
                <w:lang w:val="en-GB"/>
              </w:rPr>
              <w:drawing>
                <wp:inline distT="0" distB="0" distL="0" distR="0" wp14:anchorId="54B57B93" wp14:editId="515286E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0A6FB7" w14:textId="77777777" w:rsidR="00D058B8" w:rsidRPr="00B9706B" w:rsidRDefault="00D058B8" w:rsidP="004C5D52">
      <w:pPr>
        <w:pStyle w:val="LineTop"/>
      </w:pPr>
    </w:p>
    <w:p w14:paraId="7A6C8071" w14:textId="77777777" w:rsidR="00680577" w:rsidRPr="00B9706B" w:rsidRDefault="008E4D6F" w:rsidP="00680577">
      <w:pPr>
        <w:pStyle w:val="EPBodyTA1"/>
      </w:pPr>
      <w:r w:rsidRPr="00B9706B">
        <w:t>TEXTOS APROVADOS</w:t>
      </w:r>
    </w:p>
    <w:p w14:paraId="2F885B66" w14:textId="77777777" w:rsidR="00D058B8" w:rsidRPr="00B9706B" w:rsidRDefault="00D058B8" w:rsidP="00D058B8">
      <w:pPr>
        <w:pStyle w:val="LineBottom"/>
      </w:pPr>
    </w:p>
    <w:p w14:paraId="1D2724B5" w14:textId="6B04D81B" w:rsidR="008E4D6F" w:rsidRPr="00B9706B" w:rsidRDefault="008E4D6F" w:rsidP="008E4D6F">
      <w:pPr>
        <w:pStyle w:val="ATHeading1"/>
      </w:pPr>
      <w:bookmarkStart w:id="0" w:name="TANumber"/>
      <w:r w:rsidRPr="00B9706B">
        <w:t>P10_</w:t>
      </w:r>
      <w:proofErr w:type="gramStart"/>
      <w:r w:rsidRPr="00B9706B">
        <w:t>TA(</w:t>
      </w:r>
      <w:proofErr w:type="gramEnd"/>
      <w:r w:rsidRPr="00B9706B">
        <w:t>2024)</w:t>
      </w:r>
      <w:bookmarkEnd w:id="0"/>
      <w:r w:rsidR="00B9706B" w:rsidRPr="00B9706B">
        <w:t>0039</w:t>
      </w:r>
    </w:p>
    <w:p w14:paraId="0BE2FDEC" w14:textId="1E744899" w:rsidR="008E4D6F" w:rsidRPr="00B9706B" w:rsidRDefault="008E4D6F" w:rsidP="008E4D6F">
      <w:pPr>
        <w:pStyle w:val="ATHeading2"/>
      </w:pPr>
      <w:bookmarkStart w:id="1" w:name="title"/>
      <w:r w:rsidRPr="00B9706B">
        <w:t>Algodão geneticamente modificado</w:t>
      </w:r>
      <w:r w:rsidR="00136267" w:rsidRPr="00B9706B">
        <w:t xml:space="preserve"> </w:t>
      </w:r>
      <w:r w:rsidRPr="00B9706B">
        <w:t>COT102</w:t>
      </w:r>
      <w:bookmarkEnd w:id="1"/>
    </w:p>
    <w:p w14:paraId="1E33F964" w14:textId="77777777" w:rsidR="008E4D6F" w:rsidRPr="00B9706B" w:rsidRDefault="008E4D6F" w:rsidP="008E4D6F">
      <w:pPr>
        <w:rPr>
          <w:i/>
          <w:vanish/>
        </w:rPr>
      </w:pPr>
      <w:r w:rsidRPr="00B9706B">
        <w:rPr>
          <w:i/>
        </w:rPr>
        <w:fldChar w:fldCharType="begin"/>
      </w:r>
      <w:r w:rsidRPr="00B9706B">
        <w:rPr>
          <w:i/>
        </w:rPr>
        <w:instrText xml:space="preserve"> TC"(</w:instrText>
      </w:r>
      <w:bookmarkStart w:id="2" w:name="DocNumber"/>
      <w:r w:rsidRPr="00B9706B">
        <w:rPr>
          <w:i/>
        </w:rPr>
        <w:instrText>B10-0145/2024</w:instrText>
      </w:r>
      <w:bookmarkEnd w:id="2"/>
      <w:r w:rsidRPr="00B9706B">
        <w:rPr>
          <w:i/>
        </w:rPr>
        <w:instrText xml:space="preserve">)"\l3 \n&gt; \* MERGEFORMAT </w:instrText>
      </w:r>
      <w:r w:rsidRPr="00B9706B">
        <w:rPr>
          <w:i/>
        </w:rPr>
        <w:fldChar w:fldCharType="end"/>
      </w:r>
    </w:p>
    <w:p w14:paraId="4AF333B4" w14:textId="77777777" w:rsidR="008E4D6F" w:rsidRPr="00B9706B" w:rsidRDefault="008E4D6F" w:rsidP="008E4D6F">
      <w:pPr>
        <w:rPr>
          <w:vanish/>
        </w:rPr>
      </w:pPr>
      <w:bookmarkStart w:id="3" w:name="PE"/>
      <w:r w:rsidRPr="00B9706B">
        <w:rPr>
          <w:vanish/>
        </w:rPr>
        <w:t>PE764.959</w:t>
      </w:r>
      <w:bookmarkEnd w:id="3"/>
    </w:p>
    <w:p w14:paraId="6F136ECB" w14:textId="2BCD5103" w:rsidR="008E4D6F" w:rsidRPr="00B9706B" w:rsidRDefault="008E4D6F" w:rsidP="008E4D6F">
      <w:pPr>
        <w:pStyle w:val="ATHeading3"/>
      </w:pPr>
      <w:bookmarkStart w:id="4" w:name="Sujet"/>
      <w:r w:rsidRPr="00B9706B">
        <w:t xml:space="preserve">Resolução do Parlamento Europeu, de </w:t>
      </w:r>
      <w:r w:rsidR="003301F9" w:rsidRPr="00B9706B">
        <w:t xml:space="preserve">26 </w:t>
      </w:r>
      <w:r w:rsidRPr="00B9706B">
        <w:t xml:space="preserve">de </w:t>
      </w:r>
      <w:r w:rsidR="003301F9" w:rsidRPr="00B9706B">
        <w:t xml:space="preserve">novembro </w:t>
      </w:r>
      <w:r w:rsidRPr="00B9706B">
        <w:t xml:space="preserve">de 2024, sobre </w:t>
      </w:r>
      <w:r w:rsidR="003301F9" w:rsidRPr="00B9706B">
        <w:t>a</w:t>
      </w:r>
      <w:r w:rsidRPr="00B9706B">
        <w:t xml:space="preserve"> </w:t>
      </w:r>
      <w:r w:rsidR="003301F9" w:rsidRPr="00B9706B">
        <w:t xml:space="preserve">Decisão </w:t>
      </w:r>
      <w:r w:rsidRPr="00B9706B">
        <w:t xml:space="preserve">de </w:t>
      </w:r>
      <w:r w:rsidR="003301F9" w:rsidRPr="00B9706B">
        <w:t>E</w:t>
      </w:r>
      <w:r w:rsidRPr="00B9706B">
        <w:t xml:space="preserve">xecução da Comissão </w:t>
      </w:r>
      <w:r w:rsidR="003301F9" w:rsidRPr="00B9706B">
        <w:t>(UE) 2024/2627</w:t>
      </w:r>
      <w:r w:rsidR="00420D77" w:rsidRPr="00B9706B">
        <w:t xml:space="preserve"> </w:t>
      </w:r>
      <w:r w:rsidRPr="00B9706B">
        <w:t>que autoriza a colocação no mercado de produtos que contenham, sejam constituídos por, ou produzidos a partir de algodão geneticamente modificado COT102 nos termos do Regulamento (CE) n.º 1829/2003 do Parlamento Europeu e do Conselho</w:t>
      </w:r>
      <w:bookmarkEnd w:id="4"/>
      <w:r w:rsidRPr="00B9706B">
        <w:t xml:space="preserve"> </w:t>
      </w:r>
      <w:bookmarkStart w:id="5" w:name="References"/>
      <w:r w:rsidRPr="00B9706B">
        <w:t>(2024/2835(RSP))</w:t>
      </w:r>
      <w:bookmarkEnd w:id="5"/>
    </w:p>
    <w:p w14:paraId="0D280F67" w14:textId="77777777" w:rsidR="005C218B" w:rsidRPr="00B9706B" w:rsidRDefault="005C218B" w:rsidP="005C218B">
      <w:pPr>
        <w:pStyle w:val="EPComma"/>
      </w:pPr>
      <w:bookmarkStart w:id="6" w:name="TextBodyBegin"/>
      <w:bookmarkEnd w:id="6"/>
      <w:r w:rsidRPr="00B9706B">
        <w:rPr>
          <w:i/>
          <w:iCs/>
        </w:rPr>
        <w:t>O Parlamento Europeu</w:t>
      </w:r>
      <w:r w:rsidRPr="00B9706B">
        <w:t>,</w:t>
      </w:r>
    </w:p>
    <w:p w14:paraId="54E3A135" w14:textId="7D9A8889" w:rsidR="005C218B" w:rsidRPr="00B9706B" w:rsidRDefault="005C218B" w:rsidP="005C218B">
      <w:pPr>
        <w:pStyle w:val="NormalHanging12a"/>
        <w:rPr>
          <w:szCs w:val="24"/>
        </w:rPr>
      </w:pPr>
      <w:r w:rsidRPr="00B9706B">
        <w:t>–</w:t>
      </w:r>
      <w:r w:rsidRPr="00B9706B">
        <w:tab/>
        <w:t xml:space="preserve">Tendo em conta </w:t>
      </w:r>
      <w:r w:rsidR="003301F9" w:rsidRPr="00B9706B">
        <w:t>a</w:t>
      </w:r>
      <w:r w:rsidRPr="00B9706B">
        <w:t xml:space="preserve"> </w:t>
      </w:r>
      <w:r w:rsidR="003301F9" w:rsidRPr="00B9706B">
        <w:t xml:space="preserve">Decisão </w:t>
      </w:r>
      <w:r w:rsidRPr="00B9706B">
        <w:t xml:space="preserve">de </w:t>
      </w:r>
      <w:r w:rsidR="003301F9" w:rsidRPr="00B9706B">
        <w:t xml:space="preserve">Execução </w:t>
      </w:r>
      <w:r w:rsidRPr="00B9706B">
        <w:t xml:space="preserve">da Comissão </w:t>
      </w:r>
      <w:r w:rsidR="003301F9" w:rsidRPr="00B9706B">
        <w:t>(UE) 2024/2627</w:t>
      </w:r>
      <w:r w:rsidR="00420D77" w:rsidRPr="00B9706B">
        <w:t xml:space="preserve"> </w:t>
      </w:r>
      <w:r w:rsidRPr="00B9706B">
        <w:t>que autoriza a colocação no mercado de produtos que contenham, sejam constituídos por, ou produzidos a partir de algodão geneticamente modificado COT102 nos termos do Regulamento (CE) n.º 1829/2003 do Parlamento Europeu e do Conselho</w:t>
      </w:r>
      <w:r w:rsidR="003301F9" w:rsidRPr="00B9706B">
        <w:rPr>
          <w:rStyle w:val="FootnoteReference"/>
        </w:rPr>
        <w:footnoteReference w:id="1"/>
      </w:r>
      <w:r w:rsidRPr="00B9706B">
        <w:t>,</w:t>
      </w:r>
    </w:p>
    <w:p w14:paraId="3BAC5056" w14:textId="77777777" w:rsidR="005C218B" w:rsidRPr="00B9706B" w:rsidRDefault="005C218B" w:rsidP="005C218B">
      <w:pPr>
        <w:pStyle w:val="NormalHanging12a"/>
        <w:rPr>
          <w:szCs w:val="24"/>
        </w:rPr>
      </w:pPr>
      <w:r w:rsidRPr="00B9706B">
        <w:t>–</w:t>
      </w:r>
      <w:r w:rsidRPr="00B9706B">
        <w:tab/>
        <w:t>Tendo em conta o Regulamento (CE) n.º 1829/2003 do Parlamento Europeu e do Conselho, de 22 de setembro de 2003, relativo a géneros alimentícios e alimentos para animais geneticamente modificados</w:t>
      </w:r>
      <w:r w:rsidRPr="00B9706B">
        <w:rPr>
          <w:rStyle w:val="FootnoteReference"/>
          <w:szCs w:val="24"/>
        </w:rPr>
        <w:footnoteReference w:id="2"/>
      </w:r>
      <w:r w:rsidRPr="00B9706B">
        <w:t>, nomeadamente o artigo 7.º, n.º 3, e o artigo 19.º, n.º 3,</w:t>
      </w:r>
    </w:p>
    <w:p w14:paraId="5C92C42A" w14:textId="2C74F585" w:rsidR="005C218B" w:rsidRPr="00B9706B" w:rsidRDefault="005C218B" w:rsidP="005C218B">
      <w:pPr>
        <w:pStyle w:val="NormalHanging12a"/>
        <w:rPr>
          <w:szCs w:val="24"/>
        </w:rPr>
      </w:pPr>
      <w:r w:rsidRPr="00B9706B">
        <w:t>–</w:t>
      </w:r>
      <w:r w:rsidRPr="00B9706B">
        <w:tab/>
        <w:t xml:space="preserve">Tendo em conta a votação do Comité Permanente dos Vegetais, Animais e Alimentos para Consumo Humano e Animal a que se refere o artigo 35.º do Regulamento (CE) n.º 1829/2003, realizada em 8 de julho de 2024, no âmbito da qual não foi emitido qualquer parecer, bem como a votação do Comité de Recurso, realizada em 3 de setembro </w:t>
      </w:r>
      <w:r w:rsidR="003301F9" w:rsidRPr="00B9706B">
        <w:t>de </w:t>
      </w:r>
      <w:r w:rsidRPr="00B9706B">
        <w:t>2024, no âmbito da qual também não foi emitido qualquer parecer,</w:t>
      </w:r>
    </w:p>
    <w:p w14:paraId="057C5FB2" w14:textId="77777777" w:rsidR="005C218B" w:rsidRPr="00B9706B" w:rsidRDefault="005C218B" w:rsidP="005C218B">
      <w:pPr>
        <w:pStyle w:val="NormalHanging12a"/>
        <w:rPr>
          <w:szCs w:val="24"/>
        </w:rPr>
      </w:pPr>
      <w:r w:rsidRPr="00B9706B">
        <w:t>–</w:t>
      </w:r>
      <w:r w:rsidRPr="00B9706B">
        <w:tab/>
        <w:t>Tendo em conta o artigo 11.º do Regulamento (UE) n.º 182/2011 do Parlamento Europeu e do Conselho, de 16 de fevereiro de 2011, que estabelece as regras e os princípios gerais relativos aos mecanismos de controlo pelos Estados</w:t>
      </w:r>
      <w:r w:rsidRPr="00B9706B">
        <w:noBreakHyphen/>
        <w:t>Membros do exercício das competências de execução pela Comissão</w:t>
      </w:r>
      <w:r w:rsidRPr="00B9706B">
        <w:rPr>
          <w:rStyle w:val="FootnoteReference"/>
          <w:szCs w:val="24"/>
        </w:rPr>
        <w:footnoteReference w:id="3"/>
      </w:r>
      <w:r w:rsidRPr="00B9706B">
        <w:t>,</w:t>
      </w:r>
    </w:p>
    <w:p w14:paraId="0F6FDA60" w14:textId="77777777" w:rsidR="005C218B" w:rsidRPr="00B9706B" w:rsidRDefault="005C218B" w:rsidP="005C218B">
      <w:pPr>
        <w:pStyle w:val="NormalHanging12a"/>
        <w:rPr>
          <w:szCs w:val="24"/>
        </w:rPr>
      </w:pPr>
      <w:r w:rsidRPr="00B9706B">
        <w:t>–</w:t>
      </w:r>
      <w:r w:rsidRPr="00B9706B">
        <w:tab/>
        <w:t xml:space="preserve">Tendo em conta o parecer adotado pela Autoridade Europeia para a Segurança dos </w:t>
      </w:r>
      <w:r w:rsidRPr="00B9706B">
        <w:lastRenderedPageBreak/>
        <w:t>Alimentos (EFSA) em 10 de maio de 2023 e publicado em 26 de junho de 2023</w:t>
      </w:r>
      <w:r w:rsidRPr="00B9706B">
        <w:rPr>
          <w:rStyle w:val="FootnoteReference"/>
          <w:szCs w:val="24"/>
        </w:rPr>
        <w:footnoteReference w:id="4"/>
      </w:r>
      <w:r w:rsidRPr="00B9706B">
        <w:t>,</w:t>
      </w:r>
    </w:p>
    <w:p w14:paraId="51195CE1" w14:textId="77777777" w:rsidR="005C218B" w:rsidRPr="00B9706B" w:rsidRDefault="005C218B" w:rsidP="005C218B">
      <w:pPr>
        <w:pStyle w:val="NormalHanging12a"/>
        <w:rPr>
          <w:szCs w:val="24"/>
          <w:shd w:val="clear" w:color="auto" w:fill="FFFFFF"/>
        </w:rPr>
      </w:pPr>
      <w:r w:rsidRPr="00B9706B">
        <w:t>–</w:t>
      </w:r>
      <w:r w:rsidRPr="00B9706B">
        <w:rPr>
          <w:shd w:val="clear" w:color="auto" w:fill="FFFFFF"/>
        </w:rPr>
        <w:tab/>
        <w:t>Tendo em conta as suas anteriores resoluções que se opõem à autorização de organismos geneticamente modificados («OGM»)</w:t>
      </w:r>
      <w:r w:rsidRPr="00B9706B">
        <w:rPr>
          <w:szCs w:val="24"/>
          <w:shd w:val="clear" w:color="auto" w:fill="FFFFFF"/>
          <w:vertAlign w:val="superscript"/>
        </w:rPr>
        <w:footnoteReference w:id="5"/>
      </w:r>
      <w:r w:rsidRPr="00B9706B">
        <w:rPr>
          <w:shd w:val="clear" w:color="auto" w:fill="FFFFFF"/>
        </w:rPr>
        <w:t>,</w:t>
      </w:r>
    </w:p>
    <w:p w14:paraId="550D12EE" w14:textId="77777777" w:rsidR="005C218B" w:rsidRPr="00B9706B" w:rsidRDefault="005C218B" w:rsidP="005C218B">
      <w:pPr>
        <w:pStyle w:val="NormalHanging12a"/>
        <w:rPr>
          <w:szCs w:val="24"/>
        </w:rPr>
      </w:pPr>
      <w:r w:rsidRPr="00B9706B">
        <w:t>–</w:t>
      </w:r>
      <w:r w:rsidRPr="00B9706B">
        <w:tab/>
        <w:t xml:space="preserve">Tendo em conta o artigo 115.º, </w:t>
      </w:r>
      <w:proofErr w:type="spellStart"/>
      <w:proofErr w:type="gramStart"/>
      <w:r w:rsidRPr="00B9706B">
        <w:t>n.</w:t>
      </w:r>
      <w:r w:rsidRPr="00B9706B">
        <w:rPr>
          <w:vertAlign w:val="superscript"/>
        </w:rPr>
        <w:t>os</w:t>
      </w:r>
      <w:proofErr w:type="spellEnd"/>
      <w:proofErr w:type="gramEnd"/>
      <w:r w:rsidRPr="00B9706B">
        <w:t xml:space="preserve"> 2 e 3, do seu Regimento,</w:t>
      </w:r>
    </w:p>
    <w:p w14:paraId="719C2394" w14:textId="77777777" w:rsidR="005C218B" w:rsidRPr="00B9706B" w:rsidRDefault="005C218B" w:rsidP="005C218B">
      <w:pPr>
        <w:pStyle w:val="NormalHanging12a"/>
        <w:rPr>
          <w:szCs w:val="24"/>
        </w:rPr>
      </w:pPr>
      <w:r w:rsidRPr="00B9706B">
        <w:t>–</w:t>
      </w:r>
      <w:r w:rsidRPr="00B9706B">
        <w:tab/>
        <w:t>Tendo em conta a proposta de resolução da Comissão do Ambiente, da Saúde Pública e da Segurança Alimentar,</w:t>
      </w:r>
    </w:p>
    <w:p w14:paraId="0E0DCCEB" w14:textId="1DFBABA3" w:rsidR="005C218B" w:rsidRPr="00B9706B" w:rsidRDefault="005C218B" w:rsidP="005C218B">
      <w:pPr>
        <w:pStyle w:val="NormalHanging12a"/>
        <w:rPr>
          <w:szCs w:val="24"/>
        </w:rPr>
      </w:pPr>
      <w:r w:rsidRPr="00B9706B">
        <w:t>A.</w:t>
      </w:r>
      <w:r w:rsidRPr="00B9706B">
        <w:tab/>
        <w:t xml:space="preserve">Considerando que em 31 de março de 2017, a empresa </w:t>
      </w:r>
      <w:proofErr w:type="spellStart"/>
      <w:r w:rsidRPr="00B9706B">
        <w:t>Syngenta</w:t>
      </w:r>
      <w:proofErr w:type="spellEnd"/>
      <w:r w:rsidRPr="00B9706B">
        <w:t xml:space="preserve"> </w:t>
      </w:r>
      <w:proofErr w:type="spellStart"/>
      <w:r w:rsidRPr="00B9706B">
        <w:t>Crop</w:t>
      </w:r>
      <w:proofErr w:type="spellEnd"/>
      <w:r w:rsidRPr="00B9706B">
        <w:t xml:space="preserve"> </w:t>
      </w:r>
      <w:proofErr w:type="spellStart"/>
      <w:r w:rsidRPr="00B9706B">
        <w:t>Protection</w:t>
      </w:r>
      <w:proofErr w:type="spellEnd"/>
      <w:r w:rsidRPr="00B9706B">
        <w:t xml:space="preserve"> NV/SA, com sede na Bélgica, agindo em nome da empresa </w:t>
      </w:r>
      <w:proofErr w:type="spellStart"/>
      <w:r w:rsidRPr="00B9706B">
        <w:t>Syngenta</w:t>
      </w:r>
      <w:proofErr w:type="spellEnd"/>
      <w:r w:rsidRPr="00B9706B">
        <w:t xml:space="preserve"> </w:t>
      </w:r>
      <w:proofErr w:type="spellStart"/>
      <w:r w:rsidRPr="00B9706B">
        <w:t>Crop</w:t>
      </w:r>
      <w:proofErr w:type="spellEnd"/>
      <w:r w:rsidRPr="00B9706B">
        <w:t xml:space="preserve"> </w:t>
      </w:r>
      <w:proofErr w:type="spellStart"/>
      <w:r w:rsidRPr="00B9706B">
        <w:t>Protection</w:t>
      </w:r>
      <w:proofErr w:type="spellEnd"/>
      <w:r w:rsidRPr="00B9706B">
        <w:t xml:space="preserve"> AG, sediada na Suíça, apresentou um pedido à autoridade nacional competente da Alemanha para a colocação no mercado de géneros alimentícios, ingredientes alimentares e alimentos para animais que contenham, sejam constituídos por, ou produzidos a partir de algodão geneticamente modificado COT102 («algodão geneticamente modificado»), em conformidade com os artigos 5.º e 17.º do Regulamento (CE) n.º 1829/2003 («pedido»); considerando que o pedido abrangia também a colocação no mercado de produtos que contenham, ou sejam constituídos por algodão geneticamente modificado destinados a outras utilizações que não como géneros alimentícios ou alimentos para animais, à exceção do cultivo;</w:t>
      </w:r>
    </w:p>
    <w:p w14:paraId="427B196E" w14:textId="77777777" w:rsidR="005C218B" w:rsidRPr="00B9706B" w:rsidRDefault="005C218B" w:rsidP="005C218B">
      <w:pPr>
        <w:pStyle w:val="NormalHanging12a"/>
        <w:rPr>
          <w:szCs w:val="24"/>
        </w:rPr>
      </w:pPr>
      <w:proofErr w:type="gramStart"/>
      <w:r w:rsidRPr="00B9706B">
        <w:t>B.</w:t>
      </w:r>
      <w:r w:rsidRPr="00B9706B">
        <w:tab/>
        <w:t>Considerando</w:t>
      </w:r>
      <w:proofErr w:type="gramEnd"/>
      <w:r w:rsidRPr="00B9706B">
        <w:t xml:space="preserve"> que em 10 de maio de 2023, a EFSA adotou um parecer favorável, que foi publicado em 26 de junho de 2023, concluindo que o algodão geneticamente modificado é tão seguro como o seu comparador não geneticamente modificado e as variedades de algodão não geneticamente modificadas testadas no que diz respeito aos potenciais efeitos na saúde humana e animal e no ambiente;</w:t>
      </w:r>
    </w:p>
    <w:p w14:paraId="078B646F" w14:textId="77777777" w:rsidR="005C218B" w:rsidRPr="00B9706B" w:rsidRDefault="005C218B" w:rsidP="005C218B">
      <w:pPr>
        <w:pStyle w:val="NormalHanging12a"/>
        <w:rPr>
          <w:szCs w:val="24"/>
        </w:rPr>
      </w:pPr>
      <w:r w:rsidRPr="00B9706B">
        <w:t>C.</w:t>
      </w:r>
      <w:r w:rsidRPr="00B9706B">
        <w:tab/>
        <w:t xml:space="preserve">Considerando que o algodão geneticamente modificado contém genes que produzem proteínas inseticidas («toxinas </w:t>
      </w:r>
      <w:proofErr w:type="spellStart"/>
      <w:r w:rsidRPr="00B9706B">
        <w:t>Bt</w:t>
      </w:r>
      <w:proofErr w:type="spellEnd"/>
      <w:r w:rsidRPr="00B9706B">
        <w:t>») e um gene marcador de resistência aos antibióticos («gene MRA»);</w:t>
      </w:r>
    </w:p>
    <w:p w14:paraId="0998B724" w14:textId="5AF44828" w:rsidR="005C218B" w:rsidRPr="00B9706B" w:rsidRDefault="005C218B" w:rsidP="005C218B">
      <w:pPr>
        <w:pStyle w:val="NormalHanging12a"/>
        <w:rPr>
          <w:szCs w:val="24"/>
        </w:rPr>
      </w:pPr>
      <w:r w:rsidRPr="00B9706B">
        <w:t>D.</w:t>
      </w:r>
      <w:r w:rsidRPr="00B9706B">
        <w:tab/>
        <w:t>Considerando que o óleo de sementes de algodão pode ser utilizado na produção duma grande variedade de produtos alimentares, tais como molhos, maionese, produtos de padaria fina, pastas de cacau para barrar e batatas fritas; considerando que o consumo de farinha de sementes de algodão é a forma mais provável de exposição humana às duas proteínas resultantes da modificação genética; considerando que o algodão é geralmente utilizado na alimentação animal sob a forma de sementes e sêmolas não descaroçadas;</w:t>
      </w:r>
    </w:p>
    <w:p w14:paraId="42B69820" w14:textId="77777777" w:rsidR="005C218B" w:rsidRPr="00B9706B" w:rsidRDefault="005C218B" w:rsidP="00B9706B">
      <w:pPr>
        <w:pStyle w:val="NormalHanging12a"/>
        <w:ind w:left="0" w:firstLine="0"/>
        <w:rPr>
          <w:b/>
          <w:i/>
        </w:rPr>
      </w:pPr>
      <w:r w:rsidRPr="00B9706B">
        <w:rPr>
          <w:b/>
          <w:i/>
        </w:rPr>
        <w:t xml:space="preserve">Questões pendentes relativas às toxinas </w:t>
      </w:r>
      <w:proofErr w:type="spellStart"/>
      <w:r w:rsidRPr="00B9706B">
        <w:rPr>
          <w:b/>
          <w:i/>
        </w:rPr>
        <w:t>Bt</w:t>
      </w:r>
      <w:proofErr w:type="spellEnd"/>
    </w:p>
    <w:p w14:paraId="71F6D85E" w14:textId="77777777" w:rsidR="005C218B" w:rsidRPr="00B9706B" w:rsidRDefault="005C218B" w:rsidP="005C218B">
      <w:pPr>
        <w:pStyle w:val="NormalHanging12a"/>
        <w:rPr>
          <w:szCs w:val="24"/>
        </w:rPr>
      </w:pPr>
      <w:r w:rsidRPr="00B9706B">
        <w:t>E.</w:t>
      </w:r>
      <w:r w:rsidRPr="00B9706B">
        <w:tab/>
        <w:t xml:space="preserve">Considerando que a toxicidade das toxinas </w:t>
      </w:r>
      <w:proofErr w:type="spellStart"/>
      <w:r w:rsidRPr="00B9706B">
        <w:t>Bt</w:t>
      </w:r>
      <w:proofErr w:type="spellEnd"/>
      <w:r w:rsidRPr="00B9706B">
        <w:t xml:space="preserve"> foi avaliada com base em estudos alimentares que utilizaram apenas proteínas </w:t>
      </w:r>
      <w:proofErr w:type="spellStart"/>
      <w:r w:rsidRPr="00B9706B">
        <w:t>Bt</w:t>
      </w:r>
      <w:proofErr w:type="spellEnd"/>
      <w:r w:rsidRPr="00B9706B">
        <w:t xml:space="preserve"> isoladas produzidas por bactérias; considerando que os ensaios toxicológicos realizados com proteínas isoladas têm pouco </w:t>
      </w:r>
      <w:r w:rsidRPr="00B9706B">
        <w:lastRenderedPageBreak/>
        <w:t xml:space="preserve">significado devido ao facto de as toxinas </w:t>
      </w:r>
      <w:proofErr w:type="spellStart"/>
      <w:r w:rsidRPr="00B9706B">
        <w:t>Bt</w:t>
      </w:r>
      <w:proofErr w:type="spellEnd"/>
      <w:r w:rsidRPr="00B9706B">
        <w:t xml:space="preserve"> em culturas geneticamente modificadas, como o milho, o algodão e a soja, serem intrinsecamente mais tóxicas do que as toxinas </w:t>
      </w:r>
      <w:proofErr w:type="spellStart"/>
      <w:r w:rsidRPr="00B9706B">
        <w:t>Bt</w:t>
      </w:r>
      <w:proofErr w:type="spellEnd"/>
      <w:r w:rsidRPr="00B9706B">
        <w:t xml:space="preserve"> isoladas; considerando que tal se deve ao facto de os inibidores da </w:t>
      </w:r>
      <w:proofErr w:type="spellStart"/>
      <w:r w:rsidRPr="00B9706B">
        <w:t>protease</w:t>
      </w:r>
      <w:proofErr w:type="spellEnd"/>
      <w:r w:rsidRPr="00B9706B">
        <w:t xml:space="preserve"> (IP) presentes no tecido vegetal poderem aumentar a toxicidade das toxinas </w:t>
      </w:r>
      <w:proofErr w:type="spellStart"/>
      <w:r w:rsidRPr="00B9706B">
        <w:t>Bt</w:t>
      </w:r>
      <w:proofErr w:type="spellEnd"/>
      <w:r w:rsidRPr="00B9706B">
        <w:t xml:space="preserve"> ao atrasarem a sua degradação; considerando que este fenómeno foi demonstrado em vários estudos científicos, nomeadamente um realizado para a empresa Monsanto que mostrou que mesmo a presença de níveis extremamente baixos de IP aumenta a toxicidade das toxinas </w:t>
      </w:r>
      <w:proofErr w:type="spellStart"/>
      <w:r w:rsidRPr="00B9706B">
        <w:t>Bt</w:t>
      </w:r>
      <w:proofErr w:type="spellEnd"/>
      <w:r w:rsidRPr="00B9706B">
        <w:t xml:space="preserve"> até 20 vezes</w:t>
      </w:r>
      <w:r w:rsidRPr="00B9706B">
        <w:rPr>
          <w:rStyle w:val="FootnoteReference"/>
          <w:szCs w:val="24"/>
        </w:rPr>
        <w:footnoteReference w:id="6"/>
      </w:r>
      <w:r w:rsidRPr="00B9706B">
        <w:t>;</w:t>
      </w:r>
    </w:p>
    <w:p w14:paraId="25D778B3" w14:textId="77777777" w:rsidR="005C218B" w:rsidRPr="00B9706B" w:rsidRDefault="005C218B" w:rsidP="005C218B">
      <w:pPr>
        <w:pStyle w:val="NormalHanging12a"/>
        <w:rPr>
          <w:szCs w:val="24"/>
        </w:rPr>
      </w:pPr>
      <w:proofErr w:type="gramStart"/>
      <w:r w:rsidRPr="00B9706B">
        <w:t>F.</w:t>
      </w:r>
      <w:r w:rsidRPr="00B9706B">
        <w:tab/>
        <w:t>Considerando</w:t>
      </w:r>
      <w:proofErr w:type="gramEnd"/>
      <w:r w:rsidRPr="00B9706B">
        <w:t xml:space="preserve"> que esta toxicidade agravada não é tida em consideração nas avaliações de risco da EFSA, embora sejam relevantes para todas as plantas </w:t>
      </w:r>
      <w:proofErr w:type="spellStart"/>
      <w:r w:rsidRPr="00B9706B">
        <w:t>Bt</w:t>
      </w:r>
      <w:proofErr w:type="spellEnd"/>
      <w:r w:rsidRPr="00B9706B">
        <w:t xml:space="preserve"> aprovadas para importação ou cultivo na União; considerando que, por conseguinte, não podem ser excluídos os riscos para os seres humanos e os animais que consomem géneros alimentícios e alimentos para animais que contenham toxinas </w:t>
      </w:r>
      <w:proofErr w:type="spellStart"/>
      <w:r w:rsidRPr="00B9706B">
        <w:t>Bt</w:t>
      </w:r>
      <w:proofErr w:type="spellEnd"/>
      <w:r w:rsidRPr="00B9706B">
        <w:t xml:space="preserve"> decorrentes desta toxicidade reforçada devido à interação entre as toxinas PI e </w:t>
      </w:r>
      <w:proofErr w:type="spellStart"/>
      <w:r w:rsidRPr="00B9706B">
        <w:t>Bt</w:t>
      </w:r>
      <w:proofErr w:type="spellEnd"/>
      <w:r w:rsidRPr="00B9706B">
        <w:t>;</w:t>
      </w:r>
    </w:p>
    <w:p w14:paraId="563E29E4" w14:textId="77777777" w:rsidR="005C218B" w:rsidRPr="00B9706B" w:rsidRDefault="005C218B" w:rsidP="005C218B">
      <w:pPr>
        <w:pStyle w:val="NormalHanging12a"/>
        <w:rPr>
          <w:szCs w:val="24"/>
        </w:rPr>
      </w:pPr>
      <w:r w:rsidRPr="00B9706B">
        <w:t>G.</w:t>
      </w:r>
      <w:r w:rsidRPr="00B9706B">
        <w:tab/>
        <w:t>Considerando que há vários estudos que demonstram que foram observados efeitos secundários que podem afetar o sistema imunitário na sequência da exposição a toxinas </w:t>
      </w:r>
      <w:proofErr w:type="spellStart"/>
      <w:r w:rsidRPr="00B9706B">
        <w:t>Bt</w:t>
      </w:r>
      <w:proofErr w:type="spellEnd"/>
      <w:r w:rsidRPr="00B9706B">
        <w:t xml:space="preserve"> e que algumas dessas toxinas podem ter propriedades adjuvantes</w:t>
      </w:r>
      <w:r w:rsidRPr="00B9706B">
        <w:rPr>
          <w:rStyle w:val="FootnoteReference"/>
          <w:szCs w:val="24"/>
        </w:rPr>
        <w:footnoteReference w:id="7"/>
      </w:r>
      <w:r w:rsidRPr="00B9706B">
        <w:t xml:space="preserve">, o que significa que podem aumentar a </w:t>
      </w:r>
      <w:proofErr w:type="spellStart"/>
      <w:r w:rsidRPr="00B9706B">
        <w:t>alergenicidade</w:t>
      </w:r>
      <w:proofErr w:type="spellEnd"/>
      <w:r w:rsidRPr="00B9706B">
        <w:t xml:space="preserve"> de outras proteínas com as quais entrem em contacto;</w:t>
      </w:r>
    </w:p>
    <w:p w14:paraId="29D9F8E1" w14:textId="77777777" w:rsidR="005C218B" w:rsidRPr="00B9706B" w:rsidRDefault="005C218B" w:rsidP="00B9706B">
      <w:pPr>
        <w:pStyle w:val="NormalHanging12a"/>
        <w:ind w:left="0" w:firstLine="0"/>
        <w:rPr>
          <w:b/>
          <w:i/>
          <w:szCs w:val="24"/>
        </w:rPr>
      </w:pPr>
      <w:r w:rsidRPr="00B9706B">
        <w:rPr>
          <w:b/>
          <w:i/>
        </w:rPr>
        <w:t xml:space="preserve">Culturas </w:t>
      </w:r>
      <w:proofErr w:type="spellStart"/>
      <w:r w:rsidRPr="00B9706B">
        <w:rPr>
          <w:b/>
          <w:i/>
        </w:rPr>
        <w:t>Bt</w:t>
      </w:r>
      <w:proofErr w:type="spellEnd"/>
      <w:r w:rsidRPr="00B9706B">
        <w:rPr>
          <w:b/>
          <w:i/>
        </w:rPr>
        <w:t>: efeitos em organismos não visados</w:t>
      </w:r>
    </w:p>
    <w:p w14:paraId="2A2D9C8B" w14:textId="77777777" w:rsidR="005C218B" w:rsidRPr="00B9706B" w:rsidRDefault="005C218B" w:rsidP="005C218B">
      <w:pPr>
        <w:pStyle w:val="NormalHanging12a"/>
      </w:pPr>
      <w:proofErr w:type="gramStart"/>
      <w:r w:rsidRPr="00B9706B">
        <w:t>H.</w:t>
      </w:r>
      <w:r w:rsidRPr="00B9706B">
        <w:tab/>
        <w:t>Considerando</w:t>
      </w:r>
      <w:proofErr w:type="gramEnd"/>
      <w:r w:rsidRPr="00B9706B">
        <w:t xml:space="preserve"> que – ao contrário da utilização de inseticidas, em que a exposição ocorre no momento da pulverização e durante um período limitado posterior – a utilização de culturas </w:t>
      </w:r>
      <w:proofErr w:type="spellStart"/>
      <w:r w:rsidRPr="00B9706B">
        <w:t>Bt</w:t>
      </w:r>
      <w:proofErr w:type="spellEnd"/>
      <w:r w:rsidRPr="00B9706B">
        <w:t xml:space="preserve"> geneticamente modificadas resulta na exposição contínua dos organismos visados e não visados às toxinas </w:t>
      </w:r>
      <w:proofErr w:type="spellStart"/>
      <w:r w:rsidRPr="00B9706B">
        <w:t>Bt</w:t>
      </w:r>
      <w:proofErr w:type="spellEnd"/>
      <w:r w:rsidRPr="00B9706B">
        <w:t>;</w:t>
      </w:r>
    </w:p>
    <w:p w14:paraId="32DB3AF1" w14:textId="68810C5B" w:rsidR="005C218B" w:rsidRPr="00B9706B" w:rsidRDefault="005C218B" w:rsidP="005C218B">
      <w:pPr>
        <w:pStyle w:val="NormalHanging12a"/>
      </w:pPr>
      <w:r w:rsidRPr="00B9706B">
        <w:t>I.</w:t>
      </w:r>
      <w:r w:rsidRPr="00B9706B">
        <w:tab/>
        <w:t xml:space="preserve">Considerando que o pressuposto de que as toxinas </w:t>
      </w:r>
      <w:proofErr w:type="spellStart"/>
      <w:r w:rsidRPr="00B9706B">
        <w:t>Bt</w:t>
      </w:r>
      <w:proofErr w:type="spellEnd"/>
      <w:r w:rsidRPr="00B9706B">
        <w:t xml:space="preserve"> apresentam um único modo de ação específico para cada alvo já não pode ser considerado correto e que não se podem excluir efeitos em organismos não visados</w:t>
      </w:r>
      <w:r w:rsidRPr="00B9706B">
        <w:rPr>
          <w:rStyle w:val="FootnoteReference"/>
        </w:rPr>
        <w:footnoteReference w:id="8"/>
      </w:r>
      <w:r w:rsidRPr="00B9706B">
        <w:t>;</w:t>
      </w:r>
    </w:p>
    <w:p w14:paraId="1F70FD1B" w14:textId="77777777" w:rsidR="005C218B" w:rsidRPr="00B9706B" w:rsidRDefault="005C218B" w:rsidP="005C218B">
      <w:pPr>
        <w:pStyle w:val="NormalHanging12a"/>
      </w:pPr>
      <w:r w:rsidRPr="00B9706B">
        <w:t>J.</w:t>
      </w:r>
      <w:r w:rsidRPr="00B9706B">
        <w:tab/>
        <w:t xml:space="preserve">Considerando que há relatos de um número crescente de organismos não visados que são afetados de múltiplas formas; considerando que, numa síntese recente, são mencionadas 39 publicações avaliadas pelos pares que relatam efeitos adversos </w:t>
      </w:r>
      <w:r w:rsidRPr="00B9706B">
        <w:lastRenderedPageBreak/>
        <w:t xml:space="preserve">significativos das toxinas </w:t>
      </w:r>
      <w:proofErr w:type="spellStart"/>
      <w:r w:rsidRPr="00B9706B">
        <w:t>Bt</w:t>
      </w:r>
      <w:proofErr w:type="spellEnd"/>
      <w:r w:rsidRPr="00B9706B">
        <w:t xml:space="preserve"> em muitas espécies não visadas</w:t>
      </w:r>
      <w:r w:rsidRPr="00B9706B">
        <w:rPr>
          <w:rStyle w:val="FootnoteReference"/>
        </w:rPr>
        <w:footnoteReference w:id="9"/>
      </w:r>
      <w:r w:rsidRPr="00B9706B">
        <w:t>;</w:t>
      </w:r>
    </w:p>
    <w:p w14:paraId="4CAAA835" w14:textId="77777777" w:rsidR="005C218B" w:rsidRPr="00B9706B" w:rsidRDefault="005C218B" w:rsidP="005C218B">
      <w:pPr>
        <w:pStyle w:val="NormalHanging12a"/>
        <w:rPr>
          <w:b/>
          <w:i/>
        </w:rPr>
      </w:pPr>
      <w:r w:rsidRPr="00B9706B">
        <w:rPr>
          <w:b/>
          <w:i/>
        </w:rPr>
        <w:t>Reduzir a dependência de alimentos para animais importados</w:t>
      </w:r>
    </w:p>
    <w:p w14:paraId="4A03EA52" w14:textId="39C3F97E" w:rsidR="005C218B" w:rsidRPr="00B9706B" w:rsidRDefault="005C218B" w:rsidP="005C218B">
      <w:pPr>
        <w:pStyle w:val="NormalHanging12a"/>
      </w:pPr>
      <w:r w:rsidRPr="00B9706B">
        <w:t>K.</w:t>
      </w:r>
      <w:r w:rsidRPr="00B9706B">
        <w:tab/>
        <w:t>Considerando que um dos ensinamentos retirados da crise da COVID</w:t>
      </w:r>
      <w:r w:rsidRPr="00B9706B">
        <w:noBreakHyphen/>
        <w:t xml:space="preserve">19 e da guerra ainda em curso na Ucrânia é a necessidade de a União pôr termo à dependência de alguns materiais críticos; considerando que na carta de missão ao comissário indigitado </w:t>
      </w:r>
      <w:proofErr w:type="spellStart"/>
      <w:r w:rsidRPr="00B9706B">
        <w:t>Christophe</w:t>
      </w:r>
      <w:proofErr w:type="spellEnd"/>
      <w:r w:rsidRPr="00B9706B">
        <w:t xml:space="preserve"> </w:t>
      </w:r>
      <w:proofErr w:type="spellStart"/>
      <w:r w:rsidRPr="00B9706B">
        <w:t>Hansen</w:t>
      </w:r>
      <w:proofErr w:type="spellEnd"/>
      <w:r w:rsidRPr="00B9706B">
        <w:t xml:space="preserve">, a presidente da Comissão, </w:t>
      </w:r>
      <w:proofErr w:type="spellStart"/>
      <w:r w:rsidRPr="00B9706B">
        <w:t>Ursula</w:t>
      </w:r>
      <w:proofErr w:type="spellEnd"/>
      <w:r w:rsidRPr="00B9706B">
        <w:t xml:space="preserve"> </w:t>
      </w:r>
      <w:proofErr w:type="spellStart"/>
      <w:r w:rsidRPr="00B9706B">
        <w:t>von</w:t>
      </w:r>
      <w:proofErr w:type="spellEnd"/>
      <w:r w:rsidRPr="00B9706B">
        <w:t xml:space="preserve"> der </w:t>
      </w:r>
      <w:proofErr w:type="spellStart"/>
      <w:r w:rsidRPr="00B9706B">
        <w:t>Leyen</w:t>
      </w:r>
      <w:proofErr w:type="spellEnd"/>
      <w:r w:rsidRPr="00B9706B">
        <w:t>, lhe solicita que estude formas de reduzir as importações de produtos de importância crítica</w:t>
      </w:r>
      <w:r w:rsidRPr="00B9706B">
        <w:rPr>
          <w:rStyle w:val="FootnoteReference"/>
        </w:rPr>
        <w:footnoteReference w:id="10"/>
      </w:r>
      <w:r w:rsidRPr="00B9706B">
        <w:t>;</w:t>
      </w:r>
    </w:p>
    <w:p w14:paraId="1341294D" w14:textId="77777777" w:rsidR="005C218B" w:rsidRPr="00B9706B" w:rsidRDefault="005C218B" w:rsidP="00B9706B">
      <w:pPr>
        <w:pStyle w:val="NormalHanging12a"/>
        <w:ind w:left="0" w:firstLine="0"/>
        <w:rPr>
          <w:b/>
          <w:i/>
        </w:rPr>
      </w:pPr>
      <w:r w:rsidRPr="00B9706B">
        <w:rPr>
          <w:b/>
          <w:i/>
        </w:rPr>
        <w:t>Inclusão do gene MRA</w:t>
      </w:r>
    </w:p>
    <w:p w14:paraId="45DA3CD3" w14:textId="77777777" w:rsidR="005C218B" w:rsidRPr="00B9706B" w:rsidRDefault="005C218B" w:rsidP="005C218B">
      <w:pPr>
        <w:pStyle w:val="NormalHanging12a"/>
      </w:pPr>
      <w:proofErr w:type="gramStart"/>
      <w:r w:rsidRPr="00B9706B">
        <w:t>L.</w:t>
      </w:r>
      <w:r w:rsidRPr="00B9706B">
        <w:tab/>
        <w:t>Considerando</w:t>
      </w:r>
      <w:proofErr w:type="gramEnd"/>
      <w:r w:rsidRPr="00B9706B">
        <w:t xml:space="preserve"> que o algodão geneticamente modificado produz a proteína APH4, que é utilizada como gene MRA e que desativa a atividade do antibiótico </w:t>
      </w:r>
      <w:proofErr w:type="spellStart"/>
      <w:r w:rsidRPr="00B9706B">
        <w:t>higromicina</w:t>
      </w:r>
      <w:proofErr w:type="spellEnd"/>
      <w:r w:rsidRPr="00B9706B">
        <w:t xml:space="preserve"> B;</w:t>
      </w:r>
    </w:p>
    <w:p w14:paraId="605C39ED" w14:textId="77777777" w:rsidR="005C218B" w:rsidRPr="00B9706B" w:rsidRDefault="005C218B" w:rsidP="005C218B">
      <w:pPr>
        <w:pStyle w:val="NormalHanging12a"/>
      </w:pPr>
      <w:r w:rsidRPr="00B9706B">
        <w:t>M.</w:t>
      </w:r>
      <w:r w:rsidRPr="00B9706B">
        <w:tab/>
        <w:t>Considerando que – nos termos o artigo 4.º, n.º 2, da Diretiva 2001/18/CE do Parlamento Europeu e do Conselho</w:t>
      </w:r>
      <w:r w:rsidRPr="00B9706B">
        <w:rPr>
          <w:rStyle w:val="FootnoteReference"/>
        </w:rPr>
        <w:footnoteReference w:id="11"/>
      </w:r>
      <w:r w:rsidRPr="00B9706B">
        <w:t xml:space="preserve"> – «os OGM que contenham genes de resistência aos antibióticos utilizados na terapêutica médica ou veterinária são especialmente tomados em consideração ao efetuar uma avaliação dos riscos ambientais, a fim de identificar e eliminar progressivamente os marcadores de resistência aos antibióticos presentes em OGM que tenham efeitos adversos na saúde humana ou no ambiente» e que no mesmo artigo se fixava o prazo de 2004 além do qual eles não podiam ser colocados no mercado da União;</w:t>
      </w:r>
    </w:p>
    <w:p w14:paraId="4D2719AE" w14:textId="77777777" w:rsidR="005C218B" w:rsidRPr="00B9706B" w:rsidRDefault="005C218B" w:rsidP="005C218B">
      <w:pPr>
        <w:pStyle w:val="NormalHanging12a"/>
      </w:pPr>
      <w:r w:rsidRPr="00B9706B">
        <w:t>N.</w:t>
      </w:r>
      <w:r w:rsidRPr="00B9706B">
        <w:tab/>
        <w:t>Considerando que o Regulamento de Execução (UE) n.º 503/2013</w:t>
      </w:r>
      <w:r w:rsidRPr="00B9706B">
        <w:rPr>
          <w:rStyle w:val="FootnoteReference"/>
        </w:rPr>
        <w:footnoteReference w:id="12"/>
      </w:r>
      <w:r w:rsidRPr="00B9706B">
        <w:t xml:space="preserve"> da Comissão estabelece que «é agora possível desenvolver OGM sem a utilização de marcadores genéticos de resistência aos antibióticos», pelo que o requerente deve «desenvolver OGM sem utilizar marcadores genéticos de resistência aos antibióticos»;</w:t>
      </w:r>
    </w:p>
    <w:p w14:paraId="70110738" w14:textId="77777777" w:rsidR="005C218B" w:rsidRPr="00B9706B" w:rsidRDefault="005C218B" w:rsidP="005C218B">
      <w:pPr>
        <w:pStyle w:val="NormalHanging12a"/>
      </w:pPr>
      <w:r w:rsidRPr="00B9706B">
        <w:t>O.</w:t>
      </w:r>
      <w:r w:rsidRPr="00B9706B">
        <w:tab/>
        <w:t>Considerando que vários Estados</w:t>
      </w:r>
      <w:r w:rsidRPr="00B9706B">
        <w:noBreakHyphen/>
        <w:t>Membros apresentaram observações críticas sobre a utilização de genes MRA, nomeadamente que, face à atual crise relativa à resistência aos antibióticos, seria sensato aplicar o princípio da precaução – especialmente no caso em apreço, em que a aplicação do gene MRA é totalmente desnecessária e a remoção do gene MRA do genoma vegetal é possível; considerando que a autoridade competente dum Estado</w:t>
      </w:r>
      <w:r w:rsidRPr="00B9706B">
        <w:noBreakHyphen/>
        <w:t xml:space="preserve">Membro emitiu um parecer desfavorável à autorização, com base na </w:t>
      </w:r>
      <w:r w:rsidRPr="00B9706B">
        <w:lastRenderedPageBreak/>
        <w:t>presença do gene MRA no genoma do algodão geneticamente modificado;</w:t>
      </w:r>
    </w:p>
    <w:p w14:paraId="584ED578" w14:textId="2E4728F9" w:rsidR="005C218B" w:rsidRPr="00B9706B" w:rsidRDefault="005C218B" w:rsidP="005C218B">
      <w:pPr>
        <w:pStyle w:val="NormalHanging12a"/>
      </w:pPr>
      <w:r w:rsidRPr="00B9706B">
        <w:t>P.</w:t>
      </w:r>
      <w:r w:rsidRPr="00B9706B">
        <w:tab/>
        <w:t xml:space="preserve">Considerando que a Agência Europeia de Medicamentos confirmou que não existem produtos que contenham </w:t>
      </w:r>
      <w:proofErr w:type="spellStart"/>
      <w:r w:rsidRPr="00B9706B">
        <w:t>higromicina</w:t>
      </w:r>
      <w:proofErr w:type="spellEnd"/>
      <w:r w:rsidRPr="00B9706B">
        <w:t xml:space="preserve"> B autorizados para utilizações terapêuticas, profiláticas ou outras utilizações médicas em seres humanos ou animais nos Estados</w:t>
      </w:r>
      <w:r w:rsidRPr="00B9706B">
        <w:noBreakHyphen/>
        <w:t xml:space="preserve">Membros e que não existem autorizações centrais para uso humano ou veterinário em medicamentos que contenham </w:t>
      </w:r>
      <w:proofErr w:type="spellStart"/>
      <w:r w:rsidRPr="00B9706B">
        <w:t>higromicina</w:t>
      </w:r>
      <w:proofErr w:type="spellEnd"/>
      <w:r w:rsidRPr="00B9706B">
        <w:t xml:space="preserve"> B11; considerando que o parecer da EFSA afirma que o Painel dos Organismos Geneticamente Modificados considera que a avaliação dos riscos pode ter de ser atualizada no caso de produtos que contenham </w:t>
      </w:r>
      <w:proofErr w:type="spellStart"/>
      <w:r w:rsidRPr="00B9706B">
        <w:t>higromicina</w:t>
      </w:r>
      <w:proofErr w:type="spellEnd"/>
      <w:r w:rsidRPr="00B9706B">
        <w:t xml:space="preserve"> B ou outros substratos da enzima APH4 obterem futura aprovação de mercado na UE; considerando que, no entanto, a </w:t>
      </w:r>
      <w:proofErr w:type="spellStart"/>
      <w:r w:rsidRPr="00B9706B">
        <w:t>higromicina</w:t>
      </w:r>
      <w:proofErr w:type="spellEnd"/>
      <w:r w:rsidRPr="00B9706B">
        <w:t xml:space="preserve"> B é utilizada em produtos veterinários vendidos fora da União;</w:t>
      </w:r>
    </w:p>
    <w:p w14:paraId="63604C9C" w14:textId="77777777" w:rsidR="005C218B" w:rsidRPr="00B9706B" w:rsidRDefault="005C218B" w:rsidP="005C218B">
      <w:pPr>
        <w:pStyle w:val="NormalHanging12a"/>
      </w:pPr>
      <w:r w:rsidRPr="00B9706B">
        <w:t>Q.</w:t>
      </w:r>
      <w:r w:rsidRPr="00B9706B">
        <w:tab/>
        <w:t>Considerando que o Parlamento se opôs, pelo menos numa ocasião anterior, à importação de culturas geneticamente modificadas contendo genes MRA</w:t>
      </w:r>
      <w:r w:rsidRPr="00B9706B">
        <w:rPr>
          <w:rStyle w:val="FootnoteReference"/>
        </w:rPr>
        <w:footnoteReference w:id="13"/>
      </w:r>
      <w:r w:rsidRPr="00B9706B">
        <w:t>;</w:t>
      </w:r>
    </w:p>
    <w:p w14:paraId="0067EBB8" w14:textId="77777777" w:rsidR="005C218B" w:rsidRPr="00B9706B" w:rsidRDefault="005C218B" w:rsidP="005C218B">
      <w:pPr>
        <w:pStyle w:val="NormalHanging12a"/>
      </w:pPr>
      <w:r w:rsidRPr="00B9706B">
        <w:t>R.</w:t>
      </w:r>
      <w:r w:rsidRPr="00B9706B">
        <w:tab/>
        <w:t>Considerando que a resistência antimicrobiana constitui uma ameaça para a saúde mundial, a segurança alimentar e a consecução dos Objetivos de Desenvolvimento Sustentável para 2030, e que as infeções resistentes aos medicamentos não conhecem fronteiras</w:t>
      </w:r>
      <w:r w:rsidRPr="00B9706B">
        <w:rPr>
          <w:rStyle w:val="FootnoteReference"/>
        </w:rPr>
        <w:footnoteReference w:id="14"/>
      </w:r>
      <w:r w:rsidRPr="00B9706B">
        <w:t>;</w:t>
      </w:r>
    </w:p>
    <w:p w14:paraId="2DCAACAA" w14:textId="77777777" w:rsidR="005C218B" w:rsidRPr="00B9706B" w:rsidRDefault="005C218B" w:rsidP="00B9706B">
      <w:pPr>
        <w:pStyle w:val="NormalHanging12a"/>
        <w:ind w:left="0" w:firstLine="0"/>
        <w:rPr>
          <w:b/>
          <w:i/>
        </w:rPr>
      </w:pPr>
      <w:r w:rsidRPr="00B9706B">
        <w:rPr>
          <w:b/>
          <w:i/>
        </w:rPr>
        <w:t>Observações das autoridades competentes dos Estados</w:t>
      </w:r>
      <w:r w:rsidRPr="00B9706B">
        <w:rPr>
          <w:b/>
          <w:i/>
        </w:rPr>
        <w:noBreakHyphen/>
        <w:t>Membros e das partes interessadas</w:t>
      </w:r>
    </w:p>
    <w:p w14:paraId="534EBFCA" w14:textId="77777777" w:rsidR="005C218B" w:rsidRPr="00B9706B" w:rsidRDefault="005C218B" w:rsidP="005C218B">
      <w:pPr>
        <w:pStyle w:val="NormalHanging12a"/>
      </w:pPr>
      <w:r w:rsidRPr="00B9706B">
        <w:t>S.</w:t>
      </w:r>
      <w:r w:rsidRPr="00B9706B">
        <w:tab/>
        <w:t>Considerando que os Estados</w:t>
      </w:r>
      <w:r w:rsidRPr="00B9706B">
        <w:noBreakHyphen/>
        <w:t>Membros apresentaram à EFSA muitas observações críticas durante o período de consulta de três meses</w:t>
      </w:r>
      <w:r w:rsidRPr="00B9706B">
        <w:rPr>
          <w:rStyle w:val="FootnoteReference"/>
        </w:rPr>
        <w:footnoteReference w:id="15"/>
      </w:r>
      <w:r w:rsidRPr="00B9706B">
        <w:t>, nomeadamente que o cultivo de algodão geneticamente modificado em campos agrícolas deve ser considerado como contaminação deliberada de ambientes naturais por genes resistentes aos antibióticos, e que as informações fornecidas sobre a toxicologia, a composição e a caracterização molecular são insuficientes e, portanto, as conclusões da EFSA sobre a equivalência do algodão geneticamente modificado ao algodão convencional em termos de segurança dos géneros alimentícios e dos alimentos para animais são prematuras;</w:t>
      </w:r>
    </w:p>
    <w:p w14:paraId="0F207BEE" w14:textId="77777777" w:rsidR="005C218B" w:rsidRPr="00B9706B" w:rsidRDefault="005C218B" w:rsidP="005C218B">
      <w:pPr>
        <w:pStyle w:val="NormalHanging12a"/>
      </w:pPr>
      <w:r w:rsidRPr="00B9706B">
        <w:t>T.</w:t>
      </w:r>
      <w:r w:rsidRPr="00B9706B">
        <w:tab/>
        <w:t xml:space="preserve">Considerando que o Regulamento (CE) n.º 1829/2003 determina que os géneros alimentícios e os alimentos para animais geneticamente modificados não podem ter efeitos nocivos para a saúde humana, a saúde animal ou o ambiente e que a Comissão, ao elaborar a sua decisão, deve ter em conta todas as disposições aplicáveis da legislação da União e outros fatores legítimos relevantes para a matéria em apreço; </w:t>
      </w:r>
      <w:r w:rsidRPr="00B9706B">
        <w:lastRenderedPageBreak/>
        <w:t>considerando que esses fatores legítimos devem incluir os compromissos da União em matéria de luta contra a resistência antimicrobiana;</w:t>
      </w:r>
    </w:p>
    <w:p w14:paraId="6C3F213D" w14:textId="77777777" w:rsidR="005C218B" w:rsidRPr="00B9706B" w:rsidRDefault="005C218B" w:rsidP="00B9706B">
      <w:pPr>
        <w:pStyle w:val="NormalHanging12a"/>
        <w:ind w:left="0" w:firstLine="0"/>
        <w:rPr>
          <w:b/>
          <w:i/>
        </w:rPr>
      </w:pPr>
      <w:r w:rsidRPr="00B9706B">
        <w:rPr>
          <w:b/>
          <w:i/>
        </w:rPr>
        <w:t>Processo de decisão não democrático</w:t>
      </w:r>
    </w:p>
    <w:p w14:paraId="4CEB21D0" w14:textId="77777777" w:rsidR="005C218B" w:rsidRPr="00B9706B" w:rsidRDefault="005C218B" w:rsidP="005C218B">
      <w:pPr>
        <w:pStyle w:val="NormalHanging12a"/>
      </w:pPr>
      <w:proofErr w:type="gramStart"/>
      <w:r w:rsidRPr="00B9706B">
        <w:t>U.</w:t>
      </w:r>
      <w:r w:rsidRPr="00B9706B">
        <w:tab/>
        <w:t>Considerando</w:t>
      </w:r>
      <w:proofErr w:type="gramEnd"/>
      <w:r w:rsidRPr="00B9706B">
        <w:t xml:space="preserve"> que, na sua oitava legislatura, o Parlamento aprovou um total de 36 resoluções que se opunham à colocação no mercado de OGM destinados à alimentação humana e animal (33 resoluções) e ao cultivo de OGM na União (3 resoluções); considerando que, na sua nona legislatura, o Parlamento Europeu já aprovou 38 objeções à colocação de OGM no mercado;</w:t>
      </w:r>
    </w:p>
    <w:p w14:paraId="737CFDC1" w14:textId="77777777" w:rsidR="005C218B" w:rsidRPr="00B9706B" w:rsidRDefault="005C218B" w:rsidP="005C218B">
      <w:pPr>
        <w:pStyle w:val="NormalHanging12a"/>
      </w:pPr>
      <w:proofErr w:type="gramStart"/>
      <w:r w:rsidRPr="00B9706B">
        <w:t>V.</w:t>
      </w:r>
      <w:r w:rsidRPr="00B9706B">
        <w:tab/>
        <w:t>Considerando</w:t>
      </w:r>
      <w:proofErr w:type="gramEnd"/>
      <w:r w:rsidRPr="00B9706B">
        <w:t xml:space="preserve"> que, apesar de reconhecer a existência de défices democráticos, a falta de apoio dos Estados</w:t>
      </w:r>
      <w:r w:rsidRPr="00B9706B">
        <w:noBreakHyphen/>
        <w:t>Membros e as objeções do Parlamento, a Comissão continua a autorizar OGM;</w:t>
      </w:r>
    </w:p>
    <w:p w14:paraId="1D1FC31C" w14:textId="77777777" w:rsidR="005C218B" w:rsidRPr="00B9706B" w:rsidRDefault="005C218B" w:rsidP="005C218B">
      <w:pPr>
        <w:pStyle w:val="NormalHanging12a"/>
      </w:pPr>
      <w:r w:rsidRPr="00B9706B">
        <w:t>W.</w:t>
      </w:r>
      <w:r w:rsidRPr="00B9706B">
        <w:tab/>
        <w:t>Considerando que não é necessária qualquer alteração à legislação para que a Comissão possa decidir não autorizar OGM quando não existir uma maioria qualificada de Estados</w:t>
      </w:r>
      <w:r w:rsidRPr="00B9706B">
        <w:noBreakHyphen/>
        <w:t>Membros a favor no Comité de Recurso</w:t>
      </w:r>
      <w:r w:rsidRPr="00B9706B">
        <w:rPr>
          <w:rStyle w:val="FootnoteReference"/>
        </w:rPr>
        <w:footnoteReference w:id="16"/>
      </w:r>
      <w:r w:rsidRPr="00B9706B">
        <w:t>;</w:t>
      </w:r>
    </w:p>
    <w:p w14:paraId="668CD586" w14:textId="77777777" w:rsidR="005C218B" w:rsidRPr="00B9706B" w:rsidRDefault="005C218B" w:rsidP="005C218B">
      <w:pPr>
        <w:pStyle w:val="NormalHanging12a"/>
      </w:pPr>
      <w:proofErr w:type="gramStart"/>
      <w:r w:rsidRPr="00B9706B">
        <w:t>X.</w:t>
      </w:r>
      <w:r w:rsidRPr="00B9706B">
        <w:tab/>
      </w:r>
      <w:r w:rsidRPr="00B9706B">
        <w:rPr>
          <w:shd w:val="clear" w:color="auto" w:fill="FFFFFF"/>
        </w:rPr>
        <w:t>Considerando</w:t>
      </w:r>
      <w:proofErr w:type="gramEnd"/>
      <w:r w:rsidRPr="00B9706B">
        <w:rPr>
          <w:shd w:val="clear" w:color="auto" w:fill="FFFFFF"/>
        </w:rPr>
        <w:t xml:space="preserve"> que não resultou qualquer parecer da votação de 8 de julho de 2024 do Comité Permanente dos Vegetais, Animais e Alimentos para Consumo Humano e Animal a que se refere o artigo 35.º do Regulamento (CE) n.º 1829/2003, o que significa que a autorização não teve o apoio de uma maioria qualificada de Estados</w:t>
      </w:r>
      <w:r w:rsidRPr="00B9706B">
        <w:rPr>
          <w:shd w:val="clear" w:color="auto" w:fill="FFFFFF"/>
        </w:rPr>
        <w:noBreakHyphen/>
        <w:t>Membros; considerando que da votação de 3 de setembro de 2024 do Comité de Recurso também não resultou qualquer parecer;</w:t>
      </w:r>
    </w:p>
    <w:p w14:paraId="43E8530A" w14:textId="7A3503EF" w:rsidR="005C218B" w:rsidRPr="00B9706B" w:rsidRDefault="005C218B" w:rsidP="005C218B">
      <w:pPr>
        <w:pStyle w:val="NormalHanging12a"/>
      </w:pPr>
      <w:proofErr w:type="gramStart"/>
      <w:r w:rsidRPr="00B9706B">
        <w:t>1.</w:t>
      </w:r>
      <w:r w:rsidRPr="00B9706B">
        <w:tab/>
      </w:r>
      <w:r w:rsidR="00286F91" w:rsidRPr="00B9706B">
        <w:t>Considera</w:t>
      </w:r>
      <w:proofErr w:type="gramEnd"/>
      <w:r w:rsidR="00286F91" w:rsidRPr="00B9706B">
        <w:t xml:space="preserve"> </w:t>
      </w:r>
      <w:r w:rsidRPr="00B9706B">
        <w:t xml:space="preserve">que </w:t>
      </w:r>
      <w:r w:rsidR="003301F9" w:rsidRPr="00B9706B">
        <w:t>a</w:t>
      </w:r>
      <w:r w:rsidRPr="00B9706B">
        <w:t xml:space="preserve"> </w:t>
      </w:r>
      <w:r w:rsidR="003301F9" w:rsidRPr="00B9706B">
        <w:t xml:space="preserve">Decisão </w:t>
      </w:r>
      <w:r w:rsidRPr="00B9706B">
        <w:t xml:space="preserve">de </w:t>
      </w:r>
      <w:r w:rsidR="003301F9" w:rsidRPr="00B9706B">
        <w:t xml:space="preserve">Execução (UE) 2024/2627 </w:t>
      </w:r>
      <w:r w:rsidRPr="00B9706B">
        <w:t>excede as competências de execução previstas no Regulamento (CE) n.º 1829/2003;</w:t>
      </w:r>
    </w:p>
    <w:p w14:paraId="42C68CE9" w14:textId="386A7CCB" w:rsidR="005C218B" w:rsidRPr="00B9706B" w:rsidRDefault="005C218B" w:rsidP="005C218B">
      <w:pPr>
        <w:pStyle w:val="NormalHanging12a"/>
      </w:pPr>
      <w:r w:rsidRPr="00B9706B">
        <w:t>2.</w:t>
      </w:r>
      <w:r w:rsidRPr="00B9706B">
        <w:tab/>
        <w:t xml:space="preserve">Considera que </w:t>
      </w:r>
      <w:r w:rsidR="003301F9" w:rsidRPr="00B9706B">
        <w:t>a</w:t>
      </w:r>
      <w:r w:rsidRPr="00B9706B">
        <w:t xml:space="preserve"> </w:t>
      </w:r>
      <w:r w:rsidR="003301F9" w:rsidRPr="00B9706B">
        <w:t xml:space="preserve">Decisão </w:t>
      </w:r>
      <w:r w:rsidRPr="00B9706B">
        <w:t xml:space="preserve">de </w:t>
      </w:r>
      <w:r w:rsidR="003301F9" w:rsidRPr="00B9706B">
        <w:t xml:space="preserve">Execução (UE) 2024/2627 </w:t>
      </w:r>
      <w:r w:rsidRPr="00B9706B">
        <w:t xml:space="preserve">não </w:t>
      </w:r>
      <w:r w:rsidR="003301F9" w:rsidRPr="00B9706B">
        <w:t>está em conformidade</w:t>
      </w:r>
      <w:r w:rsidRPr="00B9706B">
        <w:t xml:space="preserve"> com o direito da União, pois não é compatível com o objetivo do Regulamento (CE) n.º 1829/2003, o qual – de acordo com os princípios gerais estabelecidos no Regulamento (CE) n.º 178/2002 do Parlamento Europeu e do Conselho</w:t>
      </w:r>
      <w:r w:rsidRPr="00B9706B">
        <w:rPr>
          <w:rStyle w:val="FootnoteReference"/>
        </w:rPr>
        <w:footnoteReference w:id="17"/>
      </w:r>
      <w:r w:rsidRPr="00B9706B">
        <w:t xml:space="preserve"> – consiste em estabelecer uma base para garantir um nível elevado de proteção da vida e da saúde humanas, da saúde e do bem</w:t>
      </w:r>
      <w:r w:rsidRPr="00B9706B">
        <w:noBreakHyphen/>
        <w:t>estar dos animais, do ambiente e dos interesses dos consumidores no que diz respeito aos géneros alimentícios e aos alimentos geneticamente modificados para animais, assegurando simultaneamente o funcionamento eficaz do mercado interno;</w:t>
      </w:r>
    </w:p>
    <w:p w14:paraId="56189E29" w14:textId="71EB7B6B" w:rsidR="005C218B" w:rsidRPr="00B9706B" w:rsidRDefault="005C218B" w:rsidP="005C218B">
      <w:pPr>
        <w:pStyle w:val="NormalHanging12a"/>
      </w:pPr>
      <w:r w:rsidRPr="00B9706B">
        <w:t>3.</w:t>
      </w:r>
      <w:r w:rsidRPr="00B9706B">
        <w:tab/>
        <w:t xml:space="preserve">Solicita à Comissão que </w:t>
      </w:r>
      <w:r w:rsidR="003301F9" w:rsidRPr="00B9706B">
        <w:t>revogue a</w:t>
      </w:r>
      <w:r w:rsidRPr="00B9706B">
        <w:t xml:space="preserve"> </w:t>
      </w:r>
      <w:r w:rsidR="003301F9" w:rsidRPr="00B9706B">
        <w:t xml:space="preserve">Decisão </w:t>
      </w:r>
      <w:r w:rsidRPr="00B9706B">
        <w:t xml:space="preserve">de </w:t>
      </w:r>
      <w:r w:rsidR="003301F9" w:rsidRPr="00B9706B">
        <w:t xml:space="preserve">Execução (UE) 2024/2627 </w:t>
      </w:r>
      <w:r w:rsidRPr="00B9706B">
        <w:t>e que apresente um novo projeto à comissão;</w:t>
      </w:r>
    </w:p>
    <w:p w14:paraId="09786ABB" w14:textId="71EA9D65" w:rsidR="005C218B" w:rsidRPr="00B9706B" w:rsidRDefault="005C218B" w:rsidP="005C218B">
      <w:pPr>
        <w:pStyle w:val="NormalHanging12a"/>
      </w:pPr>
      <w:proofErr w:type="gramStart"/>
      <w:r w:rsidRPr="00B9706B">
        <w:t>4.</w:t>
      </w:r>
      <w:r w:rsidRPr="00B9706B">
        <w:tab/>
        <w:t>Reitera</w:t>
      </w:r>
      <w:proofErr w:type="gramEnd"/>
      <w:r w:rsidRPr="00B9706B">
        <w:t xml:space="preserve"> o seu apelo à Comissão para que não autorize a colocação no mercado de </w:t>
      </w:r>
      <w:r w:rsidRPr="00B9706B">
        <w:lastRenderedPageBreak/>
        <w:t>quaisquer plantas geneticamente modificadas que contenham genes que confiram resistência aos agentes antimicrobianos; assinala que a sua autorização violaria o disposto no artigo 4.º, n.º 2, da Diretiva 2001/18/CE, que insta a uma eliminação progressiva dos genes MRA que tenham efeitos adversos na saúde humana e no ambiente;</w:t>
      </w:r>
    </w:p>
    <w:p w14:paraId="6BA3479F" w14:textId="77777777" w:rsidR="005C218B" w:rsidRPr="00B9706B" w:rsidRDefault="005C218B" w:rsidP="005C218B">
      <w:pPr>
        <w:pStyle w:val="NormalHanging12a"/>
      </w:pPr>
      <w:r w:rsidRPr="00B9706B">
        <w:t>5.</w:t>
      </w:r>
      <w:r w:rsidRPr="00B9706B">
        <w:tab/>
        <w:t>Congratula</w:t>
      </w:r>
      <w:r w:rsidRPr="00B9706B">
        <w:noBreakHyphen/>
        <w:t>se com o facto de a Comissão ter finalmente reconhecido, numa carta com data de 11 de setembro de 2020 dirigida aos deputados, a necessidade de ter em conta a sustentabilidade nas decisões de autorização de OGM</w:t>
      </w:r>
      <w:r w:rsidRPr="00B9706B">
        <w:rPr>
          <w:rStyle w:val="FootnoteReference"/>
        </w:rPr>
        <w:footnoteReference w:id="18"/>
      </w:r>
      <w:r w:rsidRPr="00B9706B">
        <w:t>; manifesta, no entanto, profunda deceção pelo facto de, desde então, a Comissão ter continuado a autorizar a importação de OGM para a União, apesar das objeções levantadas pelo Parlamento e do voto contra da maioria dos Estados</w:t>
      </w:r>
      <w:r w:rsidRPr="00B9706B">
        <w:noBreakHyphen/>
        <w:t>Membros;</w:t>
      </w:r>
    </w:p>
    <w:p w14:paraId="71FF87BC" w14:textId="77777777" w:rsidR="005C218B" w:rsidRPr="00B9706B" w:rsidRDefault="005C218B" w:rsidP="005C218B">
      <w:pPr>
        <w:pStyle w:val="NormalHanging12a"/>
      </w:pPr>
      <w:r w:rsidRPr="00B9706B">
        <w:t>6.</w:t>
      </w:r>
      <w:r w:rsidRPr="00B9706B">
        <w:tab/>
        <w:t>Insta novamente a Comissão a ter em conta as obrigações da União decorrentes dos acordos internacionais, como o Acordo de Paris sobre o Clima, a Convenção das Nações Unidas sobre a Diversidade Biológica e os Objetivos de Desenvolvimento Sustentável das Nações Unidas; reitera o seu apelo no sentido de os projetos de atos de execução serem acompanhados duma exposição de motivos que explique como respeitam o princípio de «não prejudicar»</w:t>
      </w:r>
      <w:r w:rsidRPr="00B9706B">
        <w:rPr>
          <w:rStyle w:val="FootnoteReference"/>
        </w:rPr>
        <w:footnoteReference w:id="19"/>
      </w:r>
      <w:r w:rsidRPr="00B9706B">
        <w:t>;</w:t>
      </w:r>
    </w:p>
    <w:p w14:paraId="73072391" w14:textId="50A530B0" w:rsidR="00923A36" w:rsidRPr="00B9706B" w:rsidRDefault="005C218B" w:rsidP="00923A36">
      <w:pPr>
        <w:widowControl/>
        <w:ind w:left="567" w:hanging="567"/>
      </w:pPr>
      <w:proofErr w:type="gramStart"/>
      <w:r w:rsidRPr="00B9706B">
        <w:t>7.</w:t>
      </w:r>
      <w:r w:rsidRPr="00B9706B">
        <w:tab/>
        <w:t>Encarrega</w:t>
      </w:r>
      <w:proofErr w:type="gramEnd"/>
      <w:r w:rsidRPr="00B9706B">
        <w:t xml:space="preserve"> a sua Presidente de transmitir a presente resolução ao Conselho, à Comissão e aos governos e parlamentos dos Estados</w:t>
      </w:r>
      <w:r w:rsidRPr="00B9706B">
        <w:noBreakHyphen/>
        <w:t>Membros.</w:t>
      </w:r>
    </w:p>
    <w:p w14:paraId="73EC5DA5" w14:textId="77777777" w:rsidR="00E365E1" w:rsidRPr="00B9706B" w:rsidRDefault="00E365E1" w:rsidP="008E4D6F"/>
    <w:sectPr w:rsidR="00E365E1" w:rsidRPr="00B9706B" w:rsidSect="00923A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9494F9" w14:textId="77777777" w:rsidR="008E4D6F" w:rsidRPr="00923A36" w:rsidRDefault="008E4D6F">
      <w:r w:rsidRPr="00923A36">
        <w:separator/>
      </w:r>
    </w:p>
  </w:endnote>
  <w:endnote w:type="continuationSeparator" w:id="0">
    <w:p w14:paraId="19370BBA" w14:textId="77777777" w:rsidR="008E4D6F" w:rsidRPr="00923A36" w:rsidRDefault="008E4D6F">
      <w:r w:rsidRPr="00923A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7E4D6" w14:textId="77777777" w:rsidR="00064002" w:rsidRPr="00923A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E33DA" w14:textId="77777777" w:rsidR="00064002" w:rsidRPr="00923A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514CA" w14:textId="77777777" w:rsidR="00064002" w:rsidRPr="00923A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515378" w14:textId="77777777" w:rsidR="008E4D6F" w:rsidRPr="00923A36" w:rsidRDefault="008E4D6F">
      <w:r w:rsidRPr="00923A36">
        <w:separator/>
      </w:r>
    </w:p>
  </w:footnote>
  <w:footnote w:type="continuationSeparator" w:id="0">
    <w:p w14:paraId="36EE5B19" w14:textId="77777777" w:rsidR="008E4D6F" w:rsidRPr="00923A36" w:rsidRDefault="008E4D6F">
      <w:r w:rsidRPr="00923A36">
        <w:continuationSeparator/>
      </w:r>
    </w:p>
  </w:footnote>
  <w:footnote w:id="1">
    <w:p w14:paraId="1DA16462" w14:textId="77777777" w:rsidR="003301F9" w:rsidRPr="00B9706B" w:rsidRDefault="003301F9" w:rsidP="00B9706B">
      <w:pPr>
        <w:pStyle w:val="FootnoteText"/>
        <w:ind w:left="567" w:hanging="567"/>
        <w:rPr>
          <w:sz w:val="24"/>
          <w:szCs w:val="24"/>
          <w:lang w:val="fi-FI"/>
        </w:rPr>
      </w:pPr>
      <w:r w:rsidRPr="00B9706B">
        <w:rPr>
          <w:rStyle w:val="FootnoteReference"/>
          <w:sz w:val="24"/>
          <w:szCs w:val="24"/>
        </w:rPr>
        <w:footnoteRef/>
      </w:r>
      <w:r w:rsidRPr="00B9706B">
        <w:rPr>
          <w:sz w:val="24"/>
          <w:szCs w:val="24"/>
          <w:lang w:val="fi-FI"/>
        </w:rPr>
        <w:t xml:space="preserve"> </w:t>
      </w:r>
      <w:r w:rsidRPr="00B9706B">
        <w:rPr>
          <w:sz w:val="24"/>
          <w:szCs w:val="24"/>
          <w:lang w:val="fi-FI"/>
        </w:rPr>
        <w:tab/>
      </w:r>
      <w:r w:rsidRPr="003301F9">
        <w:rPr>
          <w:sz w:val="24"/>
          <w:szCs w:val="24"/>
          <w:lang w:val="fi-FI"/>
        </w:rPr>
        <w:t xml:space="preserve">JO L, 2024/2627, 10.10.2024, ELI: </w:t>
      </w:r>
      <w:hyperlink r:id="rId1" w:history="1">
        <w:r w:rsidRPr="003301F9">
          <w:rPr>
            <w:rStyle w:val="Hyperlink"/>
            <w:sz w:val="24"/>
            <w:szCs w:val="24"/>
            <w:lang w:val="fi-FI"/>
          </w:rPr>
          <w:t>http://data.europa.eu/eli/dec_impl/2024/2627/oj</w:t>
        </w:r>
      </w:hyperlink>
      <w:r>
        <w:rPr>
          <w:sz w:val="24"/>
          <w:szCs w:val="24"/>
          <w:lang w:val="fi-FI"/>
        </w:rPr>
        <w:t>.</w:t>
      </w:r>
    </w:p>
  </w:footnote>
  <w:footnote w:id="2">
    <w:p w14:paraId="5394BD72" w14:textId="77777777" w:rsidR="005C218B" w:rsidRPr="00B9706B" w:rsidRDefault="005C218B" w:rsidP="00923A36">
      <w:pPr>
        <w:pStyle w:val="FootnoteText"/>
        <w:ind w:left="567" w:hanging="567"/>
        <w:rPr>
          <w:sz w:val="24"/>
          <w:lang w:val="da-DK"/>
        </w:rPr>
      </w:pPr>
      <w:r w:rsidRPr="00923A36">
        <w:rPr>
          <w:rStyle w:val="FootnoteReference"/>
          <w:sz w:val="24"/>
          <w:lang w:val="pt-PT"/>
        </w:rPr>
        <w:footnoteRef/>
      </w:r>
      <w:r w:rsidR="00923A36" w:rsidRPr="00B9706B">
        <w:rPr>
          <w:sz w:val="24"/>
          <w:lang w:val="da-DK"/>
        </w:rPr>
        <w:t xml:space="preserve"> </w:t>
      </w:r>
      <w:r w:rsidR="00923A36" w:rsidRPr="00B9706B">
        <w:rPr>
          <w:sz w:val="24"/>
          <w:lang w:val="da-DK"/>
        </w:rPr>
        <w:tab/>
      </w:r>
      <w:r w:rsidRPr="00B9706B">
        <w:rPr>
          <w:sz w:val="24"/>
          <w:lang w:val="da-DK"/>
        </w:rPr>
        <w:t>JO L 268 de 18.10.2003, p. 1, ELI: </w:t>
      </w:r>
      <w:hyperlink r:id="rId2" w:tooltip="Permite aceder a este documento através do URI do ELI." w:history="1">
        <w:r w:rsidRPr="00B9706B">
          <w:rPr>
            <w:rStyle w:val="Hyperlink"/>
            <w:sz w:val="24"/>
            <w:lang w:val="da-DK"/>
          </w:rPr>
          <w:t>http://data.europa.eu/eli/reg/2003/1829/oj</w:t>
        </w:r>
      </w:hyperlink>
      <w:r w:rsidRPr="00B9706B">
        <w:rPr>
          <w:sz w:val="24"/>
          <w:lang w:val="da-DK"/>
        </w:rPr>
        <w:t>.</w:t>
      </w:r>
    </w:p>
  </w:footnote>
  <w:footnote w:id="3">
    <w:p w14:paraId="0C34A0F3" w14:textId="77777777" w:rsidR="005C218B" w:rsidRPr="00923A36" w:rsidRDefault="005C218B" w:rsidP="00923A36">
      <w:pPr>
        <w:pStyle w:val="FootnoteText"/>
        <w:ind w:left="567" w:hanging="567"/>
        <w:rPr>
          <w:sz w:val="24"/>
          <w:lang w:val="pt-PT"/>
        </w:rPr>
      </w:pPr>
      <w:r w:rsidRPr="00923A36">
        <w:rPr>
          <w:rStyle w:val="FootnoteReference"/>
          <w:sz w:val="24"/>
          <w:lang w:val="pt-PT"/>
        </w:rPr>
        <w:footnoteRef/>
      </w:r>
      <w:r w:rsidR="00923A36" w:rsidRPr="00923A36">
        <w:rPr>
          <w:sz w:val="24"/>
          <w:lang w:val="pt-PT"/>
        </w:rPr>
        <w:t xml:space="preserve"> </w:t>
      </w:r>
      <w:r w:rsidR="00923A36" w:rsidRPr="00923A36">
        <w:rPr>
          <w:sz w:val="24"/>
          <w:lang w:val="pt-PT"/>
        </w:rPr>
        <w:tab/>
      </w:r>
      <w:r w:rsidRPr="00923A36">
        <w:rPr>
          <w:sz w:val="24"/>
          <w:lang w:val="pt-PT"/>
        </w:rPr>
        <w:t xml:space="preserve">JO L 55 de 28.2.2011, p. 13, ELI: </w:t>
      </w:r>
      <w:hyperlink r:id="rId3" w:tooltip="Permite aceder a este documento através do URI do ELI." w:history="1">
        <w:r w:rsidRPr="00923A36">
          <w:rPr>
            <w:rStyle w:val="Hyperlink"/>
            <w:sz w:val="24"/>
            <w:lang w:val="pt-PT"/>
          </w:rPr>
          <w:t>http://data.europa.eu/eli/reg/2011/182/oj</w:t>
        </w:r>
      </w:hyperlink>
      <w:r w:rsidRPr="00923A36">
        <w:rPr>
          <w:sz w:val="24"/>
          <w:lang w:val="pt-PT"/>
        </w:rPr>
        <w:t>.</w:t>
      </w:r>
    </w:p>
  </w:footnote>
  <w:footnote w:id="4">
    <w:p w14:paraId="5A0F3848" w14:textId="77777777" w:rsidR="005C218B" w:rsidRPr="00923A36" w:rsidRDefault="005C218B" w:rsidP="00923A36">
      <w:pPr>
        <w:pStyle w:val="FootnoteText"/>
        <w:ind w:left="567" w:hanging="567"/>
        <w:rPr>
          <w:sz w:val="24"/>
          <w:lang w:val="pt-PT"/>
        </w:rPr>
      </w:pPr>
      <w:r w:rsidRPr="00923A36">
        <w:rPr>
          <w:rStyle w:val="FootnoteReference"/>
          <w:sz w:val="24"/>
          <w:lang w:val="pt-PT"/>
        </w:rPr>
        <w:footnoteRef/>
      </w:r>
      <w:r w:rsidR="00923A36" w:rsidRPr="00923A36">
        <w:rPr>
          <w:sz w:val="24"/>
          <w:lang w:val="pt-PT"/>
        </w:rPr>
        <w:t xml:space="preserve"> </w:t>
      </w:r>
      <w:r w:rsidR="00923A36" w:rsidRPr="00923A36">
        <w:rPr>
          <w:sz w:val="24"/>
          <w:lang w:val="pt-PT"/>
        </w:rPr>
        <w:tab/>
      </w:r>
      <w:r w:rsidRPr="00923A36">
        <w:rPr>
          <w:sz w:val="24"/>
          <w:lang w:val="pt-PT"/>
        </w:rPr>
        <w:t>Parecer científico do Painel dos Organismos Geneticamente Modificados da EFSA sobre a avaliação do algodão geneticamente modificado COT102 para utilização como género alimentício ou alimento para animais, nos termos do Regulamento (CE) n.º 1829/2003 (pedido EFSA</w:t>
      </w:r>
      <w:r w:rsidRPr="00923A36">
        <w:rPr>
          <w:sz w:val="24"/>
          <w:lang w:val="pt-PT"/>
        </w:rPr>
        <w:noBreakHyphen/>
        <w:t>GMO</w:t>
      </w:r>
      <w:r w:rsidRPr="00923A36">
        <w:rPr>
          <w:sz w:val="24"/>
          <w:lang w:val="pt-PT"/>
        </w:rPr>
        <w:noBreakHyphen/>
        <w:t>DE</w:t>
      </w:r>
      <w:r w:rsidRPr="00923A36">
        <w:rPr>
          <w:sz w:val="24"/>
          <w:lang w:val="pt-PT"/>
        </w:rPr>
        <w:noBreakHyphen/>
        <w:t>2017</w:t>
      </w:r>
      <w:r w:rsidRPr="00923A36">
        <w:rPr>
          <w:sz w:val="24"/>
          <w:lang w:val="pt-PT"/>
        </w:rPr>
        <w:noBreakHyphen/>
        <w:t xml:space="preserve">141), </w:t>
      </w:r>
      <w:bookmarkStart w:id="7" w:name="_GoBack"/>
      <w:r w:rsidRPr="003B65A7">
        <w:rPr>
          <w:i/>
          <w:sz w:val="24"/>
          <w:lang w:val="pt-PT"/>
        </w:rPr>
        <w:t xml:space="preserve">EFSA </w:t>
      </w:r>
      <w:proofErr w:type="spellStart"/>
      <w:r w:rsidRPr="003B65A7">
        <w:rPr>
          <w:i/>
          <w:sz w:val="24"/>
          <w:lang w:val="pt-PT"/>
        </w:rPr>
        <w:t>Journal</w:t>
      </w:r>
      <w:bookmarkEnd w:id="7"/>
      <w:proofErr w:type="spellEnd"/>
      <w:r w:rsidRPr="00923A36">
        <w:rPr>
          <w:sz w:val="24"/>
          <w:lang w:val="pt-PT"/>
        </w:rPr>
        <w:t xml:space="preserve">, 2023;21(6):8031, </w:t>
      </w:r>
      <w:hyperlink r:id="rId4" w:history="1">
        <w:r w:rsidRPr="00923A36">
          <w:rPr>
            <w:rStyle w:val="Hyperlink"/>
            <w:sz w:val="24"/>
            <w:lang w:val="pt-PT"/>
          </w:rPr>
          <w:t>https://doi.org/10.2903/j.efsa.2023.8031</w:t>
        </w:r>
      </w:hyperlink>
      <w:r w:rsidRPr="00923A36">
        <w:rPr>
          <w:sz w:val="24"/>
          <w:lang w:val="pt-PT"/>
        </w:rPr>
        <w:t>.</w:t>
      </w:r>
    </w:p>
  </w:footnote>
  <w:footnote w:id="5">
    <w:p w14:paraId="14EF103B" w14:textId="6C49B9A9" w:rsidR="005C218B" w:rsidRPr="00923A36" w:rsidRDefault="005C218B" w:rsidP="00923A36">
      <w:pPr>
        <w:pStyle w:val="FootnoteText"/>
        <w:ind w:left="567" w:hanging="567"/>
        <w:rPr>
          <w:sz w:val="24"/>
          <w:lang w:val="pt-PT"/>
        </w:rPr>
      </w:pPr>
      <w:r w:rsidRPr="00923A36">
        <w:rPr>
          <w:rStyle w:val="FootnoteReference"/>
          <w:sz w:val="24"/>
          <w:lang w:val="pt-PT"/>
        </w:rPr>
        <w:footnoteRef/>
      </w:r>
      <w:r w:rsidR="00923A36" w:rsidRPr="00923A36">
        <w:rPr>
          <w:color w:val="000000" w:themeColor="text1"/>
          <w:sz w:val="24"/>
          <w:lang w:val="pt-PT"/>
        </w:rPr>
        <w:t xml:space="preserve"> </w:t>
      </w:r>
      <w:r w:rsidR="00923A36" w:rsidRPr="00923A36">
        <w:rPr>
          <w:color w:val="000000" w:themeColor="text1"/>
          <w:sz w:val="24"/>
          <w:lang w:val="pt-PT"/>
        </w:rPr>
        <w:tab/>
      </w:r>
      <w:r w:rsidRPr="00923A36">
        <w:rPr>
          <w:color w:val="000000" w:themeColor="text1"/>
          <w:sz w:val="24"/>
          <w:lang w:val="pt-PT"/>
        </w:rPr>
        <w:t>Na sua 8.ª legislatura, o Parlamento aprovou 36 resoluções e, na sua 9.ª legislatura, 38</w:t>
      </w:r>
      <w:r w:rsidR="00680160">
        <w:rPr>
          <w:color w:val="000000" w:themeColor="text1"/>
          <w:sz w:val="24"/>
          <w:lang w:val="pt-PT"/>
        </w:rPr>
        <w:t> </w:t>
      </w:r>
      <w:r w:rsidRPr="00923A36">
        <w:rPr>
          <w:color w:val="000000" w:themeColor="text1"/>
          <w:sz w:val="24"/>
          <w:lang w:val="pt-PT"/>
        </w:rPr>
        <w:t>resoluções nas quais se opôs à autorização de OGM.</w:t>
      </w:r>
    </w:p>
  </w:footnote>
  <w:footnote w:id="6">
    <w:p w14:paraId="324E5464" w14:textId="77777777" w:rsidR="005C218B" w:rsidRPr="00923A36" w:rsidRDefault="005C218B" w:rsidP="00923A36">
      <w:pPr>
        <w:pStyle w:val="FootnoteText"/>
        <w:ind w:left="567" w:hanging="567"/>
        <w:rPr>
          <w:sz w:val="24"/>
          <w:lang w:val="pt-PT"/>
        </w:rPr>
      </w:pPr>
      <w:r w:rsidRPr="00923A36">
        <w:rPr>
          <w:rStyle w:val="FootnoteReference"/>
          <w:sz w:val="24"/>
          <w:lang w:val="pt-PT"/>
        </w:rPr>
        <w:footnoteRef/>
      </w:r>
      <w:r w:rsidR="00923A36" w:rsidRPr="00923A36">
        <w:rPr>
          <w:sz w:val="24"/>
          <w:lang w:val="pt-PT"/>
        </w:rPr>
        <w:t xml:space="preserve"> </w:t>
      </w:r>
      <w:r w:rsidR="00923A36" w:rsidRPr="00923A36">
        <w:rPr>
          <w:sz w:val="24"/>
          <w:lang w:val="pt-PT"/>
        </w:rPr>
        <w:tab/>
      </w:r>
      <w:proofErr w:type="spellStart"/>
      <w:r w:rsidRPr="00923A36">
        <w:rPr>
          <w:sz w:val="24"/>
          <w:lang w:val="pt-PT"/>
        </w:rPr>
        <w:t>MacIntosh</w:t>
      </w:r>
      <w:proofErr w:type="spellEnd"/>
      <w:r w:rsidRPr="00923A36">
        <w:rPr>
          <w:sz w:val="24"/>
          <w:lang w:val="pt-PT"/>
        </w:rPr>
        <w:t xml:space="preserve">, S.C., </w:t>
      </w:r>
      <w:proofErr w:type="spellStart"/>
      <w:r w:rsidRPr="00923A36">
        <w:rPr>
          <w:sz w:val="24"/>
          <w:lang w:val="pt-PT"/>
        </w:rPr>
        <w:t>Kishore</w:t>
      </w:r>
      <w:proofErr w:type="spellEnd"/>
      <w:r w:rsidRPr="00923A36">
        <w:rPr>
          <w:sz w:val="24"/>
          <w:lang w:val="pt-PT"/>
        </w:rPr>
        <w:t xml:space="preserve">, G.M., </w:t>
      </w:r>
      <w:proofErr w:type="spellStart"/>
      <w:r w:rsidRPr="00923A36">
        <w:rPr>
          <w:sz w:val="24"/>
          <w:lang w:val="pt-PT"/>
        </w:rPr>
        <w:t>Perlak</w:t>
      </w:r>
      <w:proofErr w:type="spellEnd"/>
      <w:r w:rsidRPr="00923A36">
        <w:rPr>
          <w:sz w:val="24"/>
          <w:lang w:val="pt-PT"/>
        </w:rPr>
        <w:t xml:space="preserve">, F.J., </w:t>
      </w:r>
      <w:proofErr w:type="spellStart"/>
      <w:r w:rsidRPr="00923A36">
        <w:rPr>
          <w:sz w:val="24"/>
          <w:lang w:val="pt-PT"/>
        </w:rPr>
        <w:t>Marrone</w:t>
      </w:r>
      <w:proofErr w:type="spellEnd"/>
      <w:r w:rsidRPr="00923A36">
        <w:rPr>
          <w:sz w:val="24"/>
          <w:lang w:val="pt-PT"/>
        </w:rPr>
        <w:t xml:space="preserve">, P.G., Stone, T.B., </w:t>
      </w:r>
      <w:proofErr w:type="spellStart"/>
      <w:r w:rsidRPr="00923A36">
        <w:rPr>
          <w:sz w:val="24"/>
          <w:lang w:val="pt-PT"/>
        </w:rPr>
        <w:t>Sims</w:t>
      </w:r>
      <w:proofErr w:type="spellEnd"/>
      <w:r w:rsidRPr="00923A36">
        <w:rPr>
          <w:sz w:val="24"/>
          <w:lang w:val="pt-PT"/>
        </w:rPr>
        <w:t xml:space="preserve">, S.R. e </w:t>
      </w:r>
      <w:proofErr w:type="spellStart"/>
      <w:r w:rsidRPr="00923A36">
        <w:rPr>
          <w:sz w:val="24"/>
          <w:lang w:val="pt-PT"/>
        </w:rPr>
        <w:t>Fuchs</w:t>
      </w:r>
      <w:proofErr w:type="spellEnd"/>
      <w:r w:rsidRPr="00923A36">
        <w:rPr>
          <w:sz w:val="24"/>
          <w:lang w:val="pt-PT"/>
        </w:rPr>
        <w:t>, R.L., «</w:t>
      </w:r>
      <w:proofErr w:type="spellStart"/>
      <w:r w:rsidRPr="00923A36">
        <w:rPr>
          <w:sz w:val="24"/>
          <w:lang w:val="pt-PT"/>
        </w:rPr>
        <w:t>Potentiation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of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i/>
          <w:sz w:val="24"/>
          <w:lang w:val="pt-PT"/>
        </w:rPr>
        <w:t>Bacillus</w:t>
      </w:r>
      <w:proofErr w:type="spellEnd"/>
      <w:r w:rsidRPr="00923A36">
        <w:rPr>
          <w:i/>
          <w:sz w:val="24"/>
          <w:lang w:val="pt-PT"/>
        </w:rPr>
        <w:t xml:space="preserve"> </w:t>
      </w:r>
      <w:proofErr w:type="spellStart"/>
      <w:r w:rsidRPr="00923A36">
        <w:rPr>
          <w:i/>
          <w:sz w:val="24"/>
          <w:lang w:val="pt-PT"/>
        </w:rPr>
        <w:t>thuringiensis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insecticidal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activity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by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serine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protease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inhibitors</w:t>
      </w:r>
      <w:proofErr w:type="spellEnd"/>
      <w:r w:rsidRPr="00923A36">
        <w:rPr>
          <w:sz w:val="24"/>
          <w:lang w:val="pt-PT"/>
        </w:rPr>
        <w:t xml:space="preserve">», </w:t>
      </w:r>
      <w:proofErr w:type="spellStart"/>
      <w:r w:rsidRPr="00923A36">
        <w:rPr>
          <w:sz w:val="24"/>
          <w:lang w:val="pt-PT"/>
        </w:rPr>
        <w:t>Journal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of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Agricultural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and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Food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Chemistry</w:t>
      </w:r>
      <w:proofErr w:type="spellEnd"/>
      <w:r w:rsidRPr="00923A36">
        <w:rPr>
          <w:sz w:val="24"/>
          <w:lang w:val="pt-PT"/>
        </w:rPr>
        <w:t>, 1990,38,4, pp. 1145</w:t>
      </w:r>
      <w:r w:rsidRPr="00923A36">
        <w:rPr>
          <w:sz w:val="24"/>
          <w:lang w:val="pt-PT"/>
        </w:rPr>
        <w:noBreakHyphen/>
        <w:t xml:space="preserve">1152, </w:t>
      </w:r>
      <w:hyperlink r:id="rId5" w:history="1">
        <w:r w:rsidRPr="00923A36">
          <w:rPr>
            <w:rStyle w:val="Hyperlink"/>
            <w:sz w:val="24"/>
            <w:lang w:val="pt-PT"/>
          </w:rPr>
          <w:t>https://pubs.acs.org/doi/abs/10.1021/jf00094a051</w:t>
        </w:r>
      </w:hyperlink>
      <w:r w:rsidRPr="00923A36">
        <w:rPr>
          <w:sz w:val="24"/>
          <w:lang w:val="pt-PT"/>
        </w:rPr>
        <w:t>.</w:t>
      </w:r>
    </w:p>
  </w:footnote>
  <w:footnote w:id="7">
    <w:p w14:paraId="02085992" w14:textId="77777777" w:rsidR="005C218B" w:rsidRPr="00923A36" w:rsidRDefault="005C218B" w:rsidP="00923A36">
      <w:pPr>
        <w:pStyle w:val="FootnoteText"/>
        <w:ind w:left="567" w:hanging="567"/>
        <w:rPr>
          <w:sz w:val="24"/>
          <w:lang w:val="pt-PT"/>
        </w:rPr>
      </w:pPr>
      <w:r w:rsidRPr="00923A36">
        <w:rPr>
          <w:rStyle w:val="FootnoteReference"/>
          <w:sz w:val="24"/>
          <w:lang w:val="pt-PT"/>
        </w:rPr>
        <w:footnoteRef/>
      </w:r>
      <w:r w:rsidR="00923A36" w:rsidRPr="00923A36">
        <w:rPr>
          <w:sz w:val="24"/>
          <w:lang w:val="pt-PT"/>
        </w:rPr>
        <w:t xml:space="preserve"> </w:t>
      </w:r>
      <w:r w:rsidR="00923A36" w:rsidRPr="00923A36">
        <w:rPr>
          <w:sz w:val="24"/>
          <w:lang w:val="pt-PT"/>
        </w:rPr>
        <w:tab/>
      </w:r>
      <w:r w:rsidRPr="00923A36">
        <w:rPr>
          <w:sz w:val="24"/>
          <w:lang w:val="pt-PT"/>
        </w:rPr>
        <w:t>Para uma análise, cf. Rubio</w:t>
      </w:r>
      <w:r w:rsidRPr="00923A36">
        <w:rPr>
          <w:sz w:val="24"/>
          <w:lang w:val="pt-PT"/>
        </w:rPr>
        <w:noBreakHyphen/>
        <w:t>Infante, N. e Moreno</w:t>
      </w:r>
      <w:r w:rsidRPr="00923A36">
        <w:rPr>
          <w:sz w:val="24"/>
          <w:lang w:val="pt-PT"/>
        </w:rPr>
        <w:noBreakHyphen/>
      </w:r>
      <w:proofErr w:type="spellStart"/>
      <w:r w:rsidRPr="00923A36">
        <w:rPr>
          <w:sz w:val="24"/>
          <w:lang w:val="pt-PT"/>
        </w:rPr>
        <w:t>Fierros</w:t>
      </w:r>
      <w:proofErr w:type="spellEnd"/>
      <w:r w:rsidRPr="00923A36">
        <w:rPr>
          <w:sz w:val="24"/>
          <w:lang w:val="pt-PT"/>
        </w:rPr>
        <w:t>, L., «</w:t>
      </w:r>
      <w:proofErr w:type="spellStart"/>
      <w:r w:rsidRPr="00923A36">
        <w:rPr>
          <w:sz w:val="24"/>
          <w:lang w:val="pt-PT"/>
        </w:rPr>
        <w:t>An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overview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of</w:t>
      </w:r>
      <w:proofErr w:type="spellEnd"/>
      <w:r w:rsidRPr="00923A36">
        <w:rPr>
          <w:sz w:val="24"/>
          <w:lang w:val="pt-PT"/>
        </w:rPr>
        <w:t xml:space="preserve"> the </w:t>
      </w:r>
      <w:proofErr w:type="spellStart"/>
      <w:r w:rsidRPr="00923A36">
        <w:rPr>
          <w:sz w:val="24"/>
          <w:lang w:val="pt-PT"/>
        </w:rPr>
        <w:t>safety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and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biological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effects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of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i/>
          <w:sz w:val="24"/>
          <w:lang w:val="pt-PT"/>
        </w:rPr>
        <w:t>Bacillus</w:t>
      </w:r>
      <w:proofErr w:type="spellEnd"/>
      <w:r w:rsidRPr="00923A36">
        <w:rPr>
          <w:i/>
          <w:sz w:val="24"/>
          <w:lang w:val="pt-PT"/>
        </w:rPr>
        <w:t xml:space="preserve"> </w:t>
      </w:r>
      <w:proofErr w:type="spellStart"/>
      <w:r w:rsidRPr="00923A36">
        <w:rPr>
          <w:i/>
          <w:sz w:val="24"/>
          <w:lang w:val="pt-PT"/>
        </w:rPr>
        <w:t>thuringiensis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Cry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toxins</w:t>
      </w:r>
      <w:proofErr w:type="spellEnd"/>
      <w:r w:rsidRPr="00923A36">
        <w:rPr>
          <w:sz w:val="24"/>
          <w:lang w:val="pt-PT"/>
        </w:rPr>
        <w:t xml:space="preserve"> in </w:t>
      </w:r>
      <w:proofErr w:type="spellStart"/>
      <w:r w:rsidRPr="00923A36">
        <w:rPr>
          <w:sz w:val="24"/>
          <w:lang w:val="pt-PT"/>
        </w:rPr>
        <w:t>mammals</w:t>
      </w:r>
      <w:proofErr w:type="spellEnd"/>
      <w:r w:rsidRPr="00923A36">
        <w:rPr>
          <w:sz w:val="24"/>
          <w:lang w:val="pt-PT"/>
        </w:rPr>
        <w:t xml:space="preserve">», </w:t>
      </w:r>
      <w:proofErr w:type="spellStart"/>
      <w:r w:rsidRPr="00923A36">
        <w:rPr>
          <w:sz w:val="24"/>
          <w:lang w:val="pt-PT"/>
        </w:rPr>
        <w:t>Journal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of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Applied</w:t>
      </w:r>
      <w:proofErr w:type="spellEnd"/>
      <w:r w:rsidRPr="00923A36">
        <w:rPr>
          <w:sz w:val="24"/>
          <w:lang w:val="pt-PT"/>
        </w:rPr>
        <w:t xml:space="preserve"> </w:t>
      </w:r>
      <w:proofErr w:type="spellStart"/>
      <w:r w:rsidRPr="00923A36">
        <w:rPr>
          <w:sz w:val="24"/>
          <w:lang w:val="pt-PT"/>
        </w:rPr>
        <w:t>Toxicology</w:t>
      </w:r>
      <w:proofErr w:type="spellEnd"/>
      <w:r w:rsidRPr="00923A36">
        <w:rPr>
          <w:sz w:val="24"/>
          <w:lang w:val="pt-PT"/>
        </w:rPr>
        <w:t xml:space="preserve">, maio de 2016, 36,5, pp. 630‑648, </w:t>
      </w:r>
      <w:hyperlink r:id="rId6" w:history="1">
        <w:r w:rsidRPr="00923A36">
          <w:rPr>
            <w:rStyle w:val="Hyperlink"/>
            <w:sz w:val="24"/>
            <w:lang w:val="pt-PT"/>
          </w:rPr>
          <w:t>https://onlinelibrary.wiley.com/doi/full/10.1002/jat.3252</w:t>
        </w:r>
      </w:hyperlink>
      <w:r w:rsidRPr="00923A36">
        <w:rPr>
          <w:sz w:val="24"/>
          <w:lang w:val="pt-PT"/>
        </w:rPr>
        <w:t>.</w:t>
      </w:r>
    </w:p>
  </w:footnote>
  <w:footnote w:id="8">
    <w:p w14:paraId="1560F655" w14:textId="77777777" w:rsidR="005C218B" w:rsidRPr="00B9706B" w:rsidRDefault="005C218B" w:rsidP="00923A36">
      <w:pPr>
        <w:pStyle w:val="FootnoteText"/>
        <w:ind w:left="567" w:hanging="567"/>
        <w:rPr>
          <w:sz w:val="24"/>
          <w:lang w:val="en-GB"/>
        </w:rPr>
      </w:pPr>
      <w:r w:rsidRPr="00923A36">
        <w:rPr>
          <w:rStyle w:val="FootnoteReference"/>
          <w:sz w:val="24"/>
          <w:lang w:val="pt-PT"/>
        </w:rPr>
        <w:footnoteRef/>
      </w:r>
      <w:r w:rsidR="00923A36" w:rsidRPr="00B9706B">
        <w:rPr>
          <w:sz w:val="24"/>
          <w:lang w:val="en-GB"/>
        </w:rPr>
        <w:t xml:space="preserve"> </w:t>
      </w:r>
      <w:r w:rsidR="00923A36" w:rsidRPr="00B9706B">
        <w:rPr>
          <w:sz w:val="24"/>
          <w:lang w:val="en-GB"/>
        </w:rPr>
        <w:tab/>
      </w:r>
      <w:proofErr w:type="spellStart"/>
      <w:r w:rsidRPr="00B9706B">
        <w:rPr>
          <w:sz w:val="24"/>
          <w:lang w:val="en-GB"/>
        </w:rPr>
        <w:t>Ver</w:t>
      </w:r>
      <w:proofErr w:type="spellEnd"/>
      <w:r w:rsidRPr="00B9706B">
        <w:rPr>
          <w:sz w:val="24"/>
          <w:lang w:val="en-GB"/>
        </w:rPr>
        <w:t xml:space="preserve">, </w:t>
      </w:r>
      <w:proofErr w:type="spellStart"/>
      <w:r w:rsidRPr="00B9706B">
        <w:rPr>
          <w:sz w:val="24"/>
          <w:lang w:val="en-GB"/>
        </w:rPr>
        <w:t>por</w:t>
      </w:r>
      <w:proofErr w:type="spellEnd"/>
      <w:r w:rsidRPr="00B9706B">
        <w:rPr>
          <w:sz w:val="24"/>
          <w:lang w:val="en-GB"/>
        </w:rPr>
        <w:t xml:space="preserve"> </w:t>
      </w:r>
      <w:proofErr w:type="spellStart"/>
      <w:r w:rsidRPr="00B9706B">
        <w:rPr>
          <w:sz w:val="24"/>
          <w:lang w:val="en-GB"/>
        </w:rPr>
        <w:t>exemplo</w:t>
      </w:r>
      <w:proofErr w:type="spellEnd"/>
      <w:r w:rsidRPr="00B9706B">
        <w:rPr>
          <w:sz w:val="24"/>
          <w:lang w:val="en-GB"/>
        </w:rPr>
        <w:t xml:space="preserve">, </w:t>
      </w:r>
      <w:proofErr w:type="spellStart"/>
      <w:r w:rsidRPr="00B9706B">
        <w:rPr>
          <w:sz w:val="24"/>
          <w:lang w:val="en-GB"/>
        </w:rPr>
        <w:t>Hilbeck</w:t>
      </w:r>
      <w:proofErr w:type="spellEnd"/>
      <w:r w:rsidRPr="00B9706B">
        <w:rPr>
          <w:sz w:val="24"/>
          <w:lang w:val="en-GB"/>
        </w:rPr>
        <w:t xml:space="preserve">, A. e Otto, M., «Specificity and combinatorial effects of </w:t>
      </w:r>
      <w:r w:rsidRPr="00B9706B">
        <w:rPr>
          <w:i/>
          <w:sz w:val="24"/>
          <w:lang w:val="en-GB"/>
        </w:rPr>
        <w:t xml:space="preserve">Bacillus </w:t>
      </w:r>
      <w:proofErr w:type="spellStart"/>
      <w:r w:rsidRPr="00B9706B">
        <w:rPr>
          <w:i/>
          <w:sz w:val="24"/>
          <w:lang w:val="en-GB"/>
        </w:rPr>
        <w:t>thuringiensis</w:t>
      </w:r>
      <w:proofErr w:type="spellEnd"/>
      <w:r w:rsidRPr="00B9706B">
        <w:rPr>
          <w:sz w:val="24"/>
          <w:lang w:val="en-GB"/>
        </w:rPr>
        <w:t xml:space="preserve"> Cry toxins in the context of GMO environmental risk assessment», Frontiers in Environmental Science 2015, 3:71, </w:t>
      </w:r>
      <w:hyperlink r:id="rId7" w:history="1">
        <w:r w:rsidRPr="00B9706B">
          <w:rPr>
            <w:rStyle w:val="Hyperlink"/>
            <w:sz w:val="24"/>
            <w:lang w:val="en-GB"/>
          </w:rPr>
          <w:t>https://doi.org/10.3389/fenvs.2015.00071</w:t>
        </w:r>
      </w:hyperlink>
      <w:r w:rsidRPr="00B9706B">
        <w:rPr>
          <w:sz w:val="24"/>
          <w:lang w:val="en-GB"/>
        </w:rPr>
        <w:t>.</w:t>
      </w:r>
    </w:p>
  </w:footnote>
  <w:footnote w:id="9">
    <w:p w14:paraId="43D6C883" w14:textId="77777777" w:rsidR="005C218B" w:rsidRPr="00B9706B" w:rsidRDefault="005C218B" w:rsidP="00923A36">
      <w:pPr>
        <w:pStyle w:val="FootnoteText"/>
        <w:ind w:left="567" w:hanging="567"/>
        <w:rPr>
          <w:sz w:val="24"/>
          <w:lang w:val="en-GB"/>
        </w:rPr>
      </w:pPr>
      <w:r w:rsidRPr="00923A36">
        <w:rPr>
          <w:rStyle w:val="FootnoteReference"/>
          <w:sz w:val="24"/>
          <w:lang w:val="pt-PT"/>
        </w:rPr>
        <w:footnoteRef/>
      </w:r>
      <w:r w:rsidR="00923A36" w:rsidRPr="00B9706B">
        <w:rPr>
          <w:sz w:val="24"/>
          <w:lang w:val="en-GB"/>
        </w:rPr>
        <w:t xml:space="preserve"> </w:t>
      </w:r>
      <w:r w:rsidR="00923A36" w:rsidRPr="00B9706B">
        <w:rPr>
          <w:sz w:val="24"/>
          <w:lang w:val="en-GB"/>
        </w:rPr>
        <w:tab/>
      </w:r>
      <w:proofErr w:type="spellStart"/>
      <w:r w:rsidRPr="00B9706B">
        <w:rPr>
          <w:sz w:val="24"/>
          <w:lang w:val="en-GB"/>
        </w:rPr>
        <w:t>Hilbeck</w:t>
      </w:r>
      <w:proofErr w:type="spellEnd"/>
      <w:r w:rsidRPr="00B9706B">
        <w:rPr>
          <w:sz w:val="24"/>
          <w:lang w:val="en-GB"/>
        </w:rPr>
        <w:t xml:space="preserve">, A., </w:t>
      </w:r>
      <w:proofErr w:type="spellStart"/>
      <w:r w:rsidRPr="00B9706B">
        <w:rPr>
          <w:sz w:val="24"/>
          <w:lang w:val="en-GB"/>
        </w:rPr>
        <w:t>Defarge</w:t>
      </w:r>
      <w:proofErr w:type="spellEnd"/>
      <w:r w:rsidRPr="00B9706B">
        <w:rPr>
          <w:sz w:val="24"/>
          <w:lang w:val="en-GB"/>
        </w:rPr>
        <w:t xml:space="preserve">, N., </w:t>
      </w:r>
      <w:proofErr w:type="spellStart"/>
      <w:r w:rsidRPr="00B9706B">
        <w:rPr>
          <w:sz w:val="24"/>
          <w:lang w:val="en-GB"/>
        </w:rPr>
        <w:t>Lebrecht</w:t>
      </w:r>
      <w:proofErr w:type="spellEnd"/>
      <w:r w:rsidRPr="00B9706B">
        <w:rPr>
          <w:sz w:val="24"/>
          <w:lang w:val="en-GB"/>
        </w:rPr>
        <w:t xml:space="preserve">, T. e </w:t>
      </w:r>
      <w:proofErr w:type="spellStart"/>
      <w:r w:rsidRPr="00B9706B">
        <w:rPr>
          <w:sz w:val="24"/>
          <w:lang w:val="en-GB"/>
        </w:rPr>
        <w:t>Bøhn</w:t>
      </w:r>
      <w:proofErr w:type="spellEnd"/>
      <w:r w:rsidRPr="00B9706B">
        <w:rPr>
          <w:sz w:val="24"/>
          <w:lang w:val="en-GB"/>
        </w:rPr>
        <w:t xml:space="preserve">, T., «Insecticidal </w:t>
      </w:r>
      <w:proofErr w:type="spellStart"/>
      <w:r w:rsidRPr="00B9706B">
        <w:rPr>
          <w:sz w:val="24"/>
          <w:lang w:val="en-GB"/>
        </w:rPr>
        <w:t>Bt</w:t>
      </w:r>
      <w:proofErr w:type="spellEnd"/>
      <w:r w:rsidRPr="00B9706B">
        <w:rPr>
          <w:sz w:val="24"/>
          <w:lang w:val="en-GB"/>
        </w:rPr>
        <w:t xml:space="preserve"> crops. EFSA’s risk assessment approach for GM </w:t>
      </w:r>
      <w:proofErr w:type="spellStart"/>
      <w:r w:rsidRPr="00B9706B">
        <w:rPr>
          <w:sz w:val="24"/>
          <w:lang w:val="en-GB"/>
        </w:rPr>
        <w:t>Bt</w:t>
      </w:r>
      <w:proofErr w:type="spellEnd"/>
      <w:r w:rsidRPr="00B9706B">
        <w:rPr>
          <w:sz w:val="24"/>
          <w:lang w:val="en-GB"/>
        </w:rPr>
        <w:t xml:space="preserve"> plants fails by design», RAGES 2020, p. 4, </w:t>
      </w:r>
      <w:hyperlink r:id="rId8" w:history="1">
        <w:r w:rsidRPr="00B9706B">
          <w:rPr>
            <w:rStyle w:val="Hyperlink"/>
            <w:sz w:val="24"/>
            <w:lang w:val="en-GB"/>
          </w:rPr>
          <w:t>https://www.testbiotech.org/sites/default/files/RAGES_report‑Insecticidal%20Bt%20plants.pdf</w:t>
        </w:r>
      </w:hyperlink>
      <w:r w:rsidRPr="00B9706B">
        <w:rPr>
          <w:sz w:val="24"/>
          <w:lang w:val="en-GB"/>
        </w:rPr>
        <w:t>.</w:t>
      </w:r>
      <w:r w:rsidRPr="00B9706B">
        <w:rPr>
          <w:rStyle w:val="Hyperlink"/>
          <w:sz w:val="24"/>
          <w:lang w:val="en-GB"/>
        </w:rPr>
        <w:t xml:space="preserve"> </w:t>
      </w:r>
    </w:p>
  </w:footnote>
  <w:footnote w:id="10">
    <w:p w14:paraId="21D72BD3" w14:textId="77777777" w:rsidR="005C218B" w:rsidRPr="00B9706B" w:rsidRDefault="005C218B" w:rsidP="00923A36">
      <w:pPr>
        <w:pStyle w:val="FootnoteText"/>
        <w:ind w:left="567" w:hanging="567"/>
        <w:rPr>
          <w:sz w:val="24"/>
          <w:lang w:val="en-GB"/>
        </w:rPr>
      </w:pPr>
      <w:r w:rsidRPr="00923A36">
        <w:rPr>
          <w:rStyle w:val="FootnoteReference"/>
          <w:sz w:val="24"/>
          <w:lang w:val="pt-PT"/>
        </w:rPr>
        <w:footnoteRef/>
      </w:r>
      <w:r w:rsidR="00923A36" w:rsidRPr="00B9706B">
        <w:rPr>
          <w:sz w:val="24"/>
          <w:lang w:val="en-GB"/>
        </w:rPr>
        <w:t xml:space="preserve"> </w:t>
      </w:r>
      <w:r w:rsidR="00923A36" w:rsidRPr="00B9706B">
        <w:rPr>
          <w:sz w:val="24"/>
          <w:lang w:val="en-GB"/>
        </w:rPr>
        <w:tab/>
      </w:r>
      <w:hyperlink r:id="rId9" w:history="1">
        <w:r w:rsidRPr="00B9706B">
          <w:rPr>
            <w:rStyle w:val="Hyperlink"/>
            <w:sz w:val="24"/>
            <w:lang w:val="en-GB"/>
          </w:rPr>
          <w:t>https://commission.europa.eu/document/2c64e540</w:t>
        </w:r>
        <w:r w:rsidRPr="00B9706B">
          <w:rPr>
            <w:rStyle w:val="Hyperlink"/>
            <w:sz w:val="24"/>
            <w:lang w:val="en-GB"/>
          </w:rPr>
          <w:noBreakHyphen/>
          <w:t>c07a</w:t>
        </w:r>
        <w:r w:rsidRPr="00B9706B">
          <w:rPr>
            <w:rStyle w:val="Hyperlink"/>
            <w:sz w:val="24"/>
            <w:lang w:val="en-GB"/>
          </w:rPr>
          <w:noBreakHyphen/>
          <w:t>4376</w:t>
        </w:r>
        <w:r w:rsidRPr="00B9706B">
          <w:rPr>
            <w:rStyle w:val="Hyperlink"/>
            <w:sz w:val="24"/>
            <w:lang w:val="en-GB"/>
          </w:rPr>
          <w:noBreakHyphen/>
          <w:t>a1da</w:t>
        </w:r>
        <w:r w:rsidRPr="00B9706B">
          <w:rPr>
            <w:rStyle w:val="Hyperlink"/>
            <w:sz w:val="24"/>
            <w:lang w:val="en-GB"/>
          </w:rPr>
          <w:noBreakHyphen/>
          <w:t>368d289f4afe_en</w:t>
        </w:r>
      </w:hyperlink>
    </w:p>
  </w:footnote>
  <w:footnote w:id="11">
    <w:p w14:paraId="56B8F626" w14:textId="77777777" w:rsidR="005C218B" w:rsidRPr="00923A36" w:rsidRDefault="005C218B" w:rsidP="00923A36">
      <w:pPr>
        <w:pStyle w:val="FootnoteText"/>
        <w:ind w:left="567" w:hanging="567"/>
        <w:rPr>
          <w:sz w:val="24"/>
          <w:lang w:val="pt-PT"/>
        </w:rPr>
      </w:pPr>
      <w:r w:rsidRPr="00923A36">
        <w:rPr>
          <w:rStyle w:val="FootnoteReference"/>
          <w:sz w:val="24"/>
          <w:lang w:val="pt-PT"/>
        </w:rPr>
        <w:footnoteRef/>
      </w:r>
      <w:r w:rsidR="00923A36" w:rsidRPr="00923A36">
        <w:rPr>
          <w:sz w:val="24"/>
          <w:lang w:val="pt-PT"/>
        </w:rPr>
        <w:t xml:space="preserve"> </w:t>
      </w:r>
      <w:r w:rsidR="00923A36" w:rsidRPr="00923A36">
        <w:rPr>
          <w:sz w:val="24"/>
          <w:lang w:val="pt-PT"/>
        </w:rPr>
        <w:tab/>
      </w:r>
      <w:r w:rsidRPr="00923A36">
        <w:rPr>
          <w:sz w:val="24"/>
          <w:lang w:val="pt-PT"/>
        </w:rPr>
        <w:t>Diretiva 2001/18/CE do Parlamento Europeu e do Conselho, de 12 de março de 2001, relativa à libertação deliberada no ambiente de organismos geneticamente modificados e que revoga a Diretiva 90/220/CEE do Conselho (JO L 106 de 17.4.2001, p. 1, ELI: http://data.europa.eu/eli/dir/2001/18/oj). </w:t>
      </w:r>
      <w:hyperlink r:id="rId10" w:tooltip="Permite aceder a este documento através do URI do ELI." w:history="1">
        <w:r w:rsidRPr="00923A36">
          <w:rPr>
            <w:rStyle w:val="Hyperlink"/>
            <w:sz w:val="24"/>
            <w:lang w:val="pt-PT"/>
          </w:rPr>
          <w:t>http://data.europa.eu/eli/dir/2001/18/oj</w:t>
        </w:r>
      </w:hyperlink>
      <w:r w:rsidRPr="00923A36">
        <w:rPr>
          <w:sz w:val="24"/>
          <w:lang w:val="pt-PT"/>
        </w:rPr>
        <w:t>).</w:t>
      </w:r>
    </w:p>
  </w:footnote>
  <w:footnote w:id="12">
    <w:p w14:paraId="10C7E800" w14:textId="77777777" w:rsidR="005C218B" w:rsidRPr="00923A36" w:rsidRDefault="005C218B" w:rsidP="00923A36">
      <w:pPr>
        <w:pStyle w:val="FootnoteText"/>
        <w:ind w:left="567" w:hanging="567"/>
        <w:rPr>
          <w:sz w:val="24"/>
          <w:lang w:val="pt-PT"/>
        </w:rPr>
      </w:pPr>
      <w:r w:rsidRPr="00923A36">
        <w:rPr>
          <w:rStyle w:val="FootnoteReference"/>
          <w:sz w:val="24"/>
          <w:lang w:val="pt-PT"/>
        </w:rPr>
        <w:footnoteRef/>
      </w:r>
      <w:r w:rsidR="00923A36" w:rsidRPr="00923A36">
        <w:rPr>
          <w:sz w:val="24"/>
          <w:lang w:val="pt-PT"/>
        </w:rPr>
        <w:t xml:space="preserve"> </w:t>
      </w:r>
      <w:r w:rsidR="00923A36" w:rsidRPr="00923A36">
        <w:rPr>
          <w:sz w:val="24"/>
          <w:lang w:val="pt-PT"/>
        </w:rPr>
        <w:tab/>
      </w:r>
      <w:r w:rsidRPr="00923A36">
        <w:rPr>
          <w:sz w:val="24"/>
          <w:lang w:val="pt-PT"/>
        </w:rPr>
        <w:t>Regulamento de Execução (UE) n.º 503/2013 da Comissão, de 3 de abril de 2013, relativo aos pedidos de autorização de géneros alimentícios e alimentos para animais geneticamente modificados, em conformidade com o Regulamento (CE) n.º 1829/2003 do Parlamento Europeu e do Conselho, e que altera os Regulamentos (CE) n.º 641/2004 e (CE) n.º 1981/2006 da Comissão (JO L 157 de 8.6.2013, p. 1, ELI: </w:t>
      </w:r>
      <w:hyperlink r:id="rId11" w:tooltip="Permite aceder a este documento através do URI do ELI." w:history="1">
        <w:r w:rsidRPr="00923A36">
          <w:rPr>
            <w:rStyle w:val="Hyperlink"/>
            <w:sz w:val="24"/>
            <w:lang w:val="pt-PT"/>
          </w:rPr>
          <w:t>http://data.europa.eu/eli/reg_impl/2013/503/oj</w:t>
        </w:r>
      </w:hyperlink>
      <w:r w:rsidRPr="00923A36">
        <w:rPr>
          <w:sz w:val="24"/>
          <w:lang w:val="pt-PT"/>
        </w:rPr>
        <w:t>).</w:t>
      </w:r>
    </w:p>
  </w:footnote>
  <w:footnote w:id="13">
    <w:p w14:paraId="601BF375" w14:textId="63646D8C" w:rsidR="005C218B" w:rsidRPr="00923A36" w:rsidRDefault="005C218B" w:rsidP="00923A36">
      <w:pPr>
        <w:pStyle w:val="FootnoteText"/>
        <w:ind w:left="567" w:hanging="567"/>
        <w:rPr>
          <w:sz w:val="24"/>
          <w:lang w:val="pt-PT"/>
        </w:rPr>
      </w:pPr>
      <w:r w:rsidRPr="00923A36">
        <w:rPr>
          <w:rStyle w:val="FootnoteReference"/>
          <w:sz w:val="24"/>
          <w:lang w:val="pt-PT"/>
        </w:rPr>
        <w:footnoteRef/>
      </w:r>
      <w:r w:rsidR="00923A36" w:rsidRPr="00923A36">
        <w:rPr>
          <w:sz w:val="24"/>
          <w:lang w:val="pt-PT"/>
        </w:rPr>
        <w:t xml:space="preserve"> </w:t>
      </w:r>
      <w:r w:rsidR="00923A36" w:rsidRPr="00923A36">
        <w:rPr>
          <w:sz w:val="24"/>
          <w:lang w:val="pt-PT"/>
        </w:rPr>
        <w:tab/>
      </w:r>
      <w:r w:rsidRPr="00923A36">
        <w:rPr>
          <w:sz w:val="24"/>
          <w:lang w:val="pt-PT"/>
        </w:rPr>
        <w:t>Resolução do Parlamento Europeu, de 11 de novembro de 2020, sobre o projeto de decisão de execução da Comissão que autoriza a colocação no mercado de produtos que contenham, sejam constituídos por, ou sejam produzidos a partir de milho geneticamente modificado MON 87427 × MON 87460 × MON 89034 × MIR162 × NK603 e milho geneticamente modificado combinando dois, três ou quatro dos eventos únicos MON 87427, MON 87460, MON 89034, MIR162 e NK603, nos termos do Regulamento (CE) n.º 1829/2003 do Parlamento Europeu e do Conselho (JO C 415 de 13.10.2021, p. 15).</w:t>
      </w:r>
    </w:p>
  </w:footnote>
  <w:footnote w:id="14">
    <w:p w14:paraId="2B57B6D5" w14:textId="77777777" w:rsidR="005C218B" w:rsidRPr="00923A36" w:rsidRDefault="005C218B" w:rsidP="00923A36">
      <w:pPr>
        <w:pStyle w:val="FootnoteText"/>
        <w:ind w:left="567" w:hanging="567"/>
        <w:rPr>
          <w:sz w:val="24"/>
          <w:lang w:val="pt-PT"/>
        </w:rPr>
      </w:pPr>
      <w:r w:rsidRPr="00923A36">
        <w:rPr>
          <w:rStyle w:val="FootnoteReference"/>
          <w:sz w:val="24"/>
          <w:lang w:val="pt-PT"/>
        </w:rPr>
        <w:footnoteRef/>
      </w:r>
      <w:r w:rsidR="00923A36" w:rsidRPr="00923A36">
        <w:rPr>
          <w:sz w:val="24"/>
          <w:lang w:val="pt-PT"/>
        </w:rPr>
        <w:t xml:space="preserve"> </w:t>
      </w:r>
      <w:r w:rsidR="00923A36" w:rsidRPr="00923A36">
        <w:rPr>
          <w:sz w:val="24"/>
          <w:lang w:val="pt-PT"/>
        </w:rPr>
        <w:tab/>
      </w:r>
      <w:hyperlink r:id="rId12" w:history="1">
        <w:r w:rsidRPr="00923A36">
          <w:rPr>
            <w:rStyle w:val="Hyperlink"/>
            <w:sz w:val="24"/>
            <w:lang w:val="pt-PT"/>
          </w:rPr>
          <w:t>https://www.who.int/campaigns/world</w:t>
        </w:r>
        <w:r w:rsidRPr="00923A36">
          <w:rPr>
            <w:rStyle w:val="Hyperlink"/>
            <w:sz w:val="24"/>
            <w:lang w:val="pt-PT"/>
          </w:rPr>
          <w:noBreakHyphen/>
          <w:t>amr</w:t>
        </w:r>
        <w:r w:rsidRPr="00923A36">
          <w:rPr>
            <w:rStyle w:val="Hyperlink"/>
            <w:sz w:val="24"/>
            <w:lang w:val="pt-PT"/>
          </w:rPr>
          <w:noBreakHyphen/>
          <w:t>awareness</w:t>
        </w:r>
        <w:r w:rsidRPr="00923A36">
          <w:rPr>
            <w:rStyle w:val="Hyperlink"/>
            <w:sz w:val="24"/>
            <w:lang w:val="pt-PT"/>
          </w:rPr>
          <w:noBreakHyphen/>
          <w:t>week/2024/amr</w:t>
        </w:r>
        <w:r w:rsidRPr="00923A36">
          <w:rPr>
            <w:rStyle w:val="Hyperlink"/>
            <w:sz w:val="24"/>
            <w:lang w:val="pt-PT"/>
          </w:rPr>
          <w:noBreakHyphen/>
          <w:t>is</w:t>
        </w:r>
        <w:r w:rsidRPr="00923A36">
          <w:rPr>
            <w:rStyle w:val="Hyperlink"/>
            <w:sz w:val="24"/>
            <w:lang w:val="pt-PT"/>
          </w:rPr>
          <w:noBreakHyphen/>
          <w:t>invisible</w:t>
        </w:r>
        <w:r w:rsidRPr="00923A36">
          <w:rPr>
            <w:rStyle w:val="Hyperlink"/>
            <w:sz w:val="24"/>
            <w:lang w:val="pt-PT"/>
          </w:rPr>
          <w:noBreakHyphen/>
          <w:t>i</w:t>
        </w:r>
        <w:r w:rsidRPr="00923A36">
          <w:rPr>
            <w:rStyle w:val="Hyperlink"/>
            <w:sz w:val="24"/>
            <w:lang w:val="pt-PT"/>
          </w:rPr>
          <w:noBreakHyphen/>
          <w:t>am</w:t>
        </w:r>
        <w:r w:rsidRPr="00923A36">
          <w:rPr>
            <w:rStyle w:val="Hyperlink"/>
            <w:sz w:val="24"/>
            <w:lang w:val="pt-PT"/>
          </w:rPr>
          <w:noBreakHyphen/>
          <w:t>not</w:t>
        </w:r>
      </w:hyperlink>
    </w:p>
  </w:footnote>
  <w:footnote w:id="15">
    <w:p w14:paraId="5F0DCF5C" w14:textId="77777777" w:rsidR="005C218B" w:rsidRPr="00923A36" w:rsidRDefault="005C218B" w:rsidP="00923A36">
      <w:pPr>
        <w:pStyle w:val="FootnoteText"/>
        <w:ind w:left="567" w:hanging="567"/>
        <w:rPr>
          <w:sz w:val="24"/>
          <w:lang w:val="pt-PT"/>
        </w:rPr>
      </w:pPr>
      <w:r w:rsidRPr="00923A36">
        <w:rPr>
          <w:rStyle w:val="FootnoteReference"/>
          <w:sz w:val="24"/>
          <w:lang w:val="pt-PT"/>
        </w:rPr>
        <w:footnoteRef/>
      </w:r>
      <w:r w:rsidR="00923A36" w:rsidRPr="00923A36">
        <w:rPr>
          <w:sz w:val="24"/>
          <w:lang w:val="pt-PT"/>
        </w:rPr>
        <w:t xml:space="preserve"> </w:t>
      </w:r>
      <w:r w:rsidR="00923A36" w:rsidRPr="00923A36">
        <w:rPr>
          <w:sz w:val="24"/>
          <w:lang w:val="pt-PT"/>
        </w:rPr>
        <w:tab/>
      </w:r>
      <w:hyperlink r:id="rId13" w:history="1">
        <w:r w:rsidRPr="00923A36">
          <w:rPr>
            <w:rStyle w:val="Hyperlink"/>
            <w:sz w:val="24"/>
            <w:lang w:val="pt-PT"/>
          </w:rPr>
          <w:t>https://efsa.onlinelibrary.wiley.com/action/downloadSupplement?doi=10.2903%2Fj.efsa.2023.8031&amp;file=efs28031</w:t>
        </w:r>
        <w:r w:rsidRPr="00923A36">
          <w:rPr>
            <w:rStyle w:val="Hyperlink"/>
            <w:sz w:val="24"/>
            <w:lang w:val="pt-PT"/>
          </w:rPr>
          <w:noBreakHyphen/>
          <w:t>sup</w:t>
        </w:r>
        <w:r w:rsidRPr="00923A36">
          <w:rPr>
            <w:rStyle w:val="Hyperlink"/>
            <w:sz w:val="24"/>
            <w:lang w:val="pt-PT"/>
          </w:rPr>
          <w:noBreakHyphen/>
          <w:t>0008</w:t>
        </w:r>
        <w:r w:rsidRPr="00923A36">
          <w:rPr>
            <w:rStyle w:val="Hyperlink"/>
            <w:sz w:val="24"/>
            <w:lang w:val="pt-PT"/>
          </w:rPr>
          <w:noBreakHyphen/>
          <w:t>Annex8.pdf</w:t>
        </w:r>
      </w:hyperlink>
    </w:p>
  </w:footnote>
  <w:footnote w:id="16">
    <w:p w14:paraId="2FD8EF4A" w14:textId="77777777" w:rsidR="005C218B" w:rsidRPr="00923A36" w:rsidRDefault="005C218B" w:rsidP="00923A36">
      <w:pPr>
        <w:pStyle w:val="FootnoteText"/>
        <w:ind w:left="567" w:hanging="567"/>
        <w:rPr>
          <w:sz w:val="24"/>
          <w:lang w:val="pt-PT"/>
        </w:rPr>
      </w:pPr>
      <w:r w:rsidRPr="00923A36">
        <w:rPr>
          <w:rStyle w:val="FootnoteReference"/>
          <w:sz w:val="24"/>
          <w:lang w:val="pt-PT"/>
        </w:rPr>
        <w:footnoteRef/>
      </w:r>
      <w:r w:rsidR="00923A36" w:rsidRPr="00923A36">
        <w:rPr>
          <w:sz w:val="24"/>
          <w:lang w:val="pt-PT"/>
        </w:rPr>
        <w:t xml:space="preserve"> </w:t>
      </w:r>
      <w:r w:rsidR="00923A36" w:rsidRPr="00923A36">
        <w:rPr>
          <w:sz w:val="24"/>
          <w:lang w:val="pt-PT"/>
        </w:rPr>
        <w:tab/>
      </w:r>
      <w:r w:rsidRPr="00923A36">
        <w:rPr>
          <w:sz w:val="24"/>
          <w:lang w:val="pt-PT"/>
        </w:rPr>
        <w:t xml:space="preserve">A Comissão «pode», e não </w:t>
      </w:r>
      <w:proofErr w:type="gramStart"/>
      <w:r w:rsidRPr="00923A36">
        <w:rPr>
          <w:sz w:val="24"/>
          <w:lang w:val="pt-PT"/>
        </w:rPr>
        <w:t>«deve», conceder</w:t>
      </w:r>
      <w:proofErr w:type="gramEnd"/>
      <w:r w:rsidRPr="00923A36">
        <w:rPr>
          <w:sz w:val="24"/>
          <w:lang w:val="pt-PT"/>
        </w:rPr>
        <w:t xml:space="preserve"> uma autorização se não existir uma maioria qualificada de Estados‑Membros a favor no Comité de Recurso, em conformidade com o artigo 6.º, n.º 3, do Regulamento (UE) n.º 182/2011.</w:t>
      </w:r>
    </w:p>
  </w:footnote>
  <w:footnote w:id="17">
    <w:p w14:paraId="3060AED1" w14:textId="77777777" w:rsidR="005C218B" w:rsidRPr="00923A36" w:rsidRDefault="005C218B" w:rsidP="00923A36">
      <w:pPr>
        <w:pStyle w:val="FootnoteText"/>
        <w:ind w:left="567" w:hanging="567"/>
        <w:rPr>
          <w:sz w:val="24"/>
          <w:lang w:val="pt-PT"/>
        </w:rPr>
      </w:pPr>
      <w:r w:rsidRPr="00923A36">
        <w:rPr>
          <w:rStyle w:val="FootnoteReference"/>
          <w:sz w:val="24"/>
          <w:lang w:val="pt-PT"/>
        </w:rPr>
        <w:footnoteRef/>
      </w:r>
      <w:r w:rsidR="00923A36" w:rsidRPr="00923A36">
        <w:rPr>
          <w:sz w:val="24"/>
          <w:lang w:val="pt-PT"/>
        </w:rPr>
        <w:t xml:space="preserve"> </w:t>
      </w:r>
      <w:r w:rsidR="00923A36" w:rsidRPr="00923A36">
        <w:rPr>
          <w:sz w:val="24"/>
          <w:lang w:val="pt-PT"/>
        </w:rPr>
        <w:tab/>
      </w:r>
      <w:r w:rsidRPr="00923A36">
        <w:rPr>
          <w:sz w:val="24"/>
          <w:lang w:val="pt-PT"/>
        </w:rPr>
        <w:t>Regulamento (CE) n.º 178/2002 do Parlamento Europeu e do Conselho, de 28 de janeiro de 2002, que determina os princípios e normas gerais da legislação alimentar, cria a Autoridade Europeia para a Segurança dos Alimentos e estabelece procedimentos em matéria de segurança dos géneros alimentícios (JO L 31 de 1.2.2002, p. 1, ELI: </w:t>
      </w:r>
      <w:hyperlink r:id="rId14" w:tooltip="Permite aceder a este documento através do URI do ELI." w:history="1">
        <w:r w:rsidRPr="00923A36">
          <w:rPr>
            <w:rStyle w:val="Hyperlink"/>
            <w:sz w:val="24"/>
            <w:lang w:val="pt-PT"/>
          </w:rPr>
          <w:t>http://data.europa.eu/eli/reg/2002/178/oj</w:t>
        </w:r>
      </w:hyperlink>
      <w:r w:rsidRPr="00923A36">
        <w:rPr>
          <w:sz w:val="24"/>
          <w:lang w:val="pt-PT"/>
        </w:rPr>
        <w:t>).</w:t>
      </w:r>
    </w:p>
  </w:footnote>
  <w:footnote w:id="18">
    <w:p w14:paraId="081F65F7" w14:textId="77777777" w:rsidR="005C218B" w:rsidRPr="00923A36" w:rsidRDefault="005C218B" w:rsidP="00923A36">
      <w:pPr>
        <w:pStyle w:val="FootnoteText"/>
        <w:ind w:left="567" w:hanging="567"/>
        <w:rPr>
          <w:sz w:val="24"/>
          <w:lang w:val="pt-PT"/>
        </w:rPr>
      </w:pPr>
      <w:r w:rsidRPr="00923A36">
        <w:rPr>
          <w:rStyle w:val="FootnoteReference"/>
          <w:sz w:val="24"/>
          <w:lang w:val="pt-PT"/>
        </w:rPr>
        <w:footnoteRef/>
      </w:r>
      <w:r w:rsidR="00923A36" w:rsidRPr="00923A36">
        <w:rPr>
          <w:sz w:val="24"/>
          <w:lang w:val="pt-PT"/>
        </w:rPr>
        <w:t xml:space="preserve"> </w:t>
      </w:r>
      <w:r w:rsidR="00923A36" w:rsidRPr="00923A36">
        <w:rPr>
          <w:sz w:val="24"/>
          <w:lang w:val="pt-PT"/>
        </w:rPr>
        <w:tab/>
      </w:r>
      <w:hyperlink r:id="rId15" w:history="1">
        <w:r w:rsidRPr="00923A36">
          <w:rPr>
            <w:rStyle w:val="Hyperlink"/>
            <w:sz w:val="24"/>
            <w:lang w:val="pt-PT"/>
          </w:rPr>
          <w:t>https://tillymetz.lu/wp</w:t>
        </w:r>
        <w:r w:rsidRPr="00923A36">
          <w:rPr>
            <w:rStyle w:val="Hyperlink"/>
            <w:sz w:val="24"/>
            <w:lang w:val="pt-PT"/>
          </w:rPr>
          <w:noBreakHyphen/>
          <w:t>content/uploads/2020/09/Co</w:t>
        </w:r>
        <w:r w:rsidRPr="00923A36">
          <w:rPr>
            <w:rStyle w:val="Hyperlink"/>
            <w:sz w:val="24"/>
            <w:lang w:val="pt-PT"/>
          </w:rPr>
          <w:noBreakHyphen/>
          <w:t>signed</w:t>
        </w:r>
        <w:r w:rsidRPr="00923A36">
          <w:rPr>
            <w:rStyle w:val="Hyperlink"/>
            <w:sz w:val="24"/>
            <w:lang w:val="pt-PT"/>
          </w:rPr>
          <w:noBreakHyphen/>
          <w:t>letter</w:t>
        </w:r>
        <w:r w:rsidRPr="00923A36">
          <w:rPr>
            <w:rStyle w:val="Hyperlink"/>
            <w:sz w:val="24"/>
            <w:lang w:val="pt-PT"/>
          </w:rPr>
          <w:noBreakHyphen/>
          <w:t>MEP</w:t>
        </w:r>
        <w:r w:rsidRPr="00923A36">
          <w:rPr>
            <w:rStyle w:val="Hyperlink"/>
            <w:sz w:val="24"/>
            <w:lang w:val="pt-PT"/>
          </w:rPr>
          <w:noBreakHyphen/>
          <w:t>Metz.pdf</w:t>
        </w:r>
      </w:hyperlink>
      <w:r w:rsidRPr="00923A36">
        <w:rPr>
          <w:rStyle w:val="Hyperlink"/>
          <w:sz w:val="24"/>
          <w:lang w:val="pt-PT"/>
        </w:rPr>
        <w:t>.</w:t>
      </w:r>
    </w:p>
  </w:footnote>
  <w:footnote w:id="19">
    <w:p w14:paraId="379766A2" w14:textId="77777777" w:rsidR="005C218B" w:rsidRPr="00923A36" w:rsidRDefault="005C218B" w:rsidP="00923A36">
      <w:pPr>
        <w:pStyle w:val="FootnoteText"/>
        <w:ind w:left="567" w:hanging="567"/>
        <w:rPr>
          <w:sz w:val="24"/>
          <w:lang w:val="pt-PT"/>
        </w:rPr>
      </w:pPr>
      <w:r w:rsidRPr="00923A36">
        <w:rPr>
          <w:rStyle w:val="FootnoteReference"/>
          <w:sz w:val="24"/>
          <w:lang w:val="pt-PT"/>
        </w:rPr>
        <w:footnoteRef/>
      </w:r>
      <w:r w:rsidR="00923A36" w:rsidRPr="00923A36">
        <w:rPr>
          <w:sz w:val="24"/>
          <w:lang w:val="pt-PT"/>
        </w:rPr>
        <w:t xml:space="preserve"> </w:t>
      </w:r>
      <w:r w:rsidR="00923A36" w:rsidRPr="00923A36">
        <w:rPr>
          <w:sz w:val="24"/>
          <w:lang w:val="pt-PT"/>
        </w:rPr>
        <w:tab/>
      </w:r>
      <w:r w:rsidRPr="00923A36">
        <w:rPr>
          <w:sz w:val="24"/>
          <w:lang w:val="pt-PT"/>
        </w:rPr>
        <w:t>Resolução do Parlamento Europeu, de 15 de janeiro de 2020, sobre o Pacto Ecológico Europeu (JO C 270 de 7.7.2021, p. 2), n.º 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2744D" w14:textId="77777777" w:rsidR="00064002" w:rsidRPr="00923A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D86AF" w14:textId="77777777" w:rsidR="00064002" w:rsidRPr="00923A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21225C" w14:textId="77777777" w:rsidR="00064002" w:rsidRPr="00923A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5/2024"/>
    <w:docVar w:name="dvlangue" w:val="PT"/>
    <w:docVar w:name="dvnumam" w:val="0"/>
    <w:docVar w:name="dvpe" w:val="764.959"/>
    <w:docVar w:name="dvtitre" w:val="Resolução do Parlamento Europeu, de ... de ... de 2024, sobre o projeto de decisão de execução da Comissão que autoriza a colocação no mercado de produtos que contenham, sejam constituídos por, ou produzidos a partir de algodão geneticamente modificado COT102 nos termos do Regulamento (CE) n.º 1829/2003 do Parlamento Europeu e do Conselho(D098499/04 – 2024/2835(RSP))"/>
  </w:docVars>
  <w:rsids>
    <w:rsidRoot w:val="008E4D6F"/>
    <w:rsid w:val="00002272"/>
    <w:rsid w:val="00064002"/>
    <w:rsid w:val="000677B9"/>
    <w:rsid w:val="000831BA"/>
    <w:rsid w:val="000A42CC"/>
    <w:rsid w:val="000E7DD9"/>
    <w:rsid w:val="0010095E"/>
    <w:rsid w:val="00125B37"/>
    <w:rsid w:val="00136267"/>
    <w:rsid w:val="00187494"/>
    <w:rsid w:val="001F32AE"/>
    <w:rsid w:val="002767FF"/>
    <w:rsid w:val="00286F91"/>
    <w:rsid w:val="002B18FE"/>
    <w:rsid w:val="002B5493"/>
    <w:rsid w:val="003301F9"/>
    <w:rsid w:val="00343214"/>
    <w:rsid w:val="00361C00"/>
    <w:rsid w:val="00395FA1"/>
    <w:rsid w:val="003B65A7"/>
    <w:rsid w:val="003E15D4"/>
    <w:rsid w:val="00411CCE"/>
    <w:rsid w:val="0041666E"/>
    <w:rsid w:val="00420D77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18B"/>
    <w:rsid w:val="005C2568"/>
    <w:rsid w:val="005F1B17"/>
    <w:rsid w:val="006037C0"/>
    <w:rsid w:val="006631B6"/>
    <w:rsid w:val="0068016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D6F"/>
    <w:rsid w:val="00923A36"/>
    <w:rsid w:val="00930C23"/>
    <w:rsid w:val="0093193B"/>
    <w:rsid w:val="009509D8"/>
    <w:rsid w:val="00950B64"/>
    <w:rsid w:val="00981893"/>
    <w:rsid w:val="00A1687D"/>
    <w:rsid w:val="00A334A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06B"/>
    <w:rsid w:val="00BD48FE"/>
    <w:rsid w:val="00BD7BD8"/>
    <w:rsid w:val="00BE6ADC"/>
    <w:rsid w:val="00BF1DCE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2E92F6"/>
  <w15:chartTrackingRefBased/>
  <w15:docId w15:val="{6CBCA479-9B12-4BC9-9C06-6FB7E51E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C218B"/>
    <w:pPr>
      <w:spacing w:before="480" w:after="240"/>
    </w:pPr>
  </w:style>
  <w:style w:type="paragraph" w:customStyle="1" w:styleId="NormalBold12a">
    <w:name w:val="NormalBold12a"/>
    <w:basedOn w:val="Normal"/>
    <w:rsid w:val="005C218B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C218B"/>
    <w:pPr>
      <w:spacing w:after="240"/>
      <w:ind w:left="567" w:hanging="567"/>
    </w:pPr>
  </w:style>
  <w:style w:type="character" w:styleId="Hyperlink">
    <w:name w:val="Hyperlink"/>
    <w:basedOn w:val="DefaultParagraphFont"/>
    <w:rsid w:val="005C218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3301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301F9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3301F9"/>
    <w:rPr>
      <w:sz w:val="16"/>
      <w:szCs w:val="16"/>
    </w:rPr>
  </w:style>
  <w:style w:type="paragraph" w:styleId="CommentText">
    <w:name w:val="annotation text"/>
    <w:basedOn w:val="Normal"/>
    <w:link w:val="CommentTextChar"/>
    <w:rsid w:val="003301F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301F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301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301F9"/>
    <w:rPr>
      <w:b/>
      <w:bCs/>
      <w:lang w:val="pt-PT"/>
    </w:rPr>
  </w:style>
  <w:style w:type="character" w:styleId="FollowedHyperlink">
    <w:name w:val="FollowedHyperlink"/>
    <w:basedOn w:val="DefaultParagraphFont"/>
    <w:rsid w:val="006801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tbiotech.org/wp-content/uploads/2023/12/RAGES_report-Insecticidal-Bt-plants.pdf" TargetMode="External"/><Relationship Id="rId13" Type="http://schemas.openxmlformats.org/officeDocument/2006/relationships/hyperlink" Target="https://efsa.onlinelibrary.wiley.com/action/downloadSupplement?doi=10.2903%2Fj.efsa.2023.8031&amp;file=efs28031-sup-0008-Annex8.pdf" TargetMode="External"/><Relationship Id="rId3" Type="http://schemas.openxmlformats.org/officeDocument/2006/relationships/hyperlink" Target="http://data.europa.eu/eli/reg/2011/182/oj" TargetMode="External"/><Relationship Id="rId7" Type="http://schemas.openxmlformats.org/officeDocument/2006/relationships/hyperlink" Target="https://doi.org/10.3389/fenvs.2015.00071" TargetMode="External"/><Relationship Id="rId12" Type="http://schemas.openxmlformats.org/officeDocument/2006/relationships/hyperlink" Target="https://www.who.int/campaigns/world-amr-awareness-week/2024/amr-is-invisible-i-am-not" TargetMode="External"/><Relationship Id="rId2" Type="http://schemas.openxmlformats.org/officeDocument/2006/relationships/hyperlink" Target="http://data.europa.eu/eli/reg/2003/1829/oj" TargetMode="External"/><Relationship Id="rId1" Type="http://schemas.openxmlformats.org/officeDocument/2006/relationships/hyperlink" Target="http://data.europa.eu/eli/dec_impl/2024/2627/oj" TargetMode="External"/><Relationship Id="rId6" Type="http://schemas.openxmlformats.org/officeDocument/2006/relationships/hyperlink" Target="https://onlinelibrary.wiley.com/doi/full/10.1002/jat.3252" TargetMode="External"/><Relationship Id="rId11" Type="http://schemas.openxmlformats.org/officeDocument/2006/relationships/hyperlink" Target="http://data.europa.eu/eli/reg_impl/2013/503/oj" TargetMode="External"/><Relationship Id="rId5" Type="http://schemas.openxmlformats.org/officeDocument/2006/relationships/hyperlink" Target="https://pubs.acs.org/doi/abs/10.1021/jf00094a051" TargetMode="External"/><Relationship Id="rId15" Type="http://schemas.openxmlformats.org/officeDocument/2006/relationships/hyperlink" Target="https://tillymetz.lu/wp-content/uploads/2020/09/Co-signed-letter-MEP-Metz.pdf" TargetMode="External"/><Relationship Id="rId10" Type="http://schemas.openxmlformats.org/officeDocument/2006/relationships/hyperlink" Target="http://data.europa.eu/eli/dir/2001/18/oj" TargetMode="External"/><Relationship Id="rId4" Type="http://schemas.openxmlformats.org/officeDocument/2006/relationships/hyperlink" Target="https://doi.org/10.2903/j.efsa.2023.8031" TargetMode="External"/><Relationship Id="rId9" Type="http://schemas.openxmlformats.org/officeDocument/2006/relationships/hyperlink" Target="https://commission.europa.eu/document/2c64e540-c07a-4376-a1da-368d289f4afe_en" TargetMode="External"/><Relationship Id="rId14" Type="http://schemas.openxmlformats.org/officeDocument/2006/relationships/hyperlink" Target="http://data.europa.eu/eli/reg/2002/1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648A1-CDF3-42E9-8C3F-13E1C96ED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2311</Words>
  <Characters>12632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2024-11-26T10:35:00Z</dcterms:created>
  <dcterms:modified xsi:type="dcterms:W3CDTF">2024-11-26T10:35:00Z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B10-0145/2024</vt:lpwstr>
  </property>
  <property fmtid="{D5CDD505-2E9C-101B-9397-08002B2CF9AE}" pid="4" name="&lt;Type&gt;">
    <vt:lpwstr>RR</vt:lpwstr>
  </property>
</Properties>
</file>