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D82240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D82240" w:rsidRDefault="00DB693A">
            <w:pPr>
              <w:pStyle w:val="EPName"/>
            </w:pPr>
            <w:r>
              <w:t>Európsky parlament</w:t>
            </w:r>
          </w:p>
          <w:p w:rsidR="00D82240" w:rsidRDefault="00DB693A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:rsidR="00D82240" w:rsidRDefault="00DB693A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82240" w:rsidRDefault="00D82240">
      <w:pPr>
        <w:pStyle w:val="LineTop"/>
      </w:pPr>
    </w:p>
    <w:p w:rsidR="00D82240" w:rsidRDefault="00DB693A">
      <w:pPr>
        <w:pStyle w:val="EPBodyTA1"/>
      </w:pPr>
      <w:r>
        <w:t>PRIJATÉ TEXTY</w:t>
      </w:r>
    </w:p>
    <w:p w:rsidR="00D82240" w:rsidRDefault="00D82240">
      <w:pPr>
        <w:pStyle w:val="LineBottom"/>
      </w:pPr>
    </w:p>
    <w:p w:rsidR="00D82240" w:rsidRDefault="00DB693A">
      <w:pPr>
        <w:pStyle w:val="ATHeading1"/>
      </w:pPr>
      <w:bookmarkStart w:id="0" w:name="TANumber"/>
      <w:r>
        <w:t>P10_TA(2024)0039</w:t>
      </w:r>
      <w:bookmarkEnd w:id="0"/>
    </w:p>
    <w:p w:rsidR="00D82240" w:rsidRDefault="00DB693A">
      <w:pPr>
        <w:pStyle w:val="ATHeading2"/>
      </w:pPr>
      <w:bookmarkStart w:id="1" w:name="title"/>
      <w:r>
        <w:t>Geneticky modifikovaná bavlna COT102</w:t>
      </w:r>
      <w:bookmarkEnd w:id="1"/>
    </w:p>
    <w:p w:rsidR="00D82240" w:rsidRDefault="00DB693A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B10-0145/2024</w:instrText>
      </w:r>
      <w:bookmarkEnd w:id="2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D82240" w:rsidRDefault="00DB693A">
      <w:pPr>
        <w:rPr>
          <w:vanish/>
        </w:rPr>
      </w:pPr>
      <w:bookmarkStart w:id="3" w:name="PE"/>
      <w:r>
        <w:rPr>
          <w:vanish/>
        </w:rPr>
        <w:t>PE764.959</w:t>
      </w:r>
      <w:bookmarkEnd w:id="3"/>
    </w:p>
    <w:p w:rsidR="00D82240" w:rsidRDefault="00DB693A">
      <w:pPr>
        <w:pStyle w:val="ATHeading3"/>
      </w:pPr>
      <w:bookmarkStart w:id="4" w:name="Sujet"/>
      <w:r>
        <w:t xml:space="preserve">Uznesenie Európskeho parlamentu z 26. novembra 2024 o vykonávacom rozhodnutí Komisie (EÚ) </w:t>
      </w:r>
      <w:r>
        <w:t>2024/2627, ktorým sa podľa nariadenia Európskeho parlamentu a Rady (ES) č. 1829/2003 povoľuje umiestňovať na trh výrobky, ktoré obsahujú geneticky modifikovanú bavlnu COT102, sú z nej zložené alebo vyrobené</w:t>
      </w:r>
      <w:bookmarkEnd w:id="4"/>
      <w:r>
        <w:t xml:space="preserve"> </w:t>
      </w:r>
      <w:bookmarkStart w:id="5" w:name="References"/>
      <w:r>
        <w:t>(2024/2835(RSP))</w:t>
      </w:r>
      <w:bookmarkEnd w:id="5"/>
    </w:p>
    <w:p w:rsidR="00D82240" w:rsidRDefault="00DB693A">
      <w:pPr>
        <w:pStyle w:val="EPComma"/>
      </w:pPr>
      <w:bookmarkStart w:id="6" w:name="TextBodyBegin"/>
      <w:bookmarkEnd w:id="6"/>
      <w:r>
        <w:rPr>
          <w:i/>
        </w:rPr>
        <w:t>Európsky parlament</w:t>
      </w:r>
      <w:r>
        <w:t>,</w:t>
      </w:r>
    </w:p>
    <w:p w:rsidR="00D82240" w:rsidRDefault="00DB693A">
      <w:pPr>
        <w:pStyle w:val="NormalHanging12a"/>
        <w:rPr>
          <w:szCs w:val="24"/>
        </w:rPr>
      </w:pPr>
      <w:r>
        <w:t>–</w:t>
      </w:r>
      <w:r>
        <w:tab/>
        <w:t>so zreteľo</w:t>
      </w:r>
      <w:r>
        <w:t>m na vykonávacie rozhodnutie Komisie (EÚ) 2024/2627, ktorým sa podľa nariadenia Európskeho parlamentu a Rady (ES) č. 1829/2003 (D098499/04) povoľuje umiestniť na trh produkty, ktoré obsahujú geneticky modifikovanú bavlnu COT102, sú z nej zložené alebo vyro</w:t>
      </w:r>
      <w:r>
        <w:t>bené</w:t>
      </w:r>
      <w:r>
        <w:rPr>
          <w:rStyle w:val="FootnoteReference"/>
        </w:rPr>
        <w:footnoteReference w:id="1"/>
      </w:r>
      <w:r>
        <w:t>,</w:t>
      </w:r>
    </w:p>
    <w:p w:rsidR="00D82240" w:rsidRDefault="00DB693A">
      <w:pPr>
        <w:pStyle w:val="NormalHanging12a"/>
        <w:rPr>
          <w:szCs w:val="24"/>
        </w:rPr>
      </w:pPr>
      <w:r>
        <w:t>–</w:t>
      </w:r>
      <w:r>
        <w:tab/>
        <w:t>so zreteľom na nariadenie Európskeho parlamentu a Rady (ES) č. 1829/2003 z 22. septembra 2003 o geneticky modifikovaných potravinách a krmivách</w:t>
      </w:r>
      <w:r>
        <w:rPr>
          <w:rStyle w:val="FootnoteReference"/>
          <w:szCs w:val="24"/>
        </w:rPr>
        <w:footnoteReference w:id="2"/>
      </w:r>
      <w:r>
        <w:t>, a najmä na jeho článok 7 ods. 3 a článok 19 ods. 3,</w:t>
      </w:r>
    </w:p>
    <w:p w:rsidR="00D82240" w:rsidRDefault="00DB693A">
      <w:pPr>
        <w:pStyle w:val="NormalHanging12a"/>
        <w:rPr>
          <w:szCs w:val="24"/>
        </w:rPr>
      </w:pPr>
      <w:r>
        <w:t>–</w:t>
      </w:r>
      <w:r>
        <w:tab/>
        <w:t>so zreteľom na</w:t>
      </w:r>
      <w:r>
        <w:rPr>
          <w:shd w:val="clear" w:color="auto" w:fill="FFFFFF"/>
        </w:rPr>
        <w:t xml:space="preserve"> hlasovanie Stáleho výboru pre ra</w:t>
      </w:r>
      <w:r>
        <w:rPr>
          <w:shd w:val="clear" w:color="auto" w:fill="FFFFFF"/>
        </w:rPr>
        <w:t xml:space="preserve">stliny, zvieratá, potraviny a krmivá, ktorý je uvedený v článku 35 nariadenia (ES) č. 1829/2003, z 8. júla 2024, počas ktorého nebolo prijaté žiadne stanovisko, a na hlasovanie odvolacieho výboru z 3. septembra 2024, počas ktorého opätovne nebolo </w:t>
      </w:r>
      <w:r>
        <w:t>prijaté ž</w:t>
      </w:r>
      <w:r>
        <w:t>iadne stanovisko,</w:t>
      </w:r>
    </w:p>
    <w:p w:rsidR="00D82240" w:rsidRDefault="00DB693A">
      <w:pPr>
        <w:pStyle w:val="NormalHanging12a"/>
        <w:rPr>
          <w:szCs w:val="24"/>
        </w:rPr>
      </w:pPr>
      <w:r>
        <w:t>–</w:t>
      </w:r>
      <w:r>
        <w:tab/>
        <w:t>so zreteľom na článok 11 nariadenia Európskeho parlamentu a Rady (EÚ) č. 182/2011 zo 16. februára 2011, ktorým sa ustanovujú pravidlá a všeobecné zásady mechanizmu, na základe ktorého členské štáty kontrolujú vykonávanie vykonávacích pr</w:t>
      </w:r>
      <w:r>
        <w:t>ávomocí Komisie</w:t>
      </w:r>
      <w:r>
        <w:rPr>
          <w:rStyle w:val="FootnoteReference"/>
          <w:szCs w:val="24"/>
        </w:rPr>
        <w:footnoteReference w:id="3"/>
      </w:r>
      <w:r>
        <w:t>,</w:t>
      </w:r>
    </w:p>
    <w:p w:rsidR="00D82240" w:rsidRDefault="00DB693A">
      <w:pPr>
        <w:pStyle w:val="NormalHanging12a"/>
        <w:rPr>
          <w:szCs w:val="24"/>
        </w:rPr>
      </w:pPr>
      <w:r>
        <w:t>–</w:t>
      </w:r>
      <w:r>
        <w:tab/>
        <w:t>so zreteľom na stanovisko, ktoré prijal Európsky úrad pre bezpečnosť potravín (ďalej len „EFSA“) 10. mája 2023 a ktoré bolo uverejnené 26. júna 2023</w:t>
      </w:r>
      <w:r>
        <w:rPr>
          <w:rStyle w:val="FootnoteReference"/>
          <w:szCs w:val="24"/>
        </w:rPr>
        <w:footnoteReference w:id="4"/>
      </w:r>
      <w:r>
        <w:t>,</w:t>
      </w:r>
    </w:p>
    <w:p w:rsidR="00D82240" w:rsidRDefault="00DB693A">
      <w:pPr>
        <w:pStyle w:val="NormalHanging12a"/>
        <w:rPr>
          <w:szCs w:val="24"/>
          <w:shd w:val="clear" w:color="auto" w:fill="FFFFFF"/>
        </w:rPr>
      </w:pPr>
      <w:r>
        <w:lastRenderedPageBreak/>
        <w:t>–</w:t>
      </w:r>
      <w:r>
        <w:rPr>
          <w:shd w:val="clear" w:color="auto" w:fill="FFFFFF"/>
        </w:rPr>
        <w:tab/>
        <w:t xml:space="preserve">so zreteľom na svoje predchádzajúce uznesenia, v ktorých namieta proti povoľovaniu </w:t>
      </w:r>
      <w:r>
        <w:rPr>
          <w:shd w:val="clear" w:color="auto" w:fill="FFFFFF"/>
        </w:rPr>
        <w:t>geneticky modifikovaných organizmov (ďalej len „GMO“)</w:t>
      </w:r>
      <w:r>
        <w:rPr>
          <w:szCs w:val="24"/>
          <w:shd w:val="clear" w:color="auto" w:fill="FFFFFF"/>
          <w:vertAlign w:val="superscript"/>
        </w:rPr>
        <w:footnoteReference w:id="5"/>
      </w:r>
      <w:r>
        <w:rPr>
          <w:shd w:val="clear" w:color="auto" w:fill="FFFFFF"/>
        </w:rPr>
        <w:t>,</w:t>
      </w:r>
    </w:p>
    <w:p w:rsidR="00D82240" w:rsidRDefault="00DB693A">
      <w:pPr>
        <w:pStyle w:val="NormalHanging12a"/>
        <w:rPr>
          <w:szCs w:val="24"/>
        </w:rPr>
      </w:pPr>
      <w:r>
        <w:t>–</w:t>
      </w:r>
      <w:r>
        <w:tab/>
        <w:t>so zreteľom na článok 115 ods. 2 a 3 rokovacieho poriadku,</w:t>
      </w:r>
    </w:p>
    <w:p w:rsidR="00D82240" w:rsidRDefault="00DB693A">
      <w:pPr>
        <w:pStyle w:val="NormalHanging12a"/>
        <w:rPr>
          <w:szCs w:val="24"/>
        </w:rPr>
      </w:pPr>
      <w:r>
        <w:t>–</w:t>
      </w:r>
      <w:r>
        <w:tab/>
        <w:t>so zreteľom na návrh uznesenia Výboru pre životné prostredie, verejné zdravie a bezpečnosť potravín,</w:t>
      </w:r>
    </w:p>
    <w:p w:rsidR="00D82240" w:rsidRDefault="00DB693A">
      <w:pPr>
        <w:pStyle w:val="NormalHanging12a"/>
        <w:rPr>
          <w:szCs w:val="24"/>
        </w:rPr>
      </w:pPr>
      <w:r>
        <w:t>A.</w:t>
      </w:r>
      <w:r>
        <w:tab/>
        <w:t>keďže Spoločnosť Syngenta Crop Pr</w:t>
      </w:r>
      <w:r>
        <w:t>otection NV/SA so sídlom v Belgicku predložila 31. marca 2017 v mene spoločnosti Syngenta Crop Protection AG so sídlom vo Švajčiarsku príslušnému vnútroštátnemu orgánu Nemecka v súlade s článkami 5 a 17 nariadenia (ES) č. 1829/2003 žiadosť o povolenie umie</w:t>
      </w:r>
      <w:r>
        <w:t>stňovať na trh potraviny, zložky potravín a krmivá, ktoré obsahujú geneticky modifikovanú bavlnu COT102 (ďalej len „geneticky modifikovaná bavlna“), sú z nej zložené alebo vyrobené (ďalej len „žiadosť“). keďže žiadosť sa vzťahovala aj na umiestnenie výrobk</w:t>
      </w:r>
      <w:r>
        <w:t xml:space="preserve">ov, ktoré obsahujú geneticky modifikovanú bavlnu alebo sú z nej zložené, na iné použitie ako na potraviny a krmivo, s výnimkou pestovania, na trh; </w:t>
      </w:r>
    </w:p>
    <w:p w:rsidR="00D82240" w:rsidRDefault="00DB693A">
      <w:pPr>
        <w:pStyle w:val="NormalHanging12a"/>
        <w:rPr>
          <w:szCs w:val="24"/>
        </w:rPr>
      </w:pPr>
      <w:r>
        <w:t>B.</w:t>
      </w:r>
      <w:r>
        <w:tab/>
        <w:t>keďže EFSA prijal 10. mája 2023 kladné stanovisko, ktoré bolo uverejnené 26. júna 2023, v ktorom dospel k</w:t>
      </w:r>
      <w:r>
        <w:t> záveru, že geneticky modifikovaná bavlna je rovnako bezpečná ako jej geneticky nemodifikovaný komparátor a testované geneticky nemodifikované odrody bavlny, pokiaľ ide o potenciálne účinky na zdravie ľudí a zvierat a na životné prostredie;</w:t>
      </w:r>
    </w:p>
    <w:p w:rsidR="00D82240" w:rsidRDefault="00DB693A">
      <w:pPr>
        <w:pStyle w:val="NormalHanging12a"/>
        <w:rPr>
          <w:szCs w:val="24"/>
        </w:rPr>
      </w:pPr>
      <w:r>
        <w:t>C.</w:t>
      </w:r>
      <w:r>
        <w:tab/>
        <w:t>keďže geneti</w:t>
      </w:r>
      <w:r>
        <w:t>cky modifikovaná bavlna obsahuje gény produkujúce insekticídne proteíny (ďalej len „Bt toxíny“) a markerový gén kódujúci rezistenciu na antibiotiká (</w:t>
      </w:r>
      <w:r>
        <w:rPr>
          <w:shd w:val="clear" w:color="auto" w:fill="FFFFFF"/>
        </w:rPr>
        <w:t>ďalej len „</w:t>
      </w:r>
      <w:r>
        <w:t>ARMG“);</w:t>
      </w:r>
    </w:p>
    <w:p w:rsidR="00D82240" w:rsidRDefault="00DB693A">
      <w:pPr>
        <w:pStyle w:val="NormalHanging12a"/>
        <w:rPr>
          <w:szCs w:val="24"/>
        </w:rPr>
      </w:pPr>
      <w:r>
        <w:t>D.</w:t>
      </w:r>
      <w:r>
        <w:tab/>
      </w:r>
      <w:r>
        <w:t>keďže bavlníkový olej sa môže používať pri výrobe širokej škály potravinových výrobkov, ako sú dresingy, majonéza, jemné pečivo, čokoládové nátierky a čipsy; keďže konzumácia bavlníkovej múky je najpravdepodobnejším spôsobom, ako by ľudia mohli byť vystave</w:t>
      </w:r>
      <w:r>
        <w:t xml:space="preserve">ní obom proteínom, ktoré sú výsledkom genetickej modifikácie; keďže bavlna sa bežne používa v krmive pre zvieratá vo forme nelúpaných semien a šrotu; </w:t>
      </w:r>
    </w:p>
    <w:p w:rsidR="00D82240" w:rsidRDefault="00DB693A">
      <w:pPr>
        <w:pStyle w:val="NormalHanging12a"/>
        <w:rPr>
          <w:b/>
          <w:i/>
        </w:rPr>
      </w:pPr>
      <w:r>
        <w:rPr>
          <w:b/>
          <w:i/>
        </w:rPr>
        <w:t>Nevyriešené otázky týkajúce sa Bt toxínov</w:t>
      </w:r>
    </w:p>
    <w:p w:rsidR="00D82240" w:rsidRDefault="00DB693A">
      <w:pPr>
        <w:pStyle w:val="NormalHanging12a"/>
        <w:rPr>
          <w:szCs w:val="24"/>
        </w:rPr>
      </w:pPr>
      <w:r>
        <w:t>E.</w:t>
      </w:r>
      <w:r>
        <w:tab/>
        <w:t>keďže toxicita Bt toxínov sa hodnotila na základe štúdií týk</w:t>
      </w:r>
      <w:r>
        <w:t>ajúcich sa kŕmenia zvierat, pričom sa použili len izolované Bt proteíny produkované baktériami; keďže toxikologické testy vykonané s proteínmi v izolácii majú nízku výpovednú hodnotu, keďže Bt toxíny v geneticky modifikovaných plodinách, ako je kukurica, b</w:t>
      </w:r>
      <w:r>
        <w:t>avlna a sója, sú vo svojej podstate toxickejšie ako izolované Bt toxíny; keďže je to spôsobené tým, že inhibítory proteázy (ďalej len „PI“) prítomné v rastlinnom tkanive môžu zvýšiť toxicitu Bt toxínov odďaľovaním ich degradácie; keďže tento jav bol preuká</w:t>
      </w:r>
      <w:r>
        <w:t xml:space="preserve">zaný vo viacerých vedeckých štúdiách vrátane štúdie uskutočnenej pred 30 rokmi spoločnosťou Monsanto, z ktorých vyplýva, že dokonca aj prítomnosť mimoriadne nízkych hodnôt PI zvýšila </w:t>
      </w:r>
      <w:r>
        <w:lastRenderedPageBreak/>
        <w:t>toxicitu Bt toxínov až 20-násobne</w:t>
      </w:r>
      <w:r>
        <w:rPr>
          <w:rStyle w:val="FootnoteReference"/>
          <w:szCs w:val="24"/>
        </w:rPr>
        <w:footnoteReference w:id="6"/>
      </w:r>
      <w:r>
        <w:t>;</w:t>
      </w:r>
    </w:p>
    <w:p w:rsidR="00D82240" w:rsidRDefault="00DB693A">
      <w:pPr>
        <w:pStyle w:val="NormalHanging12a"/>
        <w:rPr>
          <w:szCs w:val="24"/>
        </w:rPr>
      </w:pPr>
      <w:r>
        <w:t>F.</w:t>
      </w:r>
      <w:r>
        <w:tab/>
        <w:t>keďže táto zvýšená toxicita sa nez</w:t>
      </w:r>
      <w:r>
        <w:t>ohľadňuje v posúdeniach rizík EFSA, aj keď je relevantná pre všetky Bt rastliny, ktorých dovoz alebo pestovanie v Únii je schválené; keďže preto nemožno vylúčiť riziká pre ľudí a zvieratá, ktoré konzumujú potraviny a krmivo obsahujúce Bt toxíny, vyplývajúc</w:t>
      </w:r>
      <w:r>
        <w:t>e z tejto zvýšenej toxicity v dôsledku interakcie medzi PI a Bt toxínmi;</w:t>
      </w:r>
    </w:p>
    <w:p w:rsidR="00D82240" w:rsidRDefault="00DB693A">
      <w:pPr>
        <w:pStyle w:val="NormalHanging12a"/>
        <w:rPr>
          <w:szCs w:val="24"/>
        </w:rPr>
      </w:pPr>
      <w:r>
        <w:t>G.</w:t>
      </w:r>
      <w:r>
        <w:tab/>
        <w:t xml:space="preserve">keďže z viacerých štúdií vyplýva, že boli pozorované vedľajšie účinky, ktoré môžu mať po expozícii Bt toxínom vplyv na imunitný systém, a že niektoré Bt toxíny môžu mať adjuvantné </w:t>
      </w:r>
      <w:r>
        <w:t>vlastnosti</w:t>
      </w:r>
      <w:r>
        <w:rPr>
          <w:rStyle w:val="FootnoteReference"/>
          <w:szCs w:val="24"/>
        </w:rPr>
        <w:footnoteReference w:id="7"/>
      </w:r>
      <w:r>
        <w:t>, čo znamená, že môžu zvyšovať alergénnosť iných proteínov, s ktorými prichádzajú do kontaktu;</w:t>
      </w:r>
    </w:p>
    <w:p w:rsidR="00D82240" w:rsidRDefault="00DB693A">
      <w:pPr>
        <w:pStyle w:val="NormalHanging12a"/>
        <w:rPr>
          <w:b/>
          <w:i/>
          <w:szCs w:val="24"/>
        </w:rPr>
      </w:pPr>
      <w:r>
        <w:rPr>
          <w:b/>
          <w:i/>
        </w:rPr>
        <w:t>Bt plodiny: účinky na necieľové organizmy</w:t>
      </w:r>
    </w:p>
    <w:p w:rsidR="00D82240" w:rsidRDefault="00DB693A">
      <w:pPr>
        <w:pStyle w:val="NormalHanging12a"/>
      </w:pPr>
      <w:r>
        <w:t>H.</w:t>
      </w:r>
      <w:r>
        <w:tab/>
        <w:t>keďže na rozdiel od používania insekticídov, pri ktorých dochádza k expozícii počas postreku a krátky čas</w:t>
      </w:r>
      <w:r>
        <w:t xml:space="preserve"> po ňom, vedie používanie geneticky modifikovaných Bt plodín k trvalej expozícii cieľových aj necieľových organizmov Bt toxínom;</w:t>
      </w:r>
    </w:p>
    <w:p w:rsidR="00D82240" w:rsidRDefault="00DB693A">
      <w:pPr>
        <w:pStyle w:val="NormalHanging12a"/>
      </w:pPr>
      <w:r>
        <w:t>I.</w:t>
      </w:r>
      <w:r>
        <w:tab/>
        <w:t>keďže predpoklad, že Bt toxíny vykazujú jediný špecifický spôsob cieľového pôsobenia, už nemožno považovať za správny a účin</w:t>
      </w:r>
      <w:r>
        <w:t>ky na necieľové organizmy nemožno vylúčiť</w:t>
      </w:r>
      <w:r>
        <w:rPr>
          <w:rStyle w:val="FootnoteReference"/>
        </w:rPr>
        <w:footnoteReference w:id="8"/>
      </w:r>
      <w:r>
        <w:t xml:space="preserve">; </w:t>
      </w:r>
    </w:p>
    <w:p w:rsidR="00D82240" w:rsidRDefault="00DB693A">
      <w:pPr>
        <w:pStyle w:val="NormalHanging12a"/>
      </w:pPr>
      <w:r>
        <w:t>J.</w:t>
      </w:r>
      <w:r>
        <w:tab/>
        <w:t>keďže je zdokumentované mnohoraké postihnutie čoraz väčšieho počtu necieľových organizmov; keďže v nedávnom prehľade sa nachádza 39 recenzovaných publikácií, v ktorých sa uvádzajú závažné nepriaznivé účinky B</w:t>
      </w:r>
      <w:r>
        <w:t>t toxínov na mnoho necieľových druhov</w:t>
      </w:r>
      <w:r>
        <w:rPr>
          <w:rStyle w:val="FootnoteReference"/>
        </w:rPr>
        <w:footnoteReference w:id="9"/>
      </w:r>
      <w:r>
        <w:t>;</w:t>
      </w:r>
    </w:p>
    <w:p w:rsidR="00D82240" w:rsidRDefault="00DB693A">
      <w:pPr>
        <w:pStyle w:val="NormalHanging12a"/>
        <w:rPr>
          <w:b/>
          <w:i/>
        </w:rPr>
      </w:pPr>
      <w:r>
        <w:rPr>
          <w:b/>
          <w:i/>
        </w:rPr>
        <w:t>Zníženie závislosti od dovážaných krmív</w:t>
      </w:r>
    </w:p>
    <w:p w:rsidR="00D82240" w:rsidRDefault="00DB693A">
      <w:pPr>
        <w:pStyle w:val="NormalHanging12a"/>
      </w:pPr>
      <w:r>
        <w:t>K.</w:t>
      </w:r>
      <w:r>
        <w:tab/>
        <w:t xml:space="preserve">keďže jedným z ponaučení z krízy spôsobenej ochorením COVID-19 a zo stále </w:t>
      </w:r>
      <w:r>
        <w:lastRenderedPageBreak/>
        <w:t>prebiehajúcej vojny na Ukrajine je potreba, aby Únia ukončila závislosť od niektorých kritických ma</w:t>
      </w:r>
      <w:r>
        <w:t>teriálov; keďže v poverovacom liste dezignovanému komisárovi Christophovi Hansenovi predsedníčka Komisie ho Ursula von der Leyenová žiada o to, aby preskúmal spôsoby, ako znížiť dovoz kritických komodít</w:t>
      </w:r>
      <w:r>
        <w:rPr>
          <w:rStyle w:val="FootnoteReference"/>
        </w:rPr>
        <w:footnoteReference w:id="10"/>
      </w:r>
      <w:r>
        <w:t xml:space="preserve">; </w:t>
      </w:r>
    </w:p>
    <w:p w:rsidR="00D82240" w:rsidRDefault="00DB693A">
      <w:pPr>
        <w:pStyle w:val="NormalHanging12a"/>
        <w:rPr>
          <w:b/>
          <w:i/>
        </w:rPr>
      </w:pPr>
      <w:r>
        <w:rPr>
          <w:b/>
          <w:i/>
        </w:rPr>
        <w:t>Zahrnutie ARMG (markérový gén kódujúci rezistenciu</w:t>
      </w:r>
      <w:r>
        <w:rPr>
          <w:b/>
          <w:i/>
        </w:rPr>
        <w:t xml:space="preserve"> na antibiotiká)</w:t>
      </w:r>
    </w:p>
    <w:p w:rsidR="00D82240" w:rsidRDefault="00DB693A">
      <w:pPr>
        <w:pStyle w:val="NormalHanging12a"/>
      </w:pPr>
      <w:r>
        <w:t>L.</w:t>
      </w:r>
      <w:r>
        <w:tab/>
        <w:t>keďže geneticky modifikovaná bavlna produkuje proteín APH4, ktorý sa používa ako ARMG a ktorý deaktivuje aktivitu antibiotického hygromycínu B;</w:t>
      </w:r>
    </w:p>
    <w:p w:rsidR="00D82240" w:rsidRDefault="00DB693A">
      <w:pPr>
        <w:pStyle w:val="NormalHanging12a"/>
      </w:pPr>
      <w:r>
        <w:t>M.</w:t>
      </w:r>
      <w:r>
        <w:tab/>
        <w:t>keďže v článku 4 ods. 2 smernice Európskeho parlamentu a Rady 2001/18/ES</w:t>
      </w:r>
      <w:r>
        <w:rPr>
          <w:rStyle w:val="FootnoteReference"/>
        </w:rPr>
        <w:footnoteReference w:id="11"/>
      </w:r>
      <w:r>
        <w:t xml:space="preserve"> sa vyžaduje, ab</w:t>
      </w:r>
      <w:r>
        <w:t>y „sa osobitne zvažovali GMO, ktoré obsahujú gény s odolnosťou voči antibiotikám, ktoré sa používajú na medicínsku alebo veterinárnu liečbu, pri vykonávaní posudzovania environmentálnych rizík s cieľom identifikovať a postupne vyradiť markéry odolnosti voč</w:t>
      </w:r>
      <w:r>
        <w:t>i antibiotikám v GMO, ktoré by mohli mať nepriaznivé účinky na ľudské zdravie a na životné prostredie“ a je v ňom stanovený ako konečný termín rok 2004, po ktorom by sa nemali umiestňovať na trh Únie;</w:t>
      </w:r>
    </w:p>
    <w:p w:rsidR="00D82240" w:rsidRDefault="00DB693A">
      <w:pPr>
        <w:pStyle w:val="NormalHanging12a"/>
      </w:pPr>
      <w:r>
        <w:t>N.</w:t>
      </w:r>
      <w:r>
        <w:tab/>
        <w:t>keďže vo vykonávacom nariadení Komisie (EÚ) č. 503/2</w:t>
      </w:r>
      <w:r>
        <w:t>013</w:t>
      </w:r>
      <w:r>
        <w:rPr>
          <w:rStyle w:val="FootnoteReference"/>
        </w:rPr>
        <w:footnoteReference w:id="12"/>
      </w:r>
      <w:r>
        <w:t xml:space="preserve"> sa uvádza, že teraz možno vyvinúť GMO bez použitia ARMG, a preto by malo byť cieľom žiadateľa vyvinúť GMO bez použitia ARMG;</w:t>
      </w:r>
    </w:p>
    <w:p w:rsidR="00D82240" w:rsidRDefault="00DB693A">
      <w:pPr>
        <w:pStyle w:val="NormalHanging12a"/>
      </w:pPr>
      <w:r>
        <w:t>O.</w:t>
      </w:r>
      <w:r>
        <w:tab/>
        <w:t xml:space="preserve">keďže viaceré členské štáty vzniesli kritické pripomienky týkajúce sa používania ARMG vrátane toho, že vzhľadom na súčasnú </w:t>
      </w:r>
      <w:r>
        <w:t xml:space="preserve">krízu týkajúcu sa rezistencie voči antibiotikám by bolo rozumné uplatňovať zásadu predbežnej opatrnosti, najmä v tomto prípade, keď je uplatňovanie ARMG úplne zbytočné a je možné odstrániť ARMG z rastlinného genómu; keďže príslušný orgán jedného členského </w:t>
      </w:r>
      <w:r>
        <w:t>štátu vydal povolenie nepriaznivé stanovisko založené na prítomnosti ARMG v genóme geneticky modifikovanej bavlny;</w:t>
      </w:r>
    </w:p>
    <w:p w:rsidR="00D82240" w:rsidRDefault="00DB693A">
      <w:pPr>
        <w:pStyle w:val="NormalHanging12a"/>
      </w:pPr>
      <w:r>
        <w:t>P.</w:t>
      </w:r>
      <w:r>
        <w:tab/>
        <w:t>keďže Európska agentúra pre lieky potvrdila, že v členských štátoch neexistujú žiadne výrobky obsahujúce hygromycín B povolený na terapeut</w:t>
      </w:r>
      <w:r>
        <w:t xml:space="preserve">ické, profylaktické alebo iné lekárske použitie u ľudí alebo zvierat a neexistujú žiadne centrálne povolenia na humánne alebo veterinárne použitie pre lieky, ktoré obsahujú hygromycín B11; keďže v stanovisku EFSA sa uvádza, že „pracovná skupina pre GMO sa </w:t>
      </w:r>
      <w:r>
        <w:t>domnieva, že posúdenie rizika môže byť potrebné aktualizovať, ak výrobky obsahujúce hygromycín B alebo iné substráty enzýmu APH4 získajú v budúcnosti povolenie na uvedenie na trh v EÚ“; keďže sa však hygromycín B používa vo veterinárnych výrobkoch, ktoré s</w:t>
      </w:r>
      <w:r>
        <w:t xml:space="preserve">a predávajú mimo Únie; </w:t>
      </w:r>
    </w:p>
    <w:p w:rsidR="00D82240" w:rsidRDefault="00DB693A">
      <w:pPr>
        <w:pStyle w:val="NormalHanging12a"/>
      </w:pPr>
      <w:r>
        <w:t>Q.</w:t>
      </w:r>
      <w:r>
        <w:tab/>
        <w:t xml:space="preserve">keďže Európsky parlament aspoň pri jednej predchádzajúcej príležitosti namietal proti </w:t>
      </w:r>
      <w:r>
        <w:lastRenderedPageBreak/>
        <w:t>dovozu geneticky modifikovaných plodín, ktoré obsahovali ARMG</w:t>
      </w:r>
      <w:r>
        <w:rPr>
          <w:rStyle w:val="FootnoteReference"/>
        </w:rPr>
        <w:footnoteReference w:id="13"/>
      </w:r>
      <w:r>
        <w:t>;</w:t>
      </w:r>
    </w:p>
    <w:p w:rsidR="00D82240" w:rsidRDefault="00DB693A">
      <w:pPr>
        <w:pStyle w:val="NormalHanging12a"/>
      </w:pPr>
      <w:r>
        <w:t>R.</w:t>
      </w:r>
      <w:r>
        <w:tab/>
        <w:t>keďže antimikrobiálna rezistencia predstavuje hrozbu pre globálne zdravie, p</w:t>
      </w:r>
      <w:r>
        <w:t>otravinovú bezpečnosť a dosiahnutie cieľov udržateľného rozvoja do roku 2030 a infekcie rezistentné voči liekom nepoznajú hranice</w:t>
      </w:r>
      <w:r>
        <w:rPr>
          <w:rStyle w:val="FootnoteReference"/>
        </w:rPr>
        <w:footnoteReference w:id="14"/>
      </w:r>
      <w:r>
        <w:t>;</w:t>
      </w:r>
    </w:p>
    <w:p w:rsidR="00D82240" w:rsidRDefault="00DB693A">
      <w:pPr>
        <w:pStyle w:val="NormalHanging12a"/>
        <w:rPr>
          <w:b/>
          <w:i/>
        </w:rPr>
      </w:pPr>
      <w:r>
        <w:rPr>
          <w:b/>
          <w:i/>
        </w:rPr>
        <w:t>Pripomienky príslušného orgánu členského štátu a zainteresovaných strán</w:t>
      </w:r>
    </w:p>
    <w:p w:rsidR="00D82240" w:rsidRDefault="00DB693A">
      <w:pPr>
        <w:pStyle w:val="NormalHanging12a"/>
      </w:pPr>
      <w:r>
        <w:t>S.</w:t>
      </w:r>
      <w:r>
        <w:tab/>
        <w:t>keďže členské štáty predložili EFSA počas trojmes</w:t>
      </w:r>
      <w:r>
        <w:t>ačného konzultačného obdobia</w:t>
      </w:r>
      <w:r>
        <w:rPr>
          <w:rStyle w:val="FootnoteReference"/>
        </w:rPr>
        <w:footnoteReference w:id="15"/>
      </w:r>
      <w:r>
        <w:t xml:space="preserve"> mnohé kritické pripomienky vrátane toho, že pestovanie geneticky modifikovanej bavlny na poľnohospodárskych poliach sa má považovať za zámernú kontamináciu prírodného prostredia génmi rezistencie voči antibiotikám, ako aj že p</w:t>
      </w:r>
      <w:r>
        <w:t>oskytnuté informácie o molekulárnej charakterizácii, zložení a toxikológii sú nedostatočné, a preto sú závery EFSA o rovnocennosti geneticky modifikovanej bavlny s konvenčnou bavlnou, pokiaľ ide o bezpečnosť potravín a krmív, predčasné;</w:t>
      </w:r>
    </w:p>
    <w:p w:rsidR="00D82240" w:rsidRDefault="00DB693A">
      <w:pPr>
        <w:pStyle w:val="NormalHanging12a"/>
      </w:pPr>
      <w:r>
        <w:t>T.</w:t>
      </w:r>
      <w:r>
        <w:tab/>
        <w:t>keďže v nariaden</w:t>
      </w:r>
      <w:r>
        <w:t>í (ES) č. 1829/2003 sa uvádza, že geneticky modifikované potraviny alebo krmivá nesmú mať nepriaznivé účinky na ľudské zdravie, zdravie zvierat alebo na životné prostredie, a vyžaduje sa, aby Komisia pri príprave svojho rozhodnutia vzala do úvahy všetky re</w:t>
      </w:r>
      <w:r>
        <w:t>levantné ustanovenia práva Únie a iné oprávnené skutočnosti, ktoré sú podstatné na prerokovanie záležitosti; keďže takéto legitímne faktory by mali zahŕňať záväzky Únie bojovať proti antimikrobiálnej rezistencii;</w:t>
      </w:r>
    </w:p>
    <w:p w:rsidR="00D82240" w:rsidRDefault="00DB693A">
      <w:pPr>
        <w:pStyle w:val="NormalHanging12a"/>
        <w:rPr>
          <w:b/>
          <w:i/>
        </w:rPr>
      </w:pPr>
      <w:r>
        <w:rPr>
          <w:b/>
          <w:i/>
        </w:rPr>
        <w:t>Nedemokratické rozhodovanie</w:t>
      </w:r>
    </w:p>
    <w:p w:rsidR="00D82240" w:rsidRDefault="00DB693A">
      <w:pPr>
        <w:pStyle w:val="NormalHanging12a"/>
      </w:pPr>
      <w:r>
        <w:t>U.</w:t>
      </w:r>
      <w:r>
        <w:tab/>
      </w:r>
      <w:r>
        <w:t>keďže Európsky parlament vo svojom ôsmom volebnom období prijal celkovo 36 uznesení, v ktorých namietal proti tomu, aby sa GMO uvádzali na trh na použitie v potravinách a krmivách (33 uznesení) a aby sa GMO v Únii pestovali (tri uznesenia); keďže v deviato</w:t>
      </w:r>
      <w:r>
        <w:t>m volebnom období Európsky parlament prijal 38 námietok proti uvedeniu GMO na trh;</w:t>
      </w:r>
    </w:p>
    <w:p w:rsidR="00D82240" w:rsidRDefault="00DB693A">
      <w:pPr>
        <w:pStyle w:val="NormalHanging12a"/>
      </w:pPr>
      <w:r>
        <w:t>V.</w:t>
      </w:r>
      <w:r>
        <w:tab/>
        <w:t>keďže Komisia naďalej povoľuje GMO, hoci si sama uvedomuje nedostatky z hľadiska demokracie, nízku podporu členských štátov a námietky Európskeho parlamentu;</w:t>
      </w:r>
    </w:p>
    <w:p w:rsidR="00D82240" w:rsidRDefault="00DB693A">
      <w:pPr>
        <w:pStyle w:val="NormalHanging12a"/>
      </w:pPr>
      <w:r>
        <w:t>W.</w:t>
      </w:r>
      <w:r>
        <w:tab/>
        <w:t>keďže nie</w:t>
      </w:r>
      <w:r>
        <w:t xml:space="preserve"> je potrebná žiadna zmena právnych predpisov, aby Komisia nemala možnosť povoľovať GMO, ak sa v odvolacom výbore nedosiahne kvalifikovaná väčšina </w:t>
      </w:r>
      <w:r>
        <w:lastRenderedPageBreak/>
        <w:t>členských štátov v prospech povolenia</w:t>
      </w:r>
      <w:r>
        <w:rPr>
          <w:rStyle w:val="FootnoteReference"/>
        </w:rPr>
        <w:footnoteReference w:id="16"/>
      </w:r>
      <w:r>
        <w:t>;</w:t>
      </w:r>
    </w:p>
    <w:p w:rsidR="00D82240" w:rsidRDefault="00DB693A">
      <w:pPr>
        <w:pStyle w:val="NormalHanging12a"/>
      </w:pPr>
      <w:r>
        <w:t>X.</w:t>
      </w:r>
      <w:r>
        <w:tab/>
      </w:r>
      <w:r>
        <w:rPr>
          <w:shd w:val="clear" w:color="auto" w:fill="FFFFFF"/>
        </w:rPr>
        <w:t>keďže Stály výbor pre potravinový reťazec a zdravie zvierat uvedený</w:t>
      </w:r>
      <w:r>
        <w:rPr>
          <w:shd w:val="clear" w:color="auto" w:fill="FFFFFF"/>
        </w:rPr>
        <w:t xml:space="preserve"> v článku 35 nariadenia (ES) č. 1829/2003 pri hlasovaní 8. júla 2024 nezaujal žiadne stanovisko, čo znamená, že povolenie nepodporila kvalifikovaná väčšina členských štátov; keďže odvolací výbor na základe hlasovania 3. septembra 2024 znovu nevydal stanovi</w:t>
      </w:r>
      <w:r>
        <w:rPr>
          <w:shd w:val="clear" w:color="auto" w:fill="FFFFFF"/>
        </w:rPr>
        <w:t>sko;</w:t>
      </w:r>
    </w:p>
    <w:p w:rsidR="00D82240" w:rsidRDefault="00DB693A">
      <w:pPr>
        <w:pStyle w:val="NormalHanging12a"/>
      </w:pPr>
      <w:r>
        <w:t>1.</w:t>
      </w:r>
      <w:r>
        <w:tab/>
        <w:t>domnieva sa, že vykonávacie rozhodnutie Komisie (EÚ) 2024/2627 prekračuje rámec vykonávacích právomocí stanovených v nariadení (ES) č. 1829/2003;</w:t>
      </w:r>
    </w:p>
    <w:p w:rsidR="00D82240" w:rsidRDefault="00DB693A">
      <w:pPr>
        <w:pStyle w:val="NormalHanging12a"/>
      </w:pPr>
      <w:r>
        <w:t>2.</w:t>
      </w:r>
      <w:r>
        <w:tab/>
        <w:t>domnieva sa, že vykonávacie rozhodnutie Komisie (EÚ) 2024/2627 nie je v súlade s právom Únie, preto</w:t>
      </w:r>
      <w:r>
        <w:t>že nie je zlučiteľný s cieľom nariadenia (ES) č. 1829/2003, ktorým je podľa všeobecných zásad uvedených v nariadení Európskeho parlamentu a Rady (ES) č. 178/2002</w:t>
      </w:r>
      <w:r>
        <w:rPr>
          <w:rStyle w:val="FootnoteReference"/>
        </w:rPr>
        <w:footnoteReference w:id="17"/>
      </w:r>
      <w:r>
        <w:t xml:space="preserve"> poskytovať základ na zabezpečenie vysokej miery ochrany ľudského života a zdravia, zdravia a </w:t>
      </w:r>
      <w:r>
        <w:t>dobrých životných podmienok zvierat, životného prostredia a záujmov spotrebiteľov v súvislosti s geneticky modifikovanými potravinami a krmivami a súčasne zabezpečovať efektívne fungovanie vnútorného trhu;</w:t>
      </w:r>
    </w:p>
    <w:p w:rsidR="00D82240" w:rsidRDefault="00DB693A">
      <w:pPr>
        <w:pStyle w:val="NormalHanging12a"/>
      </w:pPr>
      <w:r>
        <w:t>3.</w:t>
      </w:r>
      <w:r>
        <w:tab/>
        <w:t xml:space="preserve">žiada Komisiu, aby zrušila vykonávacie </w:t>
      </w:r>
      <w:r>
        <w:t>rozhodnutie (EÚ) 2024/2627 a výboru predložila nový návrh;</w:t>
      </w:r>
    </w:p>
    <w:p w:rsidR="00D82240" w:rsidRDefault="00DB693A">
      <w:pPr>
        <w:pStyle w:val="NormalHanging12a"/>
      </w:pPr>
      <w:r>
        <w:t>4.</w:t>
      </w:r>
      <w:r>
        <w:tab/>
        <w:t>opätovne vyzýva Komisiu, aby nepovolila uvedenie na trh žiadnych geneticky modifikovaných rastlín obsahujúcich gény, ktoré poskytujú antimikrobiálnu rezistenciu; konštatuje, že takýmto povolením</w:t>
      </w:r>
      <w:r>
        <w:t xml:space="preserve"> by konala v rozpore s článkom 4 ods. 2 smernice 2001/18/ES, v ktorom sa požaduje postupné odstránenie markérových génov kódujúcich rezistenciu na antibiotiká, ktoré môžu mať nepriaznivé účinky na ľudské zdravie alebo životné prostredie; </w:t>
      </w:r>
    </w:p>
    <w:p w:rsidR="00D82240" w:rsidRDefault="00DB693A">
      <w:pPr>
        <w:pStyle w:val="NormalHanging12a"/>
      </w:pPr>
      <w:r>
        <w:t>5.</w:t>
      </w:r>
      <w:r>
        <w:tab/>
        <w:t>víta to, že Ko</w:t>
      </w:r>
      <w:r>
        <w:t>misia v liste z 11. septembra 2020 adresovanom poslancom konečne uznala, že pri rozhodovaní o povoleniach pre GMO treba zohľadňovať otázku udržateľnosti</w:t>
      </w:r>
      <w:r>
        <w:rPr>
          <w:rStyle w:val="FootnoteReference"/>
        </w:rPr>
        <w:footnoteReference w:id="18"/>
      </w:r>
      <w:r>
        <w:t>; vyjadruje však hlboké sklamanie nad tým, že Komisia naďalej povoľuje dovoz GMO do Únie napriek nepres</w:t>
      </w:r>
      <w:r>
        <w:t>tajným námietkam Európskeho parlamentu a väčšiny členských štátov hlasujúcich proti;</w:t>
      </w:r>
    </w:p>
    <w:p w:rsidR="00D82240" w:rsidRDefault="00DB693A">
      <w:pPr>
        <w:pStyle w:val="NormalHanging12a"/>
      </w:pPr>
      <w:r>
        <w:t>6.</w:t>
      </w:r>
      <w:r>
        <w:tab/>
        <w:t>opätovne vyzýva Komisiu, aby zohľadnila záväzky Únie vyplývajúce z medzinárodných dohôd, ako je Parížska dohoda o zmene klímy, Dohovor OSN o biologickej diverzite a cie</w:t>
      </w:r>
      <w:r>
        <w:t xml:space="preserve">le OSN v oblasti udržateľného rozvoja; opakuje svoju výzvu, aby bola k návrhom vykonávacích aktov priložená dôvodová správa, v ktorej sa </w:t>
      </w:r>
      <w:r>
        <w:lastRenderedPageBreak/>
        <w:t>vysvetlí, ako sa v nich dodržiava zásada „nespôsobovať škodu“</w:t>
      </w:r>
      <w:r>
        <w:rPr>
          <w:rStyle w:val="FootnoteReference"/>
        </w:rPr>
        <w:footnoteReference w:id="19"/>
      </w:r>
      <w:r>
        <w:t>;</w:t>
      </w:r>
    </w:p>
    <w:p w:rsidR="00D82240" w:rsidRDefault="00DB693A">
      <w:pPr>
        <w:pStyle w:val="NormalHanging12a"/>
      </w:pPr>
      <w:r>
        <w:t>7.</w:t>
      </w:r>
      <w:r>
        <w:tab/>
        <w:t>poveruje svoju predsedníčku, aby postúpila toto uzne</w:t>
      </w:r>
      <w:r>
        <w:t xml:space="preserve">senie Rade, Komisii a vládam a parlamentom členských štátov. </w:t>
      </w:r>
    </w:p>
    <w:sectPr w:rsidR="00D822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2240" w:rsidRDefault="00DB693A">
      <w:r>
        <w:separator/>
      </w:r>
    </w:p>
  </w:endnote>
  <w:endnote w:type="continuationSeparator" w:id="0">
    <w:p w:rsidR="00D82240" w:rsidRDefault="00DB6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240" w:rsidRDefault="00D8224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240" w:rsidRDefault="00D8224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240" w:rsidRDefault="00D8224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2240" w:rsidRDefault="00DB693A">
      <w:r>
        <w:separator/>
      </w:r>
    </w:p>
  </w:footnote>
  <w:footnote w:type="continuationSeparator" w:id="0">
    <w:p w:rsidR="00D82240" w:rsidRDefault="00DB693A">
      <w:r>
        <w:continuationSeparator/>
      </w:r>
    </w:p>
  </w:footnote>
  <w:footnote w:id="1">
    <w:p w:rsidR="00D82240" w:rsidRDefault="00DB693A">
      <w:pPr>
        <w:pStyle w:val="FootnoteText"/>
        <w:ind w:left="567" w:hanging="567"/>
        <w:rPr>
          <w:lang w:val="sk-SK"/>
        </w:rPr>
      </w:pPr>
      <w:r>
        <w:rPr>
          <w:rStyle w:val="FootnoteReference"/>
        </w:rPr>
        <w:footnoteRef/>
      </w:r>
      <w:r>
        <w:rPr>
          <w:lang w:val="fi-FI"/>
        </w:rPr>
        <w:t xml:space="preserve"> </w:t>
      </w:r>
      <w:r>
        <w:rPr>
          <w:lang w:val="sk-SK"/>
        </w:rPr>
        <w:tab/>
      </w:r>
      <w:r>
        <w:rPr>
          <w:sz w:val="24"/>
          <w:lang w:val="sk-SK"/>
        </w:rPr>
        <w:t>Ú. v. EÚ L</w:t>
      </w:r>
      <w:bookmarkStart w:id="7" w:name="_GoBack"/>
      <w:bookmarkEnd w:id="7"/>
      <w:r>
        <w:rPr>
          <w:sz w:val="24"/>
          <w:lang w:val="sk-SK"/>
        </w:rPr>
        <w:t xml:space="preserve">, </w:t>
      </w:r>
      <w:r>
        <w:rPr>
          <w:sz w:val="24"/>
          <w:lang w:val="fi-FI"/>
        </w:rPr>
        <w:t xml:space="preserve">2024/2627, 10.10.2024, ELI: </w:t>
      </w:r>
      <w:hyperlink r:id="rId1" w:history="1">
        <w:r>
          <w:rPr>
            <w:rStyle w:val="Hyperlink"/>
            <w:sz w:val="24"/>
            <w:lang w:val="fi-FI"/>
          </w:rPr>
          <w:t>http://data.europa.eu/eli/dec_impl/2024/2627/oj</w:t>
        </w:r>
      </w:hyperlink>
      <w:r>
        <w:rPr>
          <w:sz w:val="24"/>
          <w:lang w:val="fi-FI"/>
        </w:rPr>
        <w:t>.</w:t>
      </w:r>
    </w:p>
  </w:footnote>
  <w:footnote w:id="2">
    <w:p w:rsidR="00D82240" w:rsidRDefault="00DB693A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 L 268, 18.10.2003, s. </w:t>
      </w:r>
      <w:r>
        <w:rPr>
          <w:sz w:val="24"/>
          <w:lang w:val="sk-SK"/>
        </w:rPr>
        <w:t>1, ELI: </w:t>
      </w:r>
      <w:hyperlink r:id="rId2" w:tooltip="Umožňuje prístup k tomuto dokumentu prostredníctvom jednotného identifikátora zdroja ELI." w:history="1">
        <w:r>
          <w:rPr>
            <w:rStyle w:val="Hyperlink"/>
            <w:sz w:val="24"/>
            <w:lang w:val="sk-SK"/>
          </w:rPr>
          <w:t>http://data</w:t>
        </w:r>
        <w:r>
          <w:rPr>
            <w:rStyle w:val="Hyperlink"/>
            <w:sz w:val="24"/>
            <w:lang w:val="sk-SK"/>
          </w:rPr>
          <w:t>.europa.eu/eli/reg/2003/1829/oj</w:t>
        </w:r>
      </w:hyperlink>
      <w:r>
        <w:rPr>
          <w:sz w:val="24"/>
          <w:lang w:val="sk-SK"/>
        </w:rPr>
        <w:t>.</w:t>
      </w:r>
    </w:p>
  </w:footnote>
  <w:footnote w:id="3">
    <w:p w:rsidR="00D82240" w:rsidRDefault="00DB693A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55, 28.2.2011, s. </w:t>
      </w:r>
      <w:r>
        <w:rPr>
          <w:sz w:val="24"/>
          <w:lang w:val="sk-SK"/>
        </w:rPr>
        <w:t xml:space="preserve">13, ELI: </w:t>
      </w:r>
      <w:hyperlink r:id="rId3" w:tooltip="Umožňuje prístup k tomuto dokumentu prostredníctvom jednotného identifikátora zdroja ELI." w:history="1">
        <w:r>
          <w:rPr>
            <w:rStyle w:val="Hyperlink"/>
            <w:sz w:val="24"/>
            <w:lang w:val="sk-SK"/>
          </w:rPr>
          <w:t>http://data.europa.eu/eli/reg</w:t>
        </w:r>
        <w:r>
          <w:rPr>
            <w:rStyle w:val="Hyperlink"/>
            <w:sz w:val="24"/>
            <w:lang w:val="sk-SK"/>
          </w:rPr>
          <w:t>/2011/182/oj</w:t>
        </w:r>
      </w:hyperlink>
      <w:r>
        <w:rPr>
          <w:sz w:val="24"/>
          <w:lang w:val="sk-SK"/>
        </w:rPr>
        <w:t>.</w:t>
      </w:r>
    </w:p>
  </w:footnote>
  <w:footnote w:id="4">
    <w:p w:rsidR="00D82240" w:rsidRDefault="00DB693A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Vedecké stanovisko pracovnej skupiny EFSA pre geneticky modifikované organizmy k posúdeniu geneticky modifikovanej kukurice COT102 na použitie v potravinách a krmivách podľa nariadenia (ES) č. </w:t>
      </w:r>
      <w:r>
        <w:rPr>
          <w:sz w:val="24"/>
          <w:lang w:val="sk-SK"/>
        </w:rPr>
        <w:t>1829/2003 (žiadosť EFSA-GMO-DE-2017-141), vest</w:t>
      </w:r>
      <w:r>
        <w:rPr>
          <w:sz w:val="24"/>
          <w:lang w:val="sk-SK"/>
        </w:rPr>
        <w:t xml:space="preserve">ník EFSA 2023; 21(6):8031, </w:t>
      </w:r>
      <w:hyperlink r:id="rId4" w:history="1">
        <w:r>
          <w:rPr>
            <w:rStyle w:val="Hyperlink"/>
            <w:sz w:val="24"/>
            <w:lang w:val="sk-SK"/>
          </w:rPr>
          <w:t>https://doi.org/10.2903/j.efsa.2023.8031</w:t>
        </w:r>
      </w:hyperlink>
      <w:r>
        <w:rPr>
          <w:sz w:val="24"/>
          <w:lang w:val="sk-SK"/>
        </w:rPr>
        <w:t>.</w:t>
      </w:r>
    </w:p>
  </w:footnote>
  <w:footnote w:id="5">
    <w:p w:rsidR="00D82240" w:rsidRDefault="00DB693A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color w:val="000000" w:themeColor="text1"/>
          <w:sz w:val="24"/>
          <w:lang w:val="sk-SK"/>
        </w:rPr>
        <w:t xml:space="preserve"> </w:t>
      </w:r>
      <w:r>
        <w:rPr>
          <w:color w:val="000000" w:themeColor="text1"/>
          <w:sz w:val="24"/>
          <w:lang w:val="sk-SK"/>
        </w:rPr>
        <w:tab/>
        <w:t>Európsky parlament prijal vo svojom ôsmom volebnom období 36 uznesení a v deviatom volebnom období 38 uznesení, v ktorých namie</w:t>
      </w:r>
      <w:r>
        <w:rPr>
          <w:color w:val="000000" w:themeColor="text1"/>
          <w:sz w:val="24"/>
          <w:lang w:val="sk-SK"/>
        </w:rPr>
        <w:t>ta proti povoľovaniu GMO.</w:t>
      </w:r>
    </w:p>
  </w:footnote>
  <w:footnote w:id="6">
    <w:p w:rsidR="00D82240" w:rsidRDefault="00DB693A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MacIntosh, S. C., Kishore, G. M., Perlak, F.J., Marrone, P. G., Stone, T. B., Sims, S. R., Fuchs, R. L., Potentiation of </w:t>
      </w:r>
      <w:r>
        <w:rPr>
          <w:i/>
          <w:sz w:val="24"/>
          <w:lang w:val="sk-SK"/>
        </w:rPr>
        <w:t>Bacillus thuringiensis</w:t>
      </w:r>
      <w:r>
        <w:rPr>
          <w:sz w:val="24"/>
          <w:lang w:val="sk-SK"/>
        </w:rPr>
        <w:t> insecticidal activity by serine protease inhibitors (Potenciácia insekticídnej akti</w:t>
      </w:r>
      <w:r>
        <w:rPr>
          <w:sz w:val="24"/>
          <w:lang w:val="sk-SK"/>
        </w:rPr>
        <w:t xml:space="preserve">vity </w:t>
      </w:r>
      <w:r>
        <w:rPr>
          <w:i/>
          <w:sz w:val="24"/>
          <w:lang w:val="sk-SK"/>
        </w:rPr>
        <w:t>Bacillus thuringiensis</w:t>
      </w:r>
      <w:r>
        <w:rPr>
          <w:sz w:val="24"/>
          <w:lang w:val="sk-SK"/>
        </w:rPr>
        <w:t xml:space="preserve"> inhibítormi serínovej proteázy), Journal of Agricultural and Food Chemistry, 1990, 38, 4, s. </w:t>
      </w:r>
      <w:r>
        <w:rPr>
          <w:sz w:val="24"/>
          <w:lang w:val="sk-SK"/>
        </w:rPr>
        <w:t xml:space="preserve">1145 – 1152, </w:t>
      </w:r>
      <w:hyperlink r:id="rId5" w:history="1">
        <w:r>
          <w:rPr>
            <w:rStyle w:val="Hyperlink"/>
            <w:sz w:val="24"/>
            <w:lang w:val="sk-SK"/>
          </w:rPr>
          <w:t>https://pubs.acs.org/doi/abs/10.1021/jf00094a051</w:t>
        </w:r>
      </w:hyperlink>
      <w:r>
        <w:rPr>
          <w:sz w:val="24"/>
          <w:lang w:val="sk-SK"/>
        </w:rPr>
        <w:t>.</w:t>
      </w:r>
    </w:p>
  </w:footnote>
  <w:footnote w:id="7">
    <w:p w:rsidR="00D82240" w:rsidRDefault="00DB693A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>Pozri preskúmanie Rubio-Infante, N., Moreno-Fierros, L., An overview of the safety and biological effects of </w:t>
      </w:r>
      <w:r>
        <w:rPr>
          <w:i/>
          <w:sz w:val="24"/>
          <w:lang w:val="sk-SK"/>
        </w:rPr>
        <w:t>Bacillus thuringiensis</w:t>
      </w:r>
      <w:r>
        <w:rPr>
          <w:sz w:val="24"/>
          <w:lang w:val="sk-SK"/>
        </w:rPr>
        <w:t xml:space="preserve"> Cry toxins in mammals (Prehľad o bezpečnosti a biologických účinkoch Cry toxínov </w:t>
      </w:r>
      <w:r>
        <w:rPr>
          <w:i/>
          <w:sz w:val="24"/>
          <w:lang w:val="sk-SK"/>
        </w:rPr>
        <w:t>Bacillus thuringiensis</w:t>
      </w:r>
      <w:r>
        <w:rPr>
          <w:sz w:val="24"/>
          <w:lang w:val="sk-SK"/>
        </w:rPr>
        <w:t xml:space="preserve"> u cicavcov), Journal</w:t>
      </w:r>
      <w:r>
        <w:rPr>
          <w:sz w:val="24"/>
          <w:lang w:val="sk-SK"/>
        </w:rPr>
        <w:t xml:space="preserve"> of Applied Toxicology, máj 2016, 36, 5, s. </w:t>
      </w:r>
      <w:r>
        <w:rPr>
          <w:sz w:val="24"/>
          <w:lang w:val="sk-SK"/>
        </w:rPr>
        <w:t xml:space="preserve">630 – 648, </w:t>
      </w:r>
      <w:hyperlink r:id="rId6" w:history="1">
        <w:r>
          <w:rPr>
            <w:rStyle w:val="Hyperlink"/>
            <w:sz w:val="24"/>
            <w:lang w:val="sk-SK"/>
          </w:rPr>
          <w:t>https://onlinelibrary.wiley.com/doi/full/10.1002/jat.3252</w:t>
        </w:r>
      </w:hyperlink>
      <w:r>
        <w:rPr>
          <w:sz w:val="24"/>
          <w:lang w:val="sk-SK"/>
        </w:rPr>
        <w:t>.</w:t>
      </w:r>
    </w:p>
  </w:footnote>
  <w:footnote w:id="8">
    <w:p w:rsidR="00D82240" w:rsidRDefault="00DB693A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Pozri napríklad Hilbeck, A., </w:t>
      </w:r>
      <w:r>
        <w:rPr>
          <w:sz w:val="24"/>
          <w:lang w:val="sk-SK"/>
        </w:rPr>
        <w:t>Otto, M., Specificity and combinator</w:t>
      </w:r>
      <w:r>
        <w:rPr>
          <w:sz w:val="24"/>
          <w:lang w:val="sk-SK"/>
        </w:rPr>
        <w:t>ial effects of </w:t>
      </w:r>
      <w:r>
        <w:rPr>
          <w:i/>
          <w:sz w:val="24"/>
          <w:lang w:val="sk-SK"/>
        </w:rPr>
        <w:t>Bacillus thuringiensis</w:t>
      </w:r>
      <w:r>
        <w:rPr>
          <w:sz w:val="24"/>
          <w:lang w:val="sk-SK"/>
        </w:rPr>
        <w:t xml:space="preserve"> Cry toxins in the context of GMO environmental risk assessment (Špecificita a kombinované účinky Cry toxínov </w:t>
      </w:r>
      <w:r>
        <w:rPr>
          <w:i/>
          <w:sz w:val="24"/>
          <w:lang w:val="sk-SK"/>
        </w:rPr>
        <w:t>Bacillus thuringiensis</w:t>
      </w:r>
      <w:r>
        <w:rPr>
          <w:sz w:val="24"/>
          <w:lang w:val="sk-SK"/>
        </w:rPr>
        <w:t xml:space="preserve"> v kontexte posúdenia rizika geneticky modifikovaných organizmov pre životné prostredie</w:t>
      </w:r>
      <w:r>
        <w:rPr>
          <w:sz w:val="24"/>
          <w:lang w:val="sk-SK"/>
        </w:rPr>
        <w:t xml:space="preserve">), Frontiers in Environmental Science 2015, 3:71, </w:t>
      </w:r>
      <w:hyperlink r:id="rId7" w:history="1">
        <w:r>
          <w:rPr>
            <w:rStyle w:val="Hyperlink"/>
            <w:sz w:val="24"/>
            <w:lang w:val="sk-SK"/>
          </w:rPr>
          <w:t>https://doi.org/10.3389/fenvs.2015.00071</w:t>
        </w:r>
      </w:hyperlink>
      <w:r>
        <w:rPr>
          <w:rStyle w:val="Hyperlink"/>
          <w:sz w:val="24"/>
          <w:lang w:val="sk-SK"/>
        </w:rPr>
        <w:t>.</w:t>
      </w:r>
    </w:p>
  </w:footnote>
  <w:footnote w:id="9">
    <w:p w:rsidR="00D82240" w:rsidRDefault="00DB693A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Hilbeck, A., Defarge, N., Lebrecht, T., Bøhn, T., ‘Insecticidal Bt crops. EFSA’s risk assessment approac</w:t>
      </w:r>
      <w:r>
        <w:rPr>
          <w:sz w:val="24"/>
          <w:lang w:val="sk-SK"/>
        </w:rPr>
        <w:t>h for GM Bt plants fails by design (Insekticídne Bt plodiny. Prístup úradu EFSA k posudzovaniu rizík v prípade geneticky modifikovaných Bt rastlín zlyháva už ako koncept), RAGES 2020, s. </w:t>
      </w:r>
      <w:r>
        <w:rPr>
          <w:sz w:val="24"/>
          <w:lang w:val="sk-SK"/>
        </w:rPr>
        <w:t xml:space="preserve">4, </w:t>
      </w:r>
      <w:hyperlink r:id="rId8" w:history="1">
        <w:r>
          <w:rPr>
            <w:rStyle w:val="Hyperlink"/>
            <w:sz w:val="24"/>
            <w:lang w:val="sk-SK"/>
          </w:rPr>
          <w:t>https://www.testbiotech.org/wp-content/uploads/2023/12/RAGES_report-Insecticidal-Bt-plants.pdf</w:t>
        </w:r>
      </w:hyperlink>
      <w:r>
        <w:rPr>
          <w:rStyle w:val="Hyperlink"/>
          <w:sz w:val="24"/>
          <w:lang w:val="sk-SK"/>
        </w:rPr>
        <w:t xml:space="preserve">. </w:t>
      </w:r>
    </w:p>
  </w:footnote>
  <w:footnote w:id="10">
    <w:p w:rsidR="00D82240" w:rsidRDefault="00DB693A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hyperlink r:id="rId9" w:history="1">
        <w:r>
          <w:rPr>
            <w:rStyle w:val="Hyperlink"/>
            <w:sz w:val="24"/>
            <w:lang w:val="sk-SK"/>
          </w:rPr>
          <w:t>https://commissio</w:t>
        </w:r>
        <w:r>
          <w:rPr>
            <w:rStyle w:val="Hyperlink"/>
            <w:sz w:val="24"/>
            <w:lang w:val="sk-SK"/>
          </w:rPr>
          <w:t>n.europa.eu/document/2c64e540-c07a-4376-a1da-368d289f4afe_en</w:t>
        </w:r>
      </w:hyperlink>
    </w:p>
  </w:footnote>
  <w:footnote w:id="11">
    <w:p w:rsidR="00D82240" w:rsidRDefault="00DB693A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Smernica Európskeho parlamentu a Rady 2001/18/ES z 12. marca 2001 o zámernom uvoľnení geneticky modifikovaných organizmov do životného prostredia a o zrušení smernice Rady 90/220/EHS (Ú. v. ES</w:t>
      </w:r>
      <w:r>
        <w:rPr>
          <w:sz w:val="24"/>
          <w:lang w:val="sk-SK"/>
        </w:rPr>
        <w:t> L 106, 17.4.2001, s. </w:t>
      </w:r>
      <w:r>
        <w:rPr>
          <w:sz w:val="24"/>
          <w:lang w:val="sk-SK"/>
        </w:rPr>
        <w:t>1, ELI: </w:t>
      </w:r>
      <w:hyperlink r:id="rId10" w:tooltip="Umožňuje prístup k tomuto dokumentu prostredníctvom jednotného identifikátora zdroja ELI." w:history="1">
        <w:r>
          <w:rPr>
            <w:rStyle w:val="Hyperlink"/>
            <w:sz w:val="24"/>
            <w:lang w:val="sk-SK"/>
          </w:rPr>
          <w:t>http://data.europa.eu/eli/dir/2001/18/oj</w:t>
        </w:r>
      </w:hyperlink>
      <w:r>
        <w:rPr>
          <w:sz w:val="24"/>
          <w:lang w:val="sk-SK"/>
        </w:rPr>
        <w:t>).</w:t>
      </w:r>
    </w:p>
  </w:footnote>
  <w:footnote w:id="12">
    <w:p w:rsidR="00D82240" w:rsidRDefault="00DB693A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Vykonávacie nariadenie Komis</w:t>
      </w:r>
      <w:r>
        <w:rPr>
          <w:sz w:val="24"/>
          <w:lang w:val="sk-SK"/>
        </w:rPr>
        <w:t xml:space="preserve">ie (EÚ) č. 503/2013 z 3. apríla 2013, ktoré sa týka žiadostí o povolenie geneticky modifikovaných potravín a krmív v súlade s nariadením Európskeho parlamentu a Rady (ES) č. 1829/2003 a ktorým sa menia a dopĺňajú nariadenia Komisie (ES) č. 641/2004 a (ES) </w:t>
      </w:r>
      <w:r>
        <w:rPr>
          <w:sz w:val="24"/>
          <w:lang w:val="sk-SK"/>
        </w:rPr>
        <w:t>č. 1981/2006 (Ú. v. EÚ L 157, 8.6.2013, s. </w:t>
      </w:r>
      <w:r>
        <w:rPr>
          <w:sz w:val="24"/>
          <w:lang w:val="sk-SK"/>
        </w:rPr>
        <w:t>1, ELI: </w:t>
      </w:r>
      <w:hyperlink r:id="rId11" w:tooltip="Umožňuje prístup k tomuto dokumentu prostredníctvom jednotného identifikátora zdroja ELI." w:history="1">
        <w:r>
          <w:rPr>
            <w:rStyle w:val="Hyperlink"/>
            <w:sz w:val="24"/>
            <w:lang w:val="sk-SK"/>
          </w:rPr>
          <w:t>http://data.europa.eu/eli/reg_impl/2013/503/oj</w:t>
        </w:r>
      </w:hyperlink>
      <w:r>
        <w:rPr>
          <w:sz w:val="24"/>
          <w:lang w:val="sk-SK"/>
        </w:rPr>
        <w:t>)</w:t>
      </w:r>
      <w:r>
        <w:rPr>
          <w:sz w:val="24"/>
          <w:lang w:val="sk-SK"/>
        </w:rPr>
        <w:t>.</w:t>
      </w:r>
    </w:p>
  </w:footnote>
  <w:footnote w:id="13">
    <w:p w:rsidR="00D82240" w:rsidRDefault="00DB693A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Uznesenie Európskeho parlamentu z 11. novembra 2020 o návrhu vykonávacieho rozhodnutia Komisie, ktorým sa povoľuje umiestniť na trh produkty, ktoré obsahujú geneticky modifikovanú kukuricu MON 87427 × MON 87460 × MON 89034 × MIR162 × NK603 a geneticky</w:t>
      </w:r>
      <w:r>
        <w:rPr>
          <w:sz w:val="24"/>
          <w:lang w:val="sk-SK"/>
        </w:rPr>
        <w:t xml:space="preserve"> modifikovanú kukuricu obsahujúcu kombináciu dvoch, troch alebo štyroch genetických modifikácií MON 87427, MON 87460, MON 89034, MIR162 a NK603, sú z nich zložené alebo vyrobené, podľa nariadenia Európskeho parlamentu a Rady (ES) č. 1829/2003 (Ú. v. EÚ C 4</w:t>
      </w:r>
      <w:r>
        <w:rPr>
          <w:sz w:val="24"/>
          <w:lang w:val="sk-SK"/>
        </w:rPr>
        <w:t xml:space="preserve">15, 13.10.2021, s. 15). </w:t>
      </w:r>
    </w:p>
  </w:footnote>
  <w:footnote w:id="14">
    <w:p w:rsidR="00D82240" w:rsidRDefault="00DB693A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hyperlink r:id="rId12" w:history="1">
        <w:r>
          <w:rPr>
            <w:rStyle w:val="Hyperlink"/>
            <w:sz w:val="24"/>
            <w:lang w:val="sk-SK"/>
          </w:rPr>
          <w:t>https://www.who.int/campaigns/world-amr-awareness-week/2024/amr-is-invisible-i-am-not</w:t>
        </w:r>
      </w:hyperlink>
    </w:p>
  </w:footnote>
  <w:footnote w:id="15">
    <w:p w:rsidR="00D82240" w:rsidRDefault="00DB693A">
      <w:pPr>
        <w:pStyle w:val="FootnoteText"/>
        <w:ind w:left="567" w:hanging="567"/>
        <w:rPr>
          <w:color w:val="1F497D"/>
          <w:sz w:val="24"/>
          <w:szCs w:val="22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hyperlink r:id="rId13" w:history="1">
        <w:r>
          <w:rPr>
            <w:rStyle w:val="Hyperlink"/>
            <w:sz w:val="24"/>
            <w:lang w:val="sk-SK"/>
          </w:rPr>
          <w:t>https://efsa.onlinelibrary.wiley.com/action/downloadSupplement?</w:t>
        </w:r>
        <w:r>
          <w:rPr>
            <w:rStyle w:val="Hyperlink"/>
            <w:sz w:val="24"/>
            <w:lang w:val="sk-SK"/>
          </w:rPr>
          <w:br/>
          <w:t>doi=10.2903%2Fj.efsa.2023.8031&amp;file=efs28031-sup-0008-Annex8.pdf</w:t>
        </w:r>
      </w:hyperlink>
      <w:r>
        <w:rPr>
          <w:sz w:val="24"/>
          <w:lang w:val="sk-SK"/>
        </w:rPr>
        <w:t>.</w:t>
      </w:r>
    </w:p>
  </w:footnote>
  <w:footnote w:id="16">
    <w:p w:rsidR="00D82240" w:rsidRDefault="00DB693A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Ak udelenie povole</w:t>
      </w:r>
      <w:r>
        <w:rPr>
          <w:sz w:val="24"/>
          <w:lang w:val="sk-SK"/>
        </w:rPr>
        <w:t>nia v odvolacom výbore neschváli kvalifikovaná väčšina členských štátov, Komisia podľa článku 6 ods. 3 nariadenia (EÚ) č. 182/2011 môže, ale nemusí dané povolenie udeliť.</w:t>
      </w:r>
    </w:p>
  </w:footnote>
  <w:footnote w:id="17">
    <w:p w:rsidR="00D82240" w:rsidRDefault="00DB693A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Nariadenie Európskeho parlamentu a Rady (ES) č. 178/2002 z 28. januára 2002, </w:t>
      </w:r>
      <w:r>
        <w:rPr>
          <w:sz w:val="24"/>
          <w:lang w:val="sk-SK"/>
        </w:rPr>
        <w:t>ktorým sa ustanovujú všeobecné zásady a požiadavky potravinového práva, zriaďuje Európsky úrad pre bezpečnosť potravín a stanovujú postupy v záležitostiach bezpečnosti potravín (Ú. v. ES L 31, 1.2.2002, s. </w:t>
      </w:r>
      <w:r>
        <w:rPr>
          <w:sz w:val="24"/>
          <w:lang w:val="sk-SK"/>
        </w:rPr>
        <w:t>1, ELI: </w:t>
      </w:r>
      <w:hyperlink r:id="rId14" w:tooltip="Umožňuje prístup k tomuto dokumentu prostredníctvom jednotného identifikátora zdroja ELI." w:history="1">
        <w:r>
          <w:rPr>
            <w:rStyle w:val="Hyperlink"/>
            <w:sz w:val="24"/>
            <w:lang w:val="sk-SK"/>
          </w:rPr>
          <w:t>https://eur-lex.europa.eu/eli/reg/2002/178/oj?eliuri=eli%3Areg%3A2002%3A178%3Aoj&amp;locale=sk</w:t>
        </w:r>
      </w:hyperlink>
      <w:r>
        <w:rPr>
          <w:sz w:val="24"/>
          <w:lang w:val="sk-SK"/>
        </w:rPr>
        <w:t>).</w:t>
      </w:r>
    </w:p>
  </w:footnote>
  <w:footnote w:id="18">
    <w:p w:rsidR="00D82240" w:rsidRDefault="00DB693A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hyperlink r:id="rId15" w:history="1">
        <w:r>
          <w:rPr>
            <w:rStyle w:val="Hyperlink"/>
            <w:sz w:val="24"/>
            <w:lang w:val="sk-SK"/>
          </w:rPr>
          <w:t>https://tillymetz.lu/wp-content/uploads/2020/09/Co-signed-letter-MEP-Metz.pdf</w:t>
        </w:r>
      </w:hyperlink>
      <w:r>
        <w:rPr>
          <w:rStyle w:val="Hyperlink"/>
          <w:sz w:val="24"/>
          <w:lang w:val="sk-SK"/>
        </w:rPr>
        <w:t>.</w:t>
      </w:r>
    </w:p>
  </w:footnote>
  <w:footnote w:id="19">
    <w:p w:rsidR="00D82240" w:rsidRDefault="00DB693A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Uznesenie Európskeho parlamentu z 15. januára 2020 o Európskej zelenej dohode (Ú</w:t>
      </w:r>
      <w:r>
        <w:rPr>
          <w:sz w:val="24"/>
          <w:lang w:val="sk-SK"/>
        </w:rPr>
        <w:t>. v. EÚ C 270, 7.7.2021, s. 2), odsek 102.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240" w:rsidRDefault="00D8224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240" w:rsidRDefault="00D8224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240" w:rsidRDefault="00D8224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45/2024"/>
    <w:docVar w:name="dvlangue" w:val="SK"/>
    <w:docVar w:name="dvnumam" w:val="0"/>
    <w:docVar w:name="dvpe" w:val="764.959"/>
    <w:docVar w:name="dvtitre" w:val="Uznesenie Európskeho parlamentu o návrhu vykonávacieho rozhodnutia Komisie, ktorým sa podľa nariadenia Európskeho parlamentu a Rady (ES) č. 1829/2003 povoľuje umiestňovať na trh výrobky, ktoré obsahujú geneticky modifikovanú bavlnu COT102, sú z nej zložené alebo vyrobené(D098499/04 – 2024/2835(RSP))"/>
  </w:docVars>
  <w:rsids>
    <w:rsidRoot w:val="00D82240"/>
    <w:rsid w:val="00D82240"/>
    <w:rsid w:val="00DB6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B7EE69"/>
  <w15:chartTrackingRefBased/>
  <w15:docId w15:val="{A3852B7C-D8A5-4752-A7D7-739C324B3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stbiotech.org/wp-content/uploads/2023/12/RAGES_report-Insecticidal-Bt-plants.pdf" TargetMode="External"/><Relationship Id="rId13" Type="http://schemas.openxmlformats.org/officeDocument/2006/relationships/hyperlink" Target="https://efsa.onlinelibrary.wiley.com/action/downloadSupplement?doi=10.2903/j.efsa.2023.8031&amp;file=efs28031-sup-0008-Annex8.pdf" TargetMode="External"/><Relationship Id="rId3" Type="http://schemas.openxmlformats.org/officeDocument/2006/relationships/hyperlink" Target="http://data.europa.eu/eli/reg/2011/182/oj" TargetMode="External"/><Relationship Id="rId7" Type="http://schemas.openxmlformats.org/officeDocument/2006/relationships/hyperlink" Target="https://doi.org/10.3389/fenvs.2015.00071" TargetMode="External"/><Relationship Id="rId12" Type="http://schemas.openxmlformats.org/officeDocument/2006/relationships/hyperlink" Target="https://www.who.int/campaigns/world-amr-awareness-week/2024/amr-is-invisible-i-am-not" TargetMode="External"/><Relationship Id="rId2" Type="http://schemas.openxmlformats.org/officeDocument/2006/relationships/hyperlink" Target="http://data.europa.eu/eli/reg/2003/1829/oj" TargetMode="External"/><Relationship Id="rId1" Type="http://schemas.openxmlformats.org/officeDocument/2006/relationships/hyperlink" Target="http://data.europa.eu/eli/dec_impl/2024/2627/oj" TargetMode="External"/><Relationship Id="rId6" Type="http://schemas.openxmlformats.org/officeDocument/2006/relationships/hyperlink" Target="https://onlinelibrary.wiley.com/doi/full/10.1002/jat.3252" TargetMode="External"/><Relationship Id="rId11" Type="http://schemas.openxmlformats.org/officeDocument/2006/relationships/hyperlink" Target="http://data.europa.eu/eli/reg_impl/2013/503/oj" TargetMode="External"/><Relationship Id="rId5" Type="http://schemas.openxmlformats.org/officeDocument/2006/relationships/hyperlink" Target="https://pubs.acs.org/doi/abs/10.1021/jf00094a051" TargetMode="External"/><Relationship Id="rId15" Type="http://schemas.openxmlformats.org/officeDocument/2006/relationships/hyperlink" Target="https://tillymetz.lu/wp-content/uploads/2020/09/Co-signed-letter-MEP-Metz.pdf" TargetMode="External"/><Relationship Id="rId10" Type="http://schemas.openxmlformats.org/officeDocument/2006/relationships/hyperlink" Target="http://data.europa.eu/eli/dir/2001/18/oj" TargetMode="External"/><Relationship Id="rId4" Type="http://schemas.openxmlformats.org/officeDocument/2006/relationships/hyperlink" Target="https://doi.org/10.2903/j.efsa.2023.8031" TargetMode="External"/><Relationship Id="rId9" Type="http://schemas.openxmlformats.org/officeDocument/2006/relationships/hyperlink" Target="https://commission.europa.eu/document/2c64e540-c07a-4376-a1da-368d289f4afe_en" TargetMode="External"/><Relationship Id="rId14" Type="http://schemas.openxmlformats.org/officeDocument/2006/relationships/hyperlink" Target="https://eur-lex.europa.eu/eli/reg/2002/178/oj?eliuri=eli%3Areg%3A2002%3A178%3Aoj&amp;locale=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581E1A-30E7-4396-9D23-9E25DBC80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1846</Words>
  <Characters>11159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VILEM Jan</cp:lastModifiedBy>
  <cp:revision>2</cp:revision>
  <cp:lastPrinted>2004-11-19T15:42:00Z</cp:lastPrinted>
  <dcterms:created xsi:type="dcterms:W3CDTF">2025-01-07T08:41:00Z</dcterms:created>
  <dcterms:modified xsi:type="dcterms:W3CDTF">2025-01-07T08:41:00Z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B10-0145/2024</vt:lpwstr>
  </property>
  <property fmtid="{D5CDD505-2E9C-101B-9397-08002B2CF9AE}" pid="4" name="&lt;Type&gt;">
    <vt:lpwstr>RR</vt:lpwstr>
  </property>
</Properties>
</file>