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70EC" w:rsidTr="0010095E">
        <w:trPr>
          <w:trHeight w:hRule="exact" w:val="1418"/>
        </w:trPr>
        <w:tc>
          <w:tcPr>
            <w:tcW w:w="6804" w:type="dxa"/>
            <w:shd w:val="clear" w:color="auto" w:fill="auto"/>
            <w:vAlign w:val="center"/>
          </w:tcPr>
          <w:p w:rsidR="00751A4A" w:rsidRPr="006270EC" w:rsidRDefault="001C1617" w:rsidP="0010095E">
            <w:pPr>
              <w:pStyle w:val="EPName"/>
            </w:pPr>
            <w:r w:rsidRPr="006270EC">
              <w:t>Европейски</w:t>
            </w:r>
            <w:r w:rsidR="000A24B8" w:rsidRPr="006270EC">
              <w:t xml:space="preserve"> парламент</w:t>
            </w:r>
          </w:p>
          <w:p w:rsidR="00751A4A" w:rsidRPr="006270EC" w:rsidRDefault="005F1B17" w:rsidP="005F1B17">
            <w:pPr>
              <w:pStyle w:val="EPTerm"/>
              <w:rPr>
                <w:rStyle w:val="HideTWBExt"/>
                <w:noProof w:val="0"/>
                <w:vanish w:val="0"/>
                <w:color w:val="auto"/>
              </w:rPr>
            </w:pPr>
            <w:r w:rsidRPr="006270EC">
              <w:t>2024</w:t>
            </w:r>
            <w:r w:rsidR="001C1617">
              <w:t> – </w:t>
            </w:r>
            <w:r w:rsidR="00817416" w:rsidRPr="006270EC">
              <w:t>202</w:t>
            </w:r>
            <w:r w:rsidRPr="006270EC">
              <w:t>9</w:t>
            </w:r>
          </w:p>
        </w:tc>
        <w:tc>
          <w:tcPr>
            <w:tcW w:w="2268" w:type="dxa"/>
            <w:shd w:val="clear" w:color="auto" w:fill="auto"/>
          </w:tcPr>
          <w:p w:rsidR="00751A4A" w:rsidRPr="006270EC" w:rsidRDefault="00187494" w:rsidP="0010095E">
            <w:pPr>
              <w:pStyle w:val="EPLogo"/>
            </w:pPr>
            <w:r w:rsidRPr="006270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70EC" w:rsidRDefault="00D058B8" w:rsidP="004C5D52">
      <w:pPr>
        <w:pStyle w:val="LineTop"/>
      </w:pPr>
    </w:p>
    <w:p w:rsidR="00680577" w:rsidRPr="006270EC" w:rsidRDefault="000A24B8" w:rsidP="00680577">
      <w:pPr>
        <w:pStyle w:val="EPBodyTA1"/>
      </w:pPr>
      <w:r w:rsidRPr="006270EC">
        <w:t>ПРИЕТИ ТЕКСТОВЕ</w:t>
      </w:r>
    </w:p>
    <w:p w:rsidR="00D058B8" w:rsidRPr="006270EC" w:rsidRDefault="00D058B8" w:rsidP="00D058B8">
      <w:pPr>
        <w:pStyle w:val="LineBottom"/>
      </w:pPr>
    </w:p>
    <w:p w:rsidR="000A24B8" w:rsidRPr="006270EC" w:rsidRDefault="000A24B8" w:rsidP="000A24B8">
      <w:pPr>
        <w:pStyle w:val="ATHeading1"/>
      </w:pPr>
      <w:bookmarkStart w:id="0" w:name="TANumber"/>
      <w:r w:rsidRPr="006270EC">
        <w:t>P10_TA(2024)00</w:t>
      </w:r>
      <w:r w:rsidR="00A06942">
        <w:rPr>
          <w:lang w:val="en-GB"/>
        </w:rPr>
        <w:t>4</w:t>
      </w:r>
      <w:r w:rsidRPr="006270EC">
        <w:t>0</w:t>
      </w:r>
      <w:bookmarkEnd w:id="0"/>
    </w:p>
    <w:p w:rsidR="000A24B8" w:rsidRPr="006270EC" w:rsidRDefault="000A24B8" w:rsidP="001C1617">
      <w:pPr>
        <w:pStyle w:val="ATHeading2"/>
      </w:pPr>
      <w:bookmarkStart w:id="1" w:name="title"/>
      <w:r w:rsidRPr="006270EC">
        <w:t>Генетично модифицирана царевица MON</w:t>
      </w:r>
      <w:r w:rsidR="001C1617">
        <w:t xml:space="preserve"> </w:t>
      </w:r>
      <w:r w:rsidRPr="006270EC">
        <w:t xml:space="preserve">89034 × 1507 × MON 88017 x 59122 и осем нейни </w:t>
      </w:r>
      <w:proofErr w:type="spellStart"/>
      <w:r w:rsidRPr="006270EC">
        <w:t>подкомбинации</w:t>
      </w:r>
      <w:bookmarkEnd w:id="1"/>
      <w:proofErr w:type="spellEnd"/>
    </w:p>
    <w:p w:rsidR="000A24B8" w:rsidRPr="006270EC" w:rsidRDefault="000A24B8" w:rsidP="000A24B8">
      <w:pPr>
        <w:rPr>
          <w:i/>
          <w:vanish/>
        </w:rPr>
      </w:pPr>
      <w:r w:rsidRPr="006270EC">
        <w:rPr>
          <w:i/>
        </w:rPr>
        <w:fldChar w:fldCharType="begin"/>
      </w:r>
      <w:r w:rsidRPr="006270EC">
        <w:rPr>
          <w:i/>
        </w:rPr>
        <w:instrText xml:space="preserve"> TC"(</w:instrText>
      </w:r>
      <w:bookmarkStart w:id="2" w:name="DocNumber"/>
      <w:r w:rsidRPr="006270EC">
        <w:rPr>
          <w:i/>
        </w:rPr>
        <w:instrText>B10-0147/2024</w:instrText>
      </w:r>
      <w:bookmarkEnd w:id="2"/>
      <w:r w:rsidRPr="006270EC">
        <w:rPr>
          <w:i/>
        </w:rPr>
        <w:instrText xml:space="preserve">)"\l3 \n&gt; \* MERGEFORMAT </w:instrText>
      </w:r>
      <w:r w:rsidRPr="006270EC">
        <w:rPr>
          <w:i/>
        </w:rPr>
        <w:fldChar w:fldCharType="end"/>
      </w:r>
    </w:p>
    <w:p w:rsidR="000A24B8" w:rsidRPr="006270EC" w:rsidRDefault="000A24B8" w:rsidP="000A24B8">
      <w:pPr>
        <w:rPr>
          <w:vanish/>
        </w:rPr>
      </w:pPr>
      <w:bookmarkStart w:id="3" w:name="PE"/>
      <w:r w:rsidRPr="006270EC">
        <w:rPr>
          <w:vanish/>
        </w:rPr>
        <w:t>PE763.291</w:t>
      </w:r>
      <w:bookmarkEnd w:id="3"/>
    </w:p>
    <w:p w:rsidR="000A24B8" w:rsidRPr="006270EC" w:rsidRDefault="000A24B8" w:rsidP="001C1617">
      <w:pPr>
        <w:pStyle w:val="ATHeading3"/>
      </w:pPr>
      <w:bookmarkStart w:id="4" w:name="Sujet"/>
      <w:r w:rsidRPr="006270EC">
        <w:t xml:space="preserve">Резолюция на Европейския парламент от </w:t>
      </w:r>
      <w:r w:rsidR="001C1617">
        <w:t>26 ноември</w:t>
      </w:r>
      <w:r w:rsidRPr="006270EC">
        <w:t xml:space="preserve"> 2024 г. относно </w:t>
      </w:r>
      <w:r w:rsidR="00314B20">
        <w:t>Р</w:t>
      </w:r>
      <w:r w:rsidRPr="006270EC">
        <w:t xml:space="preserve">ешение за изпълнение </w:t>
      </w:r>
      <w:r w:rsidR="00314B20">
        <w:t>(ЕС</w:t>
      </w:r>
      <w:r w:rsidR="00314B20" w:rsidRPr="00314B20">
        <w:t xml:space="preserve">) 2024/2629 </w:t>
      </w:r>
      <w:r w:rsidRPr="006270EC">
        <w:t xml:space="preserve">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MON 88017 × 59122 и осем нейни </w:t>
      </w:r>
      <w:proofErr w:type="spellStart"/>
      <w:r w:rsidRPr="006270EC">
        <w:t>подкомбинации</w:t>
      </w:r>
      <w:proofErr w:type="spellEnd"/>
      <w:r w:rsidRPr="006270EC">
        <w:t>, съгласно Регламент (ЕО) № 1829/2003 на Европейския парламент и на Съвета</w:t>
      </w:r>
      <w:bookmarkEnd w:id="4"/>
      <w:r w:rsidRPr="006270EC">
        <w:t xml:space="preserve"> </w:t>
      </w:r>
      <w:bookmarkStart w:id="5" w:name="References"/>
      <w:r w:rsidRPr="006270EC">
        <w:t>(2024/2834(RSP))</w:t>
      </w:r>
      <w:bookmarkEnd w:id="5"/>
    </w:p>
    <w:p w:rsidR="002A76DA" w:rsidRPr="006270EC" w:rsidRDefault="002A76DA" w:rsidP="002A76DA">
      <w:pPr>
        <w:pStyle w:val="EPComma"/>
      </w:pPr>
      <w:bookmarkStart w:id="6" w:name="TextBodyBegin"/>
      <w:bookmarkEnd w:id="6"/>
      <w:r w:rsidRPr="006270EC">
        <w:rPr>
          <w:i/>
        </w:rPr>
        <w:t>Европейският парламент</w:t>
      </w:r>
      <w:r w:rsidRPr="006270EC">
        <w:t>,</w:t>
      </w:r>
    </w:p>
    <w:p w:rsidR="002A76DA" w:rsidRPr="006270EC" w:rsidRDefault="002A76DA" w:rsidP="002A76DA">
      <w:pPr>
        <w:pStyle w:val="NormalHanging12a"/>
      </w:pPr>
      <w:r w:rsidRPr="006270EC">
        <w:t>–</w:t>
      </w:r>
      <w:r w:rsidRPr="006270EC">
        <w:tab/>
        <w:t xml:space="preserve">като взе предвид </w:t>
      </w:r>
      <w:r w:rsidR="00314B20">
        <w:t>Р</w:t>
      </w:r>
      <w:r w:rsidRPr="006270EC">
        <w:t xml:space="preserve">ешение за изпълнение </w:t>
      </w:r>
      <w:r w:rsidR="00314B20">
        <w:t>(ЕС</w:t>
      </w:r>
      <w:r w:rsidR="00314B20" w:rsidRPr="00314B20">
        <w:t xml:space="preserve">) 2024/2629 </w:t>
      </w:r>
      <w:r w:rsidRPr="006270EC">
        <w:t xml:space="preserve">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MON 88017 × 59122 и осем нейни </w:t>
      </w:r>
      <w:proofErr w:type="spellStart"/>
      <w:r w:rsidRPr="006270EC">
        <w:t>подкомбинации</w:t>
      </w:r>
      <w:proofErr w:type="spellEnd"/>
      <w:r w:rsidRPr="006270EC">
        <w:t>, съгласно Регламент (ЕО) № 1829/2003 на Европейския парламент и на Съвета</w:t>
      </w:r>
      <w:r w:rsidR="00314B20">
        <w:rPr>
          <w:rStyle w:val="FootnoteReference"/>
        </w:rPr>
        <w:footnoteReference w:id="1"/>
      </w:r>
      <w:r w:rsidRPr="006270EC">
        <w:t>,</w:t>
      </w:r>
    </w:p>
    <w:p w:rsidR="002A76DA" w:rsidRPr="006270EC" w:rsidRDefault="002A76DA" w:rsidP="002A76DA">
      <w:pPr>
        <w:pStyle w:val="NormalHanging12a"/>
        <w:rPr>
          <w:rFonts w:eastAsia="Calibri"/>
        </w:rPr>
      </w:pPr>
      <w:r w:rsidRPr="006270EC">
        <w:t>–</w:t>
      </w:r>
      <w:r w:rsidRPr="006270EC">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6270EC">
        <w:rPr>
          <w:rStyle w:val="FootnoteReference"/>
        </w:rPr>
        <w:footnoteReference w:id="2"/>
      </w:r>
      <w:r w:rsidRPr="006270EC">
        <w:t>, и по-специално член 11, параграф 3 и член 23, параграф 3 от него,</w:t>
      </w:r>
    </w:p>
    <w:p w:rsidR="002A76DA" w:rsidRPr="006270EC" w:rsidRDefault="002A76DA" w:rsidP="002A76DA">
      <w:pPr>
        <w:pStyle w:val="NormalHanging12a"/>
      </w:pPr>
      <w:r w:rsidRPr="006270EC">
        <w:t>–</w:t>
      </w:r>
      <w:r w:rsidRPr="006270EC">
        <w:tab/>
        <w:t xml:space="preserve">като взе предвид </w:t>
      </w:r>
      <w:r w:rsidRPr="006270EC">
        <w:rPr>
          <w:shd w:val="clear" w:color="auto" w:fill="FFFFFF"/>
        </w:rPr>
        <w:t>гласуването на 8 юли 2024 г. в Постоянния комитет по растенията, животните, храните и фуражите, посочен в член 35 от Регламент (ЕО) № 1829/2003, при което не беше изразено становище, както и гласуването в Апелативния комитет на 3 септември 2024 г., при което също не</w:t>
      </w:r>
      <w:r w:rsidRPr="006270EC">
        <w:t xml:space="preserve"> беше изразено становище,</w:t>
      </w:r>
    </w:p>
    <w:p w:rsidR="002A76DA" w:rsidRPr="006270EC" w:rsidRDefault="002A76DA" w:rsidP="002A76DA">
      <w:pPr>
        <w:pStyle w:val="NormalHanging12a"/>
      </w:pPr>
      <w:r w:rsidRPr="006270EC">
        <w:t>–</w:t>
      </w:r>
      <w:r w:rsidRPr="006270EC">
        <w:tab/>
        <w:t>като взе предвид член 11 от Регламент (ЕС) № 182/2011 на Европейския парламент и на Съвета от 16 февруари 2011 година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6270EC">
        <w:rPr>
          <w:rStyle w:val="FootnoteReference"/>
        </w:rPr>
        <w:footnoteReference w:id="3"/>
      </w:r>
      <w:r w:rsidRPr="006270EC">
        <w:t>,</w:t>
      </w:r>
    </w:p>
    <w:p w:rsidR="002A76DA" w:rsidRPr="006270EC" w:rsidRDefault="002A76DA" w:rsidP="002A76DA">
      <w:pPr>
        <w:pStyle w:val="NormalHanging12a"/>
      </w:pPr>
      <w:r w:rsidRPr="006270EC">
        <w:lastRenderedPageBreak/>
        <w:t>–</w:t>
      </w:r>
      <w:r w:rsidRPr="006270EC">
        <w:tab/>
        <w:t>като взе предвид становището, прието от Европейския орган за безопасност на храните (ЕОБХ) на 13 март 2024 г. и публикувано на 29 април 2024 г.</w:t>
      </w:r>
      <w:r w:rsidRPr="006270EC">
        <w:rPr>
          <w:rStyle w:val="FootnoteReference"/>
        </w:rPr>
        <w:footnoteReference w:id="4"/>
      </w:r>
      <w:r w:rsidRPr="006270EC">
        <w:t>,</w:t>
      </w:r>
    </w:p>
    <w:p w:rsidR="002A76DA" w:rsidRPr="006270EC" w:rsidRDefault="002A76DA" w:rsidP="002A76DA">
      <w:pPr>
        <w:pStyle w:val="NormalHanging12a"/>
        <w:rPr>
          <w:szCs w:val="24"/>
          <w:shd w:val="clear" w:color="auto" w:fill="FFFFFF"/>
        </w:rPr>
      </w:pPr>
      <w:r w:rsidRPr="006270EC">
        <w:t>–</w:t>
      </w:r>
      <w:r w:rsidRPr="006270EC">
        <w:rPr>
          <w:shd w:val="clear" w:color="auto" w:fill="FFFFFF"/>
        </w:rPr>
        <w:tab/>
        <w:t>като взе предвид предишните си резолюции, в които възразява срещу разрешаването на генетично модифицирани организми („ГМО“)</w:t>
      </w:r>
      <w:r w:rsidRPr="006270EC">
        <w:rPr>
          <w:szCs w:val="24"/>
          <w:shd w:val="clear" w:color="auto" w:fill="FFFFFF"/>
          <w:vertAlign w:val="superscript"/>
        </w:rPr>
        <w:footnoteReference w:id="5"/>
      </w:r>
      <w:r w:rsidRPr="006270EC">
        <w:rPr>
          <w:shd w:val="clear" w:color="auto" w:fill="FFFFFF"/>
        </w:rPr>
        <w:t>,</w:t>
      </w:r>
    </w:p>
    <w:p w:rsidR="002A76DA" w:rsidRPr="006270EC" w:rsidRDefault="002A76DA" w:rsidP="002A76DA">
      <w:pPr>
        <w:pStyle w:val="NormalHanging12a"/>
      </w:pPr>
      <w:r w:rsidRPr="006270EC">
        <w:t>–</w:t>
      </w:r>
      <w:r w:rsidRPr="006270EC">
        <w:tab/>
        <w:t xml:space="preserve">като взе предвид член 115, параграфи 2 и 3 от своя </w:t>
      </w:r>
      <w:r w:rsidR="001C1617">
        <w:t>П</w:t>
      </w:r>
      <w:r w:rsidRPr="006270EC">
        <w:t>равилник</w:t>
      </w:r>
      <w:r w:rsidR="001C1617">
        <w:t xml:space="preserve"> за дейността</w:t>
      </w:r>
      <w:r w:rsidRPr="006270EC">
        <w:t>,</w:t>
      </w:r>
    </w:p>
    <w:p w:rsidR="002A76DA" w:rsidRPr="006270EC" w:rsidRDefault="002A76DA" w:rsidP="002A76DA">
      <w:pPr>
        <w:pStyle w:val="NormalHanging12a"/>
      </w:pPr>
      <w:r w:rsidRPr="006270EC">
        <w:t>–</w:t>
      </w:r>
      <w:r w:rsidRPr="006270EC">
        <w:tab/>
        <w:t>като взе предвид предложението за резолюция на комисията по околна среда, обществено здраве и безопасност на храните,</w:t>
      </w:r>
    </w:p>
    <w:p w:rsidR="002A76DA" w:rsidRPr="006270EC" w:rsidRDefault="002A76DA" w:rsidP="002A76DA">
      <w:pPr>
        <w:pStyle w:val="NormalHanging12a"/>
        <w:ind w:left="709" w:hanging="709"/>
      </w:pPr>
      <w:r w:rsidRPr="006270EC">
        <w:t>А.</w:t>
      </w:r>
      <w:r w:rsidRPr="006270EC">
        <w:tab/>
        <w:t xml:space="preserve">като има предвид, че на 7 октомври 2022 г. дружеството </w:t>
      </w:r>
      <w:proofErr w:type="spellStart"/>
      <w:r w:rsidRPr="006270EC">
        <w:t>Corteva</w:t>
      </w:r>
      <w:proofErr w:type="spellEnd"/>
      <w:r w:rsidRPr="006270EC">
        <w:t xml:space="preserve"> </w:t>
      </w:r>
      <w:proofErr w:type="spellStart"/>
      <w:r w:rsidRPr="006270EC">
        <w:t>Agriscience</w:t>
      </w:r>
      <w:proofErr w:type="spellEnd"/>
      <w:r w:rsidRPr="006270EC">
        <w:t xml:space="preserve"> </w:t>
      </w:r>
      <w:proofErr w:type="spellStart"/>
      <w:r w:rsidRPr="006270EC">
        <w:t>Belgium</w:t>
      </w:r>
      <w:proofErr w:type="spellEnd"/>
      <w:r w:rsidRPr="006270EC">
        <w:t xml:space="preserve"> BV, със седалище в Белгия, от името на </w:t>
      </w:r>
      <w:proofErr w:type="spellStart"/>
      <w:r w:rsidRPr="006270EC">
        <w:t>Corteva</w:t>
      </w:r>
      <w:proofErr w:type="spellEnd"/>
      <w:r w:rsidRPr="006270EC">
        <w:t xml:space="preserve"> </w:t>
      </w:r>
      <w:proofErr w:type="spellStart"/>
      <w:r w:rsidRPr="006270EC">
        <w:t>Agriscience</w:t>
      </w:r>
      <w:proofErr w:type="spellEnd"/>
      <w:r w:rsidRPr="006270EC">
        <w:t xml:space="preserve"> LLC със седалище в Съединените щати, и дружеството Bayer </w:t>
      </w:r>
      <w:proofErr w:type="spellStart"/>
      <w:r w:rsidRPr="006270EC">
        <w:t>Agriculture</w:t>
      </w:r>
      <w:proofErr w:type="spellEnd"/>
      <w:r w:rsidRPr="006270EC">
        <w:t xml:space="preserve"> BV, със седалище в Белгия, от името на Bayer </w:t>
      </w:r>
      <w:proofErr w:type="spellStart"/>
      <w:r w:rsidRPr="006270EC">
        <w:t>CropScience</w:t>
      </w:r>
      <w:proofErr w:type="spellEnd"/>
      <w:r w:rsidRPr="006270EC">
        <w:t xml:space="preserve"> LP със седалище в Съединените щати, съвместно подадоха заявление до Комисията за подновяване на разрешението за генетично модифицираната царевица MON 89034 × 1507 × MON 88017 × 59122 и осем нейни </w:t>
      </w:r>
      <w:proofErr w:type="spellStart"/>
      <w:r w:rsidRPr="006270EC">
        <w:t>подкомбинации</w:t>
      </w:r>
      <w:proofErr w:type="spellEnd"/>
      <w:r w:rsidRPr="006270EC">
        <w:t xml:space="preserve"> („генетично модифицираната царевица“);</w:t>
      </w:r>
    </w:p>
    <w:p w:rsidR="002A76DA" w:rsidRPr="006270EC" w:rsidRDefault="002A76DA" w:rsidP="002A76DA">
      <w:pPr>
        <w:pStyle w:val="NormalHanging12a"/>
        <w:ind w:left="709" w:hanging="709"/>
      </w:pPr>
      <w:r w:rsidRPr="006270EC">
        <w:t>Б.</w:t>
      </w:r>
      <w:r w:rsidRPr="006270EC">
        <w:tab/>
        <w:t>като има предвид, че на 13 март 2024 г. ЕОБХ даде положително становище, което беше публикувано на 29 април 2024 г.;</w:t>
      </w:r>
    </w:p>
    <w:p w:rsidR="002A76DA" w:rsidRPr="006270EC" w:rsidRDefault="002A76DA" w:rsidP="002A76DA">
      <w:pPr>
        <w:pStyle w:val="NormalHanging12a"/>
        <w:ind w:left="709" w:hanging="709"/>
      </w:pPr>
      <w:r w:rsidRPr="006270EC">
        <w:t>В.</w:t>
      </w:r>
      <w:r w:rsidRPr="006270EC">
        <w:tab/>
        <w:t xml:space="preserve">като има предвид, че генетично модифицираната царевица е била модифицирана, за да бъде устойчива на </w:t>
      </w:r>
      <w:proofErr w:type="spellStart"/>
      <w:r w:rsidRPr="006270EC">
        <w:t>глуфосинат</w:t>
      </w:r>
      <w:proofErr w:type="spellEnd"/>
      <w:r w:rsidRPr="006270EC">
        <w:t xml:space="preserve">, </w:t>
      </w:r>
      <w:proofErr w:type="spellStart"/>
      <w:r w:rsidRPr="006270EC">
        <w:t>глифосат</w:t>
      </w:r>
      <w:proofErr w:type="spellEnd"/>
      <w:r w:rsidRPr="006270EC">
        <w:t xml:space="preserve"> и да произвежда инсектициди („</w:t>
      </w:r>
      <w:proofErr w:type="spellStart"/>
      <w:r w:rsidRPr="006270EC">
        <w:t>Bt</w:t>
      </w:r>
      <w:proofErr w:type="spellEnd"/>
      <w:r w:rsidRPr="006270EC">
        <w:t xml:space="preserve"> токсини“); </w:t>
      </w:r>
    </w:p>
    <w:p w:rsidR="002A76DA" w:rsidRPr="00F50F65" w:rsidRDefault="002A76DA" w:rsidP="002A76DA">
      <w:pPr>
        <w:pStyle w:val="NormalHanging12a"/>
        <w:ind w:left="0" w:firstLine="0"/>
        <w:rPr>
          <w:b/>
          <w:i/>
          <w:iCs/>
        </w:rPr>
      </w:pPr>
      <w:r w:rsidRPr="00F50F65">
        <w:rPr>
          <w:b/>
          <w:i/>
          <w:iCs/>
        </w:rPr>
        <w:t>Липса на оценка на добавъчните хербициди</w:t>
      </w:r>
    </w:p>
    <w:p w:rsidR="002A76DA" w:rsidRPr="006270EC" w:rsidRDefault="002A76DA" w:rsidP="002A76DA">
      <w:pPr>
        <w:pStyle w:val="NormalHanging12a"/>
        <w:ind w:left="709" w:hanging="709"/>
      </w:pPr>
      <w:r w:rsidRPr="006270EC">
        <w:t>Г.</w:t>
      </w:r>
      <w:r w:rsidRPr="006270EC">
        <w:tab/>
        <w:t>като има предвид, че в Регламент за изпълнение (ЕС) № 503/2013</w:t>
      </w:r>
      <w:r w:rsidRPr="006270EC">
        <w:rPr>
          <w:rStyle w:val="FootnoteReference"/>
        </w:rPr>
        <w:footnoteReference w:id="6"/>
      </w:r>
      <w:r w:rsidRPr="006270EC">
        <w:t xml:space="preserve"> на Комисията се изисква оценка по въпроса дали очакваните селскостопански практики влияят на резултата от проучваните крайни точки; като има предвид, че съгласно посочения регламент за изпълнение това е от особено значение за растенията, устойчиви на хербициди;</w:t>
      </w:r>
    </w:p>
    <w:p w:rsidR="002A76DA" w:rsidRPr="006270EC" w:rsidRDefault="002A76DA" w:rsidP="002A76DA">
      <w:pPr>
        <w:pStyle w:val="NormalHanging12a"/>
        <w:ind w:left="709" w:hanging="709"/>
      </w:pPr>
      <w:r w:rsidRPr="006270EC">
        <w:t>Д.</w:t>
      </w:r>
      <w:r w:rsidRPr="006270EC">
        <w:tab/>
        <w:t xml:space="preserve">като има предвид, че по-голямата част от генетично модифицираните култури са били генетично модифицирани, за да бъдат устойчиви на един или повече </w:t>
      </w:r>
      <w:r w:rsidRPr="006270EC">
        <w:lastRenderedPageBreak/>
        <w:t>„добавъчни“ хербициди, които могат да се използват по време на отглеждането на генетично модифицираната култура, без тя да загине, както би се случило с неустойчива на хербициди култура; като има предвид, че редица изследвания показват, че генетично модифицираните култури, които са устойчиви на хербициди, водят до по-широка употреба на добавъчни хербициди, до голяма степен поради появата на плевели, които са устойчиви на хербициди</w:t>
      </w:r>
      <w:r w:rsidRPr="006270EC">
        <w:rPr>
          <w:rStyle w:val="FootnoteReference"/>
        </w:rPr>
        <w:footnoteReference w:id="7"/>
      </w:r>
      <w:r w:rsidRPr="006270EC">
        <w:t>;</w:t>
      </w:r>
    </w:p>
    <w:p w:rsidR="002A76DA" w:rsidRPr="006270EC" w:rsidRDefault="002A76DA" w:rsidP="002A76DA">
      <w:pPr>
        <w:pStyle w:val="NormalHanging12a"/>
        <w:ind w:left="709" w:hanging="709"/>
      </w:pPr>
      <w:r w:rsidRPr="006270EC">
        <w:t>Е.</w:t>
      </w:r>
      <w:r w:rsidRPr="006270EC">
        <w:tab/>
        <w:t>като има предвид, че устойчивите на хербициди генетично модифицирани култури принуждават земеделските стопани да използват система за управление на плевелите, която до голяма степен или изцяло е зависима от хербициди, и това се прави чрез начисляване на премия за генетично модифицирани семена, която може да бъде оправдана само ако земеделските стопани, които закупуват такива семена, също така пръскат с добавъчните хербициди; като има предвид, че засилената зависимост от добавъчни хербициди в земеделските стопанства, в които се засаждат генетично модифицирани култури, ускорява появата и разпространението на плевели, устойчиви на тези хербициди, и по този начин води до необходимостта от още по-голяма употреба на хербициди, създавайки своеобразен порочен кръг за земеделските стопани;</w:t>
      </w:r>
    </w:p>
    <w:p w:rsidR="002A76DA" w:rsidRPr="006270EC" w:rsidRDefault="002A76DA" w:rsidP="002A76DA">
      <w:pPr>
        <w:pStyle w:val="NormalHanging12a"/>
        <w:ind w:left="709" w:hanging="709"/>
      </w:pPr>
      <w:r w:rsidRPr="006270EC">
        <w:t>Ж.</w:t>
      </w:r>
      <w:r w:rsidRPr="006270EC">
        <w:tab/>
        <w:t>като има предвид, че неблагоприятните въздействия, произтичащи от прекомерната зависимост от хербициди, ще влошат здравето на почвите, качеството на водата и биологичното разнообразие над и под земята и ще доведат до повишена експозиция на хората и животните, евентуално също и поради увеличаване на остатъчните вещества от хербициди в храните и фуражите;</w:t>
      </w:r>
    </w:p>
    <w:p w:rsidR="002A76DA" w:rsidRPr="006270EC" w:rsidRDefault="002A76DA" w:rsidP="002A76DA">
      <w:pPr>
        <w:pStyle w:val="NormalHanging12a"/>
        <w:ind w:left="709" w:hanging="709"/>
      </w:pPr>
      <w:r w:rsidRPr="006270EC">
        <w:t>З.</w:t>
      </w:r>
      <w:r w:rsidRPr="006270EC">
        <w:tab/>
        <w:t xml:space="preserve">като има предвид, че </w:t>
      </w:r>
      <w:proofErr w:type="spellStart"/>
      <w:r w:rsidRPr="006270EC">
        <w:t>глуфосинатът</w:t>
      </w:r>
      <w:proofErr w:type="spellEnd"/>
      <w:r w:rsidRPr="006270EC">
        <w:t xml:space="preserve"> е класифициран като токсичен за репродукцията (1B) и следователно отговаря на критериите за изключване, определени в Регламент (ЕО) № 1107/2009 на Европейския парламент и на Съвета</w:t>
      </w:r>
      <w:r w:rsidRPr="006270EC">
        <w:rPr>
          <w:rStyle w:val="FootnoteReference"/>
        </w:rPr>
        <w:footnoteReference w:id="8"/>
      </w:r>
      <w:r w:rsidRPr="006270EC">
        <w:t xml:space="preserve">; като има предвид, че одобрението за използване на </w:t>
      </w:r>
      <w:proofErr w:type="spellStart"/>
      <w:r w:rsidRPr="006270EC">
        <w:t>глуфосинат</w:t>
      </w:r>
      <w:proofErr w:type="spellEnd"/>
      <w:r w:rsidRPr="006270EC">
        <w:t xml:space="preserve"> в Съюза изтече на 31 юли 2018 г.; </w:t>
      </w:r>
    </w:p>
    <w:p w:rsidR="002A76DA" w:rsidRPr="006270EC" w:rsidRDefault="002A76DA" w:rsidP="002A76DA">
      <w:pPr>
        <w:pStyle w:val="NormalHanging12a"/>
        <w:ind w:left="709" w:hanging="709"/>
      </w:pPr>
      <w:r w:rsidRPr="006270EC">
        <w:t>И.</w:t>
      </w:r>
      <w:r w:rsidRPr="006270EC">
        <w:tab/>
        <w:t xml:space="preserve">като има предвид, че през ноември 2015 г. ЕОБХ заключи, че е малко вероятно </w:t>
      </w:r>
      <w:proofErr w:type="spellStart"/>
      <w:r w:rsidRPr="006270EC">
        <w:t>глифосатът</w:t>
      </w:r>
      <w:proofErr w:type="spellEnd"/>
      <w:r w:rsidRPr="006270EC">
        <w:t xml:space="preserve"> да е канцерогенен, а през март 2017 г. Европейската агенция по </w:t>
      </w:r>
      <w:r w:rsidRPr="006270EC">
        <w:lastRenderedPageBreak/>
        <w:t xml:space="preserve">химикали заключи, че не е необходимо класифициране; като има предвид, че противно на това през 2015 г. Международната агенция за изследване на рака (специализираната агенция по ракови заболявания на Световната здравна организация) класифицира </w:t>
      </w:r>
      <w:proofErr w:type="spellStart"/>
      <w:r w:rsidRPr="006270EC">
        <w:t>глифосата</w:t>
      </w:r>
      <w:proofErr w:type="spellEnd"/>
      <w:r w:rsidRPr="006270EC">
        <w:t xml:space="preserve"> като вещество, вероятно канцерогенно за хората; като има предвид, че редица неотдавнашни рецензирани научни изследвания потвърждават канцерогенния потенциал на </w:t>
      </w:r>
      <w:proofErr w:type="spellStart"/>
      <w:r w:rsidRPr="006270EC">
        <w:t>глифосата</w:t>
      </w:r>
      <w:proofErr w:type="spellEnd"/>
      <w:r w:rsidRPr="006270EC">
        <w:rPr>
          <w:rStyle w:val="FootnoteReference"/>
        </w:rPr>
        <w:footnoteReference w:id="9"/>
      </w:r>
      <w:r w:rsidRPr="006270EC">
        <w:t xml:space="preserve">; </w:t>
      </w:r>
    </w:p>
    <w:p w:rsidR="002A76DA" w:rsidRPr="006270EC" w:rsidRDefault="002A76DA" w:rsidP="002A76DA">
      <w:pPr>
        <w:pStyle w:val="NormalHanging12a"/>
        <w:ind w:left="709" w:hanging="709"/>
      </w:pPr>
      <w:r w:rsidRPr="006270EC">
        <w:t>Й.</w:t>
      </w:r>
      <w:r w:rsidRPr="006270EC">
        <w:tab/>
        <w:t xml:space="preserve">като има предвид, че се счита, че оценката на остатъчните вещества от хербициди и техните </w:t>
      </w:r>
      <w:proofErr w:type="spellStart"/>
      <w:r w:rsidRPr="006270EC">
        <w:t>метаболити</w:t>
      </w:r>
      <w:proofErr w:type="spellEnd"/>
      <w:r w:rsidRPr="006270EC">
        <w:t>, открити в генетично модифицираните растения, е извън правомощията на Експертната група на ЕОБХ по генетично модифицирани организми, и че следователно такава оценка не се извършва като част от процеса на разрешаване на генетично модифицирани организми;</w:t>
      </w:r>
    </w:p>
    <w:p w:rsidR="002A76DA" w:rsidRPr="006270EC" w:rsidRDefault="002A76DA" w:rsidP="002A76DA">
      <w:pPr>
        <w:pStyle w:val="NormalHanging12a"/>
        <w:rPr>
          <w:b/>
          <w:i/>
        </w:rPr>
      </w:pPr>
      <w:r w:rsidRPr="006270EC">
        <w:rPr>
          <w:b/>
          <w:i/>
        </w:rPr>
        <w:t xml:space="preserve">Нерешени въпроси относно </w:t>
      </w:r>
      <w:proofErr w:type="spellStart"/>
      <w:r w:rsidRPr="006270EC">
        <w:rPr>
          <w:b/>
          <w:i/>
        </w:rPr>
        <w:t>Bt</w:t>
      </w:r>
      <w:proofErr w:type="spellEnd"/>
      <w:r w:rsidRPr="006270EC">
        <w:rPr>
          <w:b/>
          <w:i/>
        </w:rPr>
        <w:t xml:space="preserve"> токсините</w:t>
      </w:r>
    </w:p>
    <w:p w:rsidR="002A76DA" w:rsidRPr="006270EC" w:rsidRDefault="002A76DA" w:rsidP="002A76DA">
      <w:pPr>
        <w:pStyle w:val="NormalHanging12a"/>
        <w:ind w:left="709" w:hanging="709"/>
      </w:pPr>
      <w:r w:rsidRPr="006270EC">
        <w:t>К.</w:t>
      </w:r>
      <w:r w:rsidRPr="006270EC">
        <w:tab/>
        <w:t xml:space="preserve">като има предвид, че редица проучвания показват, че са наблюдавани странични ефекти, които могат да засегнат имунната система, вследствие на експозиция на </w:t>
      </w:r>
      <w:proofErr w:type="spellStart"/>
      <w:r w:rsidRPr="006270EC">
        <w:t>Bt</w:t>
      </w:r>
      <w:proofErr w:type="spellEnd"/>
      <w:r w:rsidRPr="006270EC">
        <w:t xml:space="preserve"> токсини, както и че някои </w:t>
      </w:r>
      <w:proofErr w:type="spellStart"/>
      <w:r w:rsidRPr="006270EC">
        <w:t>Bt</w:t>
      </w:r>
      <w:proofErr w:type="spellEnd"/>
      <w:r w:rsidRPr="006270EC">
        <w:t xml:space="preserve"> токсини могат да имат </w:t>
      </w:r>
      <w:proofErr w:type="spellStart"/>
      <w:r w:rsidRPr="006270EC">
        <w:t>адювантни</w:t>
      </w:r>
      <w:proofErr w:type="spellEnd"/>
      <w:r w:rsidRPr="006270EC">
        <w:t xml:space="preserve"> свойства</w:t>
      </w:r>
      <w:r w:rsidRPr="006270EC">
        <w:rPr>
          <w:rStyle w:val="FootnoteReference"/>
        </w:rPr>
        <w:footnoteReference w:id="10"/>
      </w:r>
      <w:r w:rsidRPr="006270EC">
        <w:t xml:space="preserve">, което означава, че могат да увеличат </w:t>
      </w:r>
      <w:proofErr w:type="spellStart"/>
      <w:r w:rsidRPr="006270EC">
        <w:t>алергенността</w:t>
      </w:r>
      <w:proofErr w:type="spellEnd"/>
      <w:r w:rsidRPr="006270EC">
        <w:t xml:space="preserve"> на други протеини, с които влизат в контакт;</w:t>
      </w:r>
    </w:p>
    <w:p w:rsidR="002A76DA" w:rsidRPr="006270EC" w:rsidRDefault="002A76DA" w:rsidP="002A76DA">
      <w:pPr>
        <w:pStyle w:val="NormalHanging12a"/>
        <w:ind w:left="709" w:hanging="709"/>
      </w:pPr>
      <w:r w:rsidRPr="006270EC">
        <w:t>Л.</w:t>
      </w:r>
      <w:r w:rsidRPr="006270EC">
        <w:tab/>
        <w:t xml:space="preserve">като има предвид, че в рамките на научно изследване беше установено, че токсичността на </w:t>
      </w:r>
      <w:proofErr w:type="spellStart"/>
      <w:r w:rsidRPr="006270EC">
        <w:t>Bt</w:t>
      </w:r>
      <w:proofErr w:type="spellEnd"/>
      <w:r w:rsidRPr="006270EC">
        <w:t xml:space="preserve"> токсините може също така да бъде повишена чрез взаимодействие с остатъчни вещества от пръскането с хербициди, и че са необходими допълнителни изследвания относно комбинаторните ефекти от повече от едно трансформационно събитие (генетично модифицирани култури, които са били модифицирани, за да бъдат устойчиви на хербициди и да произвеждат инсектициди под формата на </w:t>
      </w:r>
      <w:proofErr w:type="spellStart"/>
      <w:r w:rsidRPr="006270EC">
        <w:t>Bt</w:t>
      </w:r>
      <w:proofErr w:type="spellEnd"/>
      <w:r w:rsidRPr="006270EC">
        <w:t xml:space="preserve"> токсини)</w:t>
      </w:r>
      <w:r w:rsidRPr="006270EC">
        <w:rPr>
          <w:rStyle w:val="FootnoteReference"/>
        </w:rPr>
        <w:footnoteReference w:id="11"/>
      </w:r>
      <w:r w:rsidRPr="006270EC">
        <w:t xml:space="preserve">; като има предвид обаче, че се счита, че оценката на потенциалното взаимодействие на остатъците от хербициди и техните </w:t>
      </w:r>
      <w:proofErr w:type="spellStart"/>
      <w:r w:rsidRPr="006270EC">
        <w:t>метаболити</w:t>
      </w:r>
      <w:proofErr w:type="spellEnd"/>
      <w:r w:rsidRPr="006270EC">
        <w:t xml:space="preserve"> с </w:t>
      </w:r>
      <w:proofErr w:type="spellStart"/>
      <w:r w:rsidRPr="006270EC">
        <w:t>Bt</w:t>
      </w:r>
      <w:proofErr w:type="spellEnd"/>
      <w:r w:rsidRPr="006270EC">
        <w:t> токсини е извън правомощията на Експертната група на ЕОБХ по ГМО, и че следователно тя не се извършва като част от оценката на риска;</w:t>
      </w:r>
    </w:p>
    <w:p w:rsidR="002A76DA" w:rsidRPr="006270EC" w:rsidRDefault="002A76DA" w:rsidP="002A76DA">
      <w:pPr>
        <w:pStyle w:val="NormalHanging12a"/>
        <w:rPr>
          <w:b/>
          <w:i/>
        </w:rPr>
      </w:pPr>
      <w:proofErr w:type="spellStart"/>
      <w:r w:rsidRPr="006270EC">
        <w:rPr>
          <w:b/>
          <w:i/>
        </w:rPr>
        <w:t>Bt</w:t>
      </w:r>
      <w:proofErr w:type="spellEnd"/>
      <w:r w:rsidRPr="006270EC">
        <w:rPr>
          <w:b/>
          <w:i/>
        </w:rPr>
        <w:t xml:space="preserve"> култури: влияние върху нецелевите организми</w:t>
      </w:r>
    </w:p>
    <w:p w:rsidR="002A76DA" w:rsidRPr="006270EC" w:rsidRDefault="002A76DA" w:rsidP="002A76DA">
      <w:pPr>
        <w:pStyle w:val="NormalHanging12a"/>
        <w:ind w:left="709" w:hanging="709"/>
      </w:pPr>
      <w:r w:rsidRPr="006270EC">
        <w:t>М.</w:t>
      </w:r>
      <w:r w:rsidRPr="006270EC">
        <w:tab/>
        <w:t xml:space="preserve">като има предвид, че за разлика от употребата на инсектициди, при която експозицията е по време на пръскането и за ограничен период от време след това, използването на генетично модифицирани </w:t>
      </w:r>
      <w:proofErr w:type="spellStart"/>
      <w:r w:rsidRPr="006270EC">
        <w:t>Bt</w:t>
      </w:r>
      <w:proofErr w:type="spellEnd"/>
      <w:r w:rsidRPr="006270EC">
        <w:t xml:space="preserve"> култури води до непрекъсната експозиция на целевите и нецелевите организми на </w:t>
      </w:r>
      <w:proofErr w:type="spellStart"/>
      <w:r w:rsidRPr="006270EC">
        <w:t>Bt</w:t>
      </w:r>
      <w:proofErr w:type="spellEnd"/>
      <w:r w:rsidRPr="006270EC">
        <w:t> токсини;</w:t>
      </w:r>
    </w:p>
    <w:p w:rsidR="002A76DA" w:rsidRPr="006270EC" w:rsidRDefault="002A76DA" w:rsidP="002A76DA">
      <w:pPr>
        <w:pStyle w:val="NormalHanging12a"/>
        <w:ind w:left="709" w:hanging="709"/>
      </w:pPr>
      <w:r w:rsidRPr="006270EC">
        <w:t>Н.</w:t>
      </w:r>
      <w:r w:rsidRPr="006270EC">
        <w:tab/>
        <w:t xml:space="preserve">като има предвид, че вече не може да се счита за правилно допускането, че </w:t>
      </w:r>
      <w:proofErr w:type="spellStart"/>
      <w:r w:rsidRPr="006270EC">
        <w:t>Bt</w:t>
      </w:r>
      <w:proofErr w:type="spellEnd"/>
      <w:r w:rsidRPr="006270EC">
        <w:t xml:space="preserve"> токсините имат единичен и насочен към конкретни целеви организми </w:t>
      </w:r>
      <w:r w:rsidRPr="006270EC">
        <w:lastRenderedPageBreak/>
        <w:t xml:space="preserve">механизъм на действие и че не може да се изключи въздействие върху нецелеви организми; като има предвид, че се съобщава за нарастващ брой нецелеви организми, които са засегнати по много начини; като има предвид, че в неотдавна извършен преглед се посочват 39 рецензирани публикации, в които се съобщава за значително неблагоприятно въздействие на </w:t>
      </w:r>
      <w:proofErr w:type="spellStart"/>
      <w:r w:rsidRPr="006270EC">
        <w:t>Bt</w:t>
      </w:r>
      <w:proofErr w:type="spellEnd"/>
      <w:r w:rsidRPr="006270EC">
        <w:t> токсините върху редица нецелеви видове</w:t>
      </w:r>
      <w:r w:rsidRPr="006270EC">
        <w:rPr>
          <w:rStyle w:val="FootnoteReference"/>
        </w:rPr>
        <w:footnoteReference w:id="12"/>
      </w:r>
      <w:r w:rsidRPr="006270EC">
        <w:t>;</w:t>
      </w:r>
    </w:p>
    <w:p w:rsidR="002A76DA" w:rsidRPr="006270EC" w:rsidRDefault="002A76DA" w:rsidP="00F50F65">
      <w:pPr>
        <w:pStyle w:val="NormalHanging12a"/>
        <w:ind w:left="0" w:firstLine="0"/>
        <w:rPr>
          <w:b/>
          <w:i/>
        </w:rPr>
      </w:pPr>
      <w:r w:rsidRPr="006270EC">
        <w:rPr>
          <w:b/>
          <w:i/>
        </w:rPr>
        <w:t>Гарантиране на еднакви условия на конкуренция в световен мащаб и спазване на международните задължения на Съюза</w:t>
      </w:r>
    </w:p>
    <w:p w:rsidR="002A76DA" w:rsidRPr="006270EC" w:rsidRDefault="002A76DA" w:rsidP="002A76DA">
      <w:pPr>
        <w:pStyle w:val="NormalHanging12a"/>
        <w:ind w:left="709" w:hanging="709"/>
      </w:pPr>
      <w:r w:rsidRPr="006270EC">
        <w:t>О.</w:t>
      </w:r>
      <w:r w:rsidRPr="006270EC">
        <w:tab/>
        <w:t>като има предвид, че в заключенията на стратегическия диалог относно бъдещето на селското стопанство в ЕС</w:t>
      </w:r>
      <w:r w:rsidRPr="006270EC">
        <w:rPr>
          <w:rStyle w:val="FootnoteReference"/>
        </w:rPr>
        <w:footnoteReference w:id="13"/>
      </w:r>
      <w:r w:rsidRPr="006270EC">
        <w:t xml:space="preserve"> Комисията се призовава да преразгледа своя подход към достъпа до пазара за вноса и износа на селскостопански хранителни продукти, като се отчита предизвикателството, свързано с различаващите се стандарти на Съюза и неговите търговски партньори; като има предвид, че по-справедливите търговски отношения в световен мащаб, съгласувани с целите за здравословна околна среда, бяха едно от основните искания на земеделските стопани по време на демонстрациите през 2023 и 2024 г.;</w:t>
      </w:r>
    </w:p>
    <w:p w:rsidR="002A76DA" w:rsidRPr="006270EC" w:rsidRDefault="002A76DA" w:rsidP="002A76DA">
      <w:pPr>
        <w:pStyle w:val="NormalHanging12a"/>
        <w:ind w:left="709" w:hanging="709"/>
      </w:pPr>
      <w:r w:rsidRPr="006270EC">
        <w:t>П.</w:t>
      </w:r>
      <w:r w:rsidRPr="006270EC">
        <w:tab/>
        <w:t>като има предвид, че в доклад от 2017 г. на специалния докладчик на Организацията на обединените нации (ООН) относно правото на прехрана се посочва, че опасните пестициди оказват катастрофално въздействие върху здравето, особено в развиващите се държави</w:t>
      </w:r>
      <w:r w:rsidRPr="006270EC">
        <w:rPr>
          <w:rStyle w:val="FootnoteReference"/>
        </w:rPr>
        <w:footnoteReference w:id="14"/>
      </w:r>
      <w:r w:rsidRPr="006270EC">
        <w:t>; като има предвид, че в цел 3.9 от целите за устойчиво развитие на ООН (ЦУР) е заложено до 2030 г. значително да се намалят смъртните случаи и заболяванията, причинени от опасни химикали и замърсяване на въздуха, водата и почвата и от заразяване</w:t>
      </w:r>
      <w:r w:rsidRPr="006270EC">
        <w:rPr>
          <w:rStyle w:val="FootnoteReference"/>
        </w:rPr>
        <w:footnoteReference w:id="15"/>
      </w:r>
      <w:r w:rsidRPr="006270EC">
        <w:t>;</w:t>
      </w:r>
    </w:p>
    <w:p w:rsidR="002A76DA" w:rsidRPr="006270EC" w:rsidRDefault="002A76DA" w:rsidP="002A76DA">
      <w:pPr>
        <w:pStyle w:val="NormalHanging12a"/>
        <w:ind w:left="709" w:hanging="709"/>
      </w:pPr>
      <w:r w:rsidRPr="006270EC">
        <w:t>Р.</w:t>
      </w:r>
      <w:r w:rsidRPr="006270EC">
        <w:tab/>
        <w:t>като има предвид, че глобалната рамка за биологичното разнообразие Кунмин – Монреал („рамка Кунмин – Монреал“), договорена на 15-ата конференция на страните по Конвенцията на ООН за биологичното разнообразие през декември 2022 г., включва глобална цел за намаляване на риска от пестициди с най-малко 50 % до 2030 г.</w:t>
      </w:r>
      <w:r w:rsidRPr="006270EC">
        <w:rPr>
          <w:rStyle w:val="FootnoteReference"/>
        </w:rPr>
        <w:footnoteReference w:id="16"/>
      </w:r>
      <w:r w:rsidRPr="006270EC">
        <w:t>;</w:t>
      </w:r>
    </w:p>
    <w:p w:rsidR="002A76DA" w:rsidRPr="006270EC" w:rsidRDefault="002A76DA" w:rsidP="002A76DA">
      <w:pPr>
        <w:pStyle w:val="NormalHanging12a"/>
        <w:ind w:left="709" w:hanging="709"/>
      </w:pPr>
      <w:r w:rsidRPr="006270EC">
        <w:t>С.</w:t>
      </w:r>
      <w:r w:rsidRPr="006270EC">
        <w:tab/>
        <w:t xml:space="preserve">като има предвид, че в Регламент (ЕО) № 1829/2003 се посочва, че генетично модифицираните храни и фуражи не трябва да оказват неблагоприятно въздействие върху здравето на хората, здравето на животните или околната </w:t>
      </w:r>
      <w:r w:rsidRPr="006270EC">
        <w:lastRenderedPageBreak/>
        <w:t>среда и се изисква при изготвянето на решението си Комисията да взема предвид всички съответни разпоредби на законодателството на Съюза и други основателни фактори, свързани с разглеждания въпрос; като има предвид, че тези основателни фактори следва да включват задълженията на Съюза съгласно ЦУР на ООН и Конвенцията на ООН за биологичното разнообразие;</w:t>
      </w:r>
    </w:p>
    <w:p w:rsidR="002A76DA" w:rsidRPr="006270EC" w:rsidRDefault="002A76DA" w:rsidP="002A76DA">
      <w:pPr>
        <w:pStyle w:val="NormalHanging12a"/>
        <w:rPr>
          <w:b/>
          <w:i/>
        </w:rPr>
      </w:pPr>
      <w:r w:rsidRPr="006270EC">
        <w:rPr>
          <w:b/>
          <w:i/>
        </w:rPr>
        <w:t>Намаляване на зависимостта от вносни фуражи</w:t>
      </w:r>
    </w:p>
    <w:p w:rsidR="002A76DA" w:rsidRPr="006270EC" w:rsidRDefault="002A76DA" w:rsidP="002A76DA">
      <w:pPr>
        <w:pStyle w:val="NormalHanging12a"/>
        <w:ind w:left="709" w:hanging="709"/>
      </w:pPr>
      <w:r w:rsidRPr="006270EC">
        <w:t>Т.</w:t>
      </w:r>
      <w:r w:rsidRPr="006270EC">
        <w:tab/>
        <w:t xml:space="preserve">като има предвид, че една от поуките от кризата с COVID-19 и все още продължаващата война в Украйна е необходимостта Съюзът да сложи край на зависимостта от някои материали от критично значение; като има предвид, че в писмото за определяне на ресора до кандидата за член на Комисията Кристоф Хансен председателят на Комисията Урсула фон </w:t>
      </w:r>
      <w:proofErr w:type="spellStart"/>
      <w:r w:rsidRPr="006270EC">
        <w:t>дер</w:t>
      </w:r>
      <w:proofErr w:type="spellEnd"/>
      <w:r w:rsidRPr="006270EC">
        <w:t xml:space="preserve"> </w:t>
      </w:r>
      <w:proofErr w:type="spellStart"/>
      <w:r w:rsidRPr="006270EC">
        <w:t>Лайен</w:t>
      </w:r>
      <w:proofErr w:type="spellEnd"/>
      <w:r w:rsidRPr="006270EC">
        <w:t xml:space="preserve"> отправя искане към него да потърси начини за намаляване на вноса на стоки от критично значение</w:t>
      </w:r>
      <w:r w:rsidRPr="006270EC">
        <w:rPr>
          <w:rStyle w:val="FootnoteReference"/>
        </w:rPr>
        <w:footnoteReference w:id="17"/>
      </w:r>
      <w:r w:rsidRPr="006270EC">
        <w:t xml:space="preserve">; </w:t>
      </w:r>
    </w:p>
    <w:p w:rsidR="002A76DA" w:rsidRPr="006270EC" w:rsidRDefault="002A76DA" w:rsidP="002A76DA">
      <w:pPr>
        <w:pStyle w:val="NormalHanging12a"/>
        <w:rPr>
          <w:b/>
          <w:i/>
        </w:rPr>
      </w:pPr>
      <w:r w:rsidRPr="006270EC">
        <w:rPr>
          <w:b/>
          <w:i/>
        </w:rPr>
        <w:t>Недемократичен процес на вземане на решения</w:t>
      </w:r>
    </w:p>
    <w:p w:rsidR="002A76DA" w:rsidRPr="006270EC" w:rsidRDefault="002A76DA" w:rsidP="002A76DA">
      <w:pPr>
        <w:pStyle w:val="NormalHanging12a"/>
        <w:ind w:left="709" w:hanging="709"/>
      </w:pPr>
      <w:r w:rsidRPr="006270EC">
        <w:t>У.</w:t>
      </w:r>
      <w:r w:rsidRPr="006270EC">
        <w:tab/>
        <w:t>като има предвид, че през осмия си мандат Парламентът прие общо 36 резолюции, в които възразява срещу пускането на пазара на ГМО за храни и фуражи (33 резолюции) и срещу отглеждането на ГМО в Съюза (три резолюции); като има предвид, че през деветия си мандат Парламентът прие 38 възражения срещу пускането на ГМО на пазара;</w:t>
      </w:r>
    </w:p>
    <w:p w:rsidR="002A76DA" w:rsidRPr="006270EC" w:rsidRDefault="002A76DA" w:rsidP="002A76DA">
      <w:pPr>
        <w:pStyle w:val="NormalHanging12a"/>
        <w:ind w:left="709" w:hanging="709"/>
      </w:pPr>
      <w:r w:rsidRPr="006270EC">
        <w:t>Ф.</w:t>
      </w:r>
      <w:r w:rsidRPr="006270EC">
        <w:tab/>
        <w:t>като има предвид, че макар и сама да отчита недостатъчно демократичния характер на процедурата, липсата на подкрепа от държавите членки и възраженията на Парламента, Комисията продължава да разрешава ГМО;</w:t>
      </w:r>
    </w:p>
    <w:p w:rsidR="002A76DA" w:rsidRPr="006270EC" w:rsidRDefault="002A76DA" w:rsidP="002A76DA">
      <w:pPr>
        <w:pStyle w:val="NormalHanging12a"/>
        <w:ind w:left="709" w:hanging="709"/>
      </w:pPr>
      <w:r w:rsidRPr="006270EC">
        <w:t>Х.</w:t>
      </w:r>
      <w:r w:rsidRPr="006270EC">
        <w:tab/>
        <w:t>като има предвид, че не се изисква промяна на законодателството, за да може Комисията да не разрешава ГМО, когато в Апелативния комитет не е налице подкрепата на квалифицирано мнозинство от държавите членки</w:t>
      </w:r>
      <w:r w:rsidRPr="006270EC">
        <w:rPr>
          <w:rStyle w:val="FootnoteReference"/>
        </w:rPr>
        <w:footnoteReference w:id="18"/>
      </w:r>
      <w:r w:rsidRPr="006270EC">
        <w:t>;</w:t>
      </w:r>
    </w:p>
    <w:p w:rsidR="002A76DA" w:rsidRPr="006270EC" w:rsidRDefault="002A76DA" w:rsidP="002A76DA">
      <w:pPr>
        <w:pStyle w:val="NormalHanging12a"/>
        <w:ind w:left="709" w:hanging="709"/>
      </w:pPr>
      <w:r w:rsidRPr="006270EC">
        <w:t>Ц.</w:t>
      </w:r>
      <w:r w:rsidRPr="006270EC">
        <w:tab/>
      </w:r>
      <w:r w:rsidRPr="006270EC">
        <w:rPr>
          <w:shd w:val="clear" w:color="auto" w:fill="FFFFFF"/>
        </w:rPr>
        <w:t>като има предвид, че при гласуването на 8 юли 2024 г. в Постоянния комитет по растенията, животните, храните и фуражите, посочен в член 35 от Регламент (ЕО) № 1829/2003, не беше изразено становище, което означава, че разрешението не е подкрепено от квалифицирано мнозинство от държавите членки; като има предвид, че при гласуването в Апелативния комитет на 3 септември 2024 г. също не беше изразено становище;</w:t>
      </w:r>
    </w:p>
    <w:p w:rsidR="002A76DA" w:rsidRPr="006270EC" w:rsidRDefault="002A76DA" w:rsidP="002A76DA">
      <w:pPr>
        <w:pStyle w:val="NormalHanging12a"/>
        <w:ind w:left="709" w:hanging="709"/>
      </w:pPr>
      <w:r w:rsidRPr="006270EC">
        <w:t>1.</w:t>
      </w:r>
      <w:r w:rsidRPr="006270EC">
        <w:tab/>
        <w:t xml:space="preserve">счита, че </w:t>
      </w:r>
      <w:r w:rsidR="00314B20">
        <w:t>Р</w:t>
      </w:r>
      <w:r w:rsidRPr="006270EC">
        <w:t xml:space="preserve">ешение за изпълнение </w:t>
      </w:r>
      <w:r w:rsidR="00314B20">
        <w:t>(ЕС</w:t>
      </w:r>
      <w:r w:rsidR="00314B20" w:rsidRPr="00314B20">
        <w:t xml:space="preserve">) 2024/2629 </w:t>
      </w:r>
      <w:r w:rsidRPr="006270EC">
        <w:t>на Комисията превишава изпълнителните правомощия, предвидени в Регламент (ЕО) № 1829/2003;</w:t>
      </w:r>
    </w:p>
    <w:p w:rsidR="002A76DA" w:rsidRDefault="002A76DA" w:rsidP="002A76DA">
      <w:pPr>
        <w:pStyle w:val="NormalHanging12a"/>
        <w:ind w:left="709" w:hanging="709"/>
      </w:pPr>
      <w:r w:rsidRPr="006270EC">
        <w:t>2.</w:t>
      </w:r>
      <w:r w:rsidRPr="006270EC">
        <w:tab/>
        <w:t xml:space="preserve">счита, че </w:t>
      </w:r>
      <w:r w:rsidR="00314B20">
        <w:t>Р</w:t>
      </w:r>
      <w:r w:rsidRPr="006270EC">
        <w:t xml:space="preserve">ешение за изпълнение </w:t>
      </w:r>
      <w:r w:rsidR="00314B20">
        <w:t>(ЕС</w:t>
      </w:r>
      <w:r w:rsidR="00314B20" w:rsidRPr="00314B20">
        <w:t xml:space="preserve">) 2024/2629 </w:t>
      </w:r>
      <w:r w:rsidRPr="006270EC">
        <w:t xml:space="preserve">на Комисията не е в съответствие с правото на Съюза, тъй като е несъвместим с целта на Регламент (ЕО) № 1829/2003, която, в съответствие с общите принципи, </w:t>
      </w:r>
      <w:r w:rsidRPr="006270EC">
        <w:lastRenderedPageBreak/>
        <w:t>предвидени в Регламент (ЕО) № 178/2002 на Европейския парламент и Съвета</w:t>
      </w:r>
      <w:r w:rsidRPr="006270EC">
        <w:rPr>
          <w:rStyle w:val="FootnoteReference"/>
        </w:rPr>
        <w:footnoteReference w:id="19"/>
      </w:r>
      <w:r w:rsidRPr="006270EC">
        <w:t>, е да се гарантира основа за осигуряването на висока степен на защита на живота и здравето на хората, на здравето на животните и на хуманното отношение към тях, на околната среда и на интересите на потребителите по отношение на генетично модифицираните храни и фуражи, като едновременно с това се гарантира ефективното функциониране на вътрешния пазар;</w:t>
      </w:r>
    </w:p>
    <w:p w:rsidR="00F50F65" w:rsidRPr="006270EC" w:rsidRDefault="00F50F65" w:rsidP="002A76DA">
      <w:pPr>
        <w:pStyle w:val="NormalHanging12a"/>
        <w:ind w:left="709" w:hanging="709"/>
      </w:pPr>
      <w:r>
        <w:t>3</w:t>
      </w:r>
      <w:r w:rsidRPr="00F50F65">
        <w:t>.</w:t>
      </w:r>
      <w:r w:rsidRPr="00F50F65">
        <w:tab/>
        <w:t>призовава Комисията да гарантира сближаване на стандартите между Съюза и неговите партньори в преговорите за споразумения за свободна търговия, за да се спазват стандартите на Съюза за безопасност;</w:t>
      </w:r>
    </w:p>
    <w:p w:rsidR="002A76DA" w:rsidRPr="006270EC" w:rsidRDefault="006C6AD4" w:rsidP="002A76DA">
      <w:pPr>
        <w:pStyle w:val="NormalHanging12a"/>
        <w:ind w:left="709" w:hanging="709"/>
      </w:pPr>
      <w:r>
        <w:t>4</w:t>
      </w:r>
      <w:r w:rsidR="002A76DA" w:rsidRPr="006270EC">
        <w:t>.</w:t>
      </w:r>
      <w:r w:rsidR="002A76DA" w:rsidRPr="006270EC">
        <w:tab/>
        <w:t xml:space="preserve">отправя искане към Комисията да </w:t>
      </w:r>
      <w:r w:rsidR="00314B20">
        <w:t>отмени</w:t>
      </w:r>
      <w:r w:rsidR="00314B20" w:rsidRPr="006270EC">
        <w:t xml:space="preserve"> </w:t>
      </w:r>
      <w:r w:rsidR="00314B20">
        <w:t>Р</w:t>
      </w:r>
      <w:r w:rsidR="002A76DA" w:rsidRPr="006270EC">
        <w:t xml:space="preserve">ешение за изпълнение </w:t>
      </w:r>
      <w:r w:rsidR="00314B20">
        <w:t>(ЕС</w:t>
      </w:r>
      <w:r w:rsidR="00314B20" w:rsidRPr="00314B20">
        <w:t xml:space="preserve">) 2024/2629 </w:t>
      </w:r>
      <w:r w:rsidR="002A76DA" w:rsidRPr="006270EC">
        <w:t>и да внесе нов проект в комитета;</w:t>
      </w:r>
    </w:p>
    <w:p w:rsidR="002A76DA" w:rsidRPr="006270EC" w:rsidRDefault="006C6AD4" w:rsidP="002A76DA">
      <w:pPr>
        <w:pStyle w:val="NormalHanging12a"/>
        <w:ind w:left="709" w:hanging="709"/>
      </w:pPr>
      <w:r>
        <w:t>5</w:t>
      </w:r>
      <w:r w:rsidR="002A76DA" w:rsidRPr="006270EC">
        <w:t>.</w:t>
      </w:r>
      <w:r w:rsidR="002A76DA" w:rsidRPr="006270EC">
        <w:tab/>
        <w:t>призовава Комисията да не разрешава устойчивите на хербициди генетично модифицирани култури поради свързаната с това повишена употреба на добавъчни хербициди и следователно повишените рискове за биологичното разнообразие, безопасността на храните и здравето на работниците;</w:t>
      </w:r>
    </w:p>
    <w:p w:rsidR="002A76DA" w:rsidRPr="006270EC" w:rsidRDefault="006C6AD4" w:rsidP="002A76DA">
      <w:pPr>
        <w:pStyle w:val="NormalHanging12a"/>
        <w:ind w:left="709" w:hanging="709"/>
      </w:pPr>
      <w:r>
        <w:t>6</w:t>
      </w:r>
      <w:r w:rsidR="002A76DA" w:rsidRPr="006270EC">
        <w:t>.</w:t>
      </w:r>
      <w:r w:rsidR="002A76DA" w:rsidRPr="006270EC">
        <w:tab/>
        <w:t xml:space="preserve">в това отношение подчертава, че разрешаването на вноса за употреба като храни или фуражи на каквито и да било генетично модифицирани растения, при които е създадена устойчивост спрямо забранени в Съюза хербициди, например </w:t>
      </w:r>
      <w:proofErr w:type="spellStart"/>
      <w:r w:rsidR="002A76DA" w:rsidRPr="006270EC">
        <w:t>глуфосинат</w:t>
      </w:r>
      <w:proofErr w:type="spellEnd"/>
      <w:r w:rsidR="002A76DA" w:rsidRPr="006270EC">
        <w:t>, не съответства на международните ангажименти на Съюза съгласно, наред с другото, ЦУР на ООН и Конвенцията на ООН за биологичното разнообразие, включително наскоро приетата рамка Кунмин – Монреал</w:t>
      </w:r>
      <w:r w:rsidR="002A76DA" w:rsidRPr="006270EC">
        <w:rPr>
          <w:rStyle w:val="FootnoteReference"/>
        </w:rPr>
        <w:footnoteReference w:id="20"/>
      </w:r>
      <w:r w:rsidR="002A76DA" w:rsidRPr="006270EC">
        <w:t>;</w:t>
      </w:r>
    </w:p>
    <w:p w:rsidR="002A76DA" w:rsidRPr="006270EC" w:rsidRDefault="006C6AD4" w:rsidP="002A76DA">
      <w:pPr>
        <w:pStyle w:val="NormalHanging12a"/>
        <w:ind w:left="709" w:hanging="709"/>
      </w:pPr>
      <w:r>
        <w:t>7</w:t>
      </w:r>
      <w:r w:rsidR="002A76DA" w:rsidRPr="006270EC">
        <w:t>.</w:t>
      </w:r>
      <w:r w:rsidR="002A76DA" w:rsidRPr="006270EC">
        <w:tab/>
        <w:t>очаква Комисията спешно да изпълни ангажимента си да представи предложение, за да гарантира, че опасните химикали, забранени в Съюза, не се произвеждат за износ;</w:t>
      </w:r>
    </w:p>
    <w:p w:rsidR="002A76DA" w:rsidRPr="006270EC" w:rsidRDefault="006C6AD4" w:rsidP="002A76DA">
      <w:pPr>
        <w:pStyle w:val="NormalHanging12a"/>
        <w:ind w:left="709" w:hanging="709"/>
      </w:pPr>
      <w:r>
        <w:t>8</w:t>
      </w:r>
      <w:r w:rsidR="002A76DA" w:rsidRPr="006270EC">
        <w:t>.</w:t>
      </w:r>
      <w:r w:rsidR="002A76DA" w:rsidRPr="006270EC">
        <w:tab/>
        <w:t>приветства факта, че в писмо от 11 септември 2020 г. до членовете на ЕП Комисията в крайна сметка призна необходимостта да се взема предвид устойчивостта, когато става въпрос за решения за разрешаване на ГМО</w:t>
      </w:r>
      <w:r w:rsidR="002A76DA" w:rsidRPr="006270EC">
        <w:rPr>
          <w:rStyle w:val="FootnoteReference"/>
        </w:rPr>
        <w:footnoteReference w:id="21"/>
      </w:r>
      <w:r w:rsidR="002A76DA" w:rsidRPr="006270EC">
        <w:t>; изразява силно разочарование обаче, че след това Комисията продължи да разрешава вноса на ГМО в Съюза въпреки продължаващите възражения от страна на Парламента и факта, че няма квалифицирано мнозинство от държави членки в подкрепа на това;</w:t>
      </w:r>
    </w:p>
    <w:p w:rsidR="002A76DA" w:rsidRPr="006270EC" w:rsidRDefault="006C6AD4" w:rsidP="002A76DA">
      <w:pPr>
        <w:pStyle w:val="NormalHanging12a"/>
        <w:ind w:left="709" w:hanging="709"/>
      </w:pPr>
      <w:r>
        <w:t>9</w:t>
      </w:r>
      <w:r w:rsidR="002A76DA" w:rsidRPr="006270EC">
        <w:t>.</w:t>
      </w:r>
      <w:r w:rsidR="002A76DA" w:rsidRPr="006270EC">
        <w:tab/>
        <w:t xml:space="preserve">отново настоятелно призовава Комисията да вземе предвид задълженията на Съюза съгласно международните споразумения, например Парижкото споразумение относно изменението на климата, Конвенцията на ООН за </w:t>
      </w:r>
      <w:r w:rsidR="002A76DA" w:rsidRPr="006270EC">
        <w:lastRenderedPageBreak/>
        <w:t>биологичното разнообразие и ЦУР на ООН; отново призовава проектите на актове за изпълнение да бъдат придружени от обяснителен меморандум, в който да се разяснява по какъв начин в съответните текстове е спазен принципът за „ненанасяне на вреда“</w:t>
      </w:r>
      <w:r w:rsidR="002A76DA" w:rsidRPr="006270EC">
        <w:rPr>
          <w:rStyle w:val="FootnoteReference"/>
        </w:rPr>
        <w:footnoteReference w:id="22"/>
      </w:r>
      <w:r w:rsidR="002A76DA" w:rsidRPr="006270EC">
        <w:t xml:space="preserve">; </w:t>
      </w:r>
    </w:p>
    <w:p w:rsidR="006270EC" w:rsidRPr="006270EC" w:rsidRDefault="006C6AD4" w:rsidP="006270EC">
      <w:pPr>
        <w:pStyle w:val="NormalHanging12a"/>
        <w:ind w:left="709" w:hanging="709"/>
      </w:pPr>
      <w:r>
        <w:t>10</w:t>
      </w:r>
      <w:r w:rsidR="002A76DA" w:rsidRPr="006270EC">
        <w:t>.</w:t>
      </w:r>
      <w:r w:rsidR="002A76DA" w:rsidRPr="006270EC">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rsidR="00E365E1" w:rsidRPr="006270EC" w:rsidRDefault="00E365E1" w:rsidP="002A76DA">
      <w:bookmarkStart w:id="7" w:name="_GoBack"/>
      <w:bookmarkEnd w:id="7"/>
    </w:p>
    <w:sectPr w:rsidR="00E365E1" w:rsidRPr="006270EC" w:rsidSect="006270E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4B8" w:rsidRPr="006270EC" w:rsidRDefault="000A24B8">
      <w:r w:rsidRPr="006270EC">
        <w:separator/>
      </w:r>
    </w:p>
  </w:endnote>
  <w:endnote w:type="continuationSeparator" w:id="0">
    <w:p w:rsidR="000A24B8" w:rsidRPr="006270EC" w:rsidRDefault="000A24B8">
      <w:r w:rsidRPr="006270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4B8" w:rsidRPr="006270EC" w:rsidRDefault="000A24B8">
      <w:r w:rsidRPr="006270EC">
        <w:separator/>
      </w:r>
    </w:p>
  </w:footnote>
  <w:footnote w:type="continuationSeparator" w:id="0">
    <w:p w:rsidR="000A24B8" w:rsidRPr="006270EC" w:rsidRDefault="000A24B8">
      <w:r w:rsidRPr="006270EC">
        <w:continuationSeparator/>
      </w:r>
    </w:p>
  </w:footnote>
  <w:footnote w:id="1">
    <w:p w:rsidR="00314B20" w:rsidRPr="00F50F65" w:rsidRDefault="00314B20" w:rsidP="00F50F65">
      <w:pPr>
        <w:pStyle w:val="FootnoteText"/>
        <w:ind w:left="567" w:hanging="567"/>
        <w:rPr>
          <w:sz w:val="24"/>
          <w:szCs w:val="24"/>
          <w:lang w:val="bg-BG"/>
        </w:rPr>
      </w:pPr>
      <w:r w:rsidRPr="00F50F65">
        <w:rPr>
          <w:rStyle w:val="FootnoteReference"/>
          <w:sz w:val="24"/>
          <w:szCs w:val="24"/>
        </w:rPr>
        <w:footnoteRef/>
      </w:r>
      <w:r w:rsidRPr="00F50F65">
        <w:rPr>
          <w:sz w:val="24"/>
          <w:szCs w:val="24"/>
        </w:rPr>
        <w:t xml:space="preserve"> </w:t>
      </w:r>
      <w:r w:rsidRPr="00F50F65">
        <w:rPr>
          <w:sz w:val="24"/>
          <w:szCs w:val="24"/>
          <w:lang w:val="bg-BG"/>
        </w:rPr>
        <w:tab/>
        <w:t>ОВ L, 2024/2629, 10.10.2024 г., ELI: http://data.europa.eu/eli/dec_impl/2024/2629/oj.</w:t>
      </w:r>
    </w:p>
  </w:footnote>
  <w:footnote w:id="2">
    <w:p w:rsidR="002A76DA" w:rsidRPr="006270EC" w:rsidRDefault="002A76DA" w:rsidP="006270EC">
      <w:pPr>
        <w:pStyle w:val="FootnoteText"/>
        <w:ind w:left="567" w:hanging="567"/>
        <w:rPr>
          <w:sz w:val="24"/>
          <w:lang w:val="bg-BG"/>
        </w:rPr>
      </w:pPr>
      <w:r w:rsidRPr="006270EC">
        <w:rPr>
          <w:rStyle w:val="FootnoteReference"/>
          <w:sz w:val="24"/>
          <w:szCs w:val="22"/>
          <w:lang w:val="bg-BG"/>
        </w:rPr>
        <w:footnoteRef/>
      </w:r>
      <w:r w:rsidR="006270EC" w:rsidRPr="006270EC">
        <w:rPr>
          <w:sz w:val="24"/>
          <w:lang w:val="bg-BG"/>
        </w:rPr>
        <w:t xml:space="preserve"> </w:t>
      </w:r>
      <w:r w:rsidR="006270EC" w:rsidRPr="006270EC">
        <w:rPr>
          <w:sz w:val="24"/>
          <w:lang w:val="bg-BG"/>
        </w:rPr>
        <w:tab/>
      </w:r>
      <w:r w:rsidRPr="006270EC">
        <w:rPr>
          <w:sz w:val="24"/>
          <w:lang w:val="bg-BG"/>
        </w:rPr>
        <w:t xml:space="preserve">ОВ L 268, 18.10.2003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6270EC">
          <w:rPr>
            <w:rStyle w:val="Hyperlink"/>
            <w:color w:val="337AB7"/>
            <w:sz w:val="24"/>
            <w:shd w:val="clear" w:color="auto" w:fill="FFFFFF"/>
            <w:lang w:val="bg-BG"/>
          </w:rPr>
          <w:t>http://data.europa.eu/eli/reg/2003/1829/oj</w:t>
        </w:r>
      </w:hyperlink>
      <w:r w:rsidRPr="006270EC">
        <w:rPr>
          <w:sz w:val="24"/>
          <w:lang w:val="bg-BG"/>
        </w:rPr>
        <w:t xml:space="preserve">. </w:t>
      </w:r>
    </w:p>
  </w:footnote>
  <w:footnote w:id="3">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r w:rsidRPr="006270EC">
        <w:rPr>
          <w:sz w:val="24"/>
          <w:lang w:val="bg-BG"/>
        </w:rPr>
        <w:t xml:space="preserve">ОВ L 55, 28.2.2011 г., стр. 13, ELI: </w:t>
      </w:r>
      <w:hyperlink r:id="rId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6270EC">
          <w:rPr>
            <w:rStyle w:val="Hyperlink"/>
            <w:color w:val="337AB7"/>
            <w:sz w:val="24"/>
            <w:shd w:val="clear" w:color="auto" w:fill="FFFFFF"/>
            <w:lang w:val="bg-BG"/>
          </w:rPr>
          <w:t>http://data.europa.eu/eli/reg/2011/182/oj</w:t>
        </w:r>
      </w:hyperlink>
      <w:r w:rsidRPr="006270EC">
        <w:rPr>
          <w:sz w:val="24"/>
          <w:lang w:val="bg-BG"/>
        </w:rPr>
        <w:t>.</w:t>
      </w:r>
    </w:p>
  </w:footnote>
  <w:footnote w:id="4">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r w:rsidRPr="006270EC">
        <w:rPr>
          <w:sz w:val="24"/>
          <w:lang w:val="bg-BG"/>
        </w:rPr>
        <w:t xml:space="preserve">Научно становище на Експертната група по генетично модифицирани организми на ЕОБХ във връзка с оценката на генетично модифицирана царевица MON 89034 × 1507 × MON 88017 × 59122 и осем от нейните десет </w:t>
      </w:r>
      <w:proofErr w:type="spellStart"/>
      <w:r w:rsidRPr="006270EC">
        <w:rPr>
          <w:sz w:val="24"/>
          <w:lang w:val="bg-BG"/>
        </w:rPr>
        <w:t>подкомбинации</w:t>
      </w:r>
      <w:proofErr w:type="spellEnd"/>
      <w:r w:rsidRPr="006270EC">
        <w:rPr>
          <w:sz w:val="24"/>
          <w:lang w:val="bg-BG"/>
        </w:rPr>
        <w:t xml:space="preserve"> с оглед на подновяване на разрешението в съответствие с Регламент (ЕО) № 1829/2003 (досие GMFF-2022-9170), Бюлетин на ЕОБХ, 2024 г.; 2024;22(4):8715, </w:t>
      </w:r>
      <w:hyperlink r:id="rId3" w:history="1">
        <w:r w:rsidRPr="006270EC">
          <w:rPr>
            <w:rStyle w:val="Hyperlink"/>
            <w:sz w:val="24"/>
            <w:lang w:val="bg-BG"/>
          </w:rPr>
          <w:t>https://doi.org/10.2903/j.efsa.2024.8715</w:t>
        </w:r>
      </w:hyperlink>
      <w:r w:rsidRPr="006270EC">
        <w:rPr>
          <w:sz w:val="24"/>
          <w:lang w:val="bg-BG"/>
        </w:rPr>
        <w:t>.</w:t>
      </w:r>
    </w:p>
  </w:footnote>
  <w:footnote w:id="5">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color w:val="000000" w:themeColor="text1"/>
          <w:sz w:val="24"/>
          <w:lang w:val="bg-BG"/>
        </w:rPr>
        <w:t xml:space="preserve"> </w:t>
      </w:r>
      <w:r w:rsidR="006270EC" w:rsidRPr="006270EC">
        <w:rPr>
          <w:color w:val="000000" w:themeColor="text1"/>
          <w:sz w:val="24"/>
          <w:lang w:val="bg-BG"/>
        </w:rPr>
        <w:tab/>
      </w:r>
      <w:r w:rsidRPr="006270EC">
        <w:rPr>
          <w:color w:val="000000" w:themeColor="text1"/>
          <w:sz w:val="24"/>
          <w:lang w:val="bg-BG"/>
        </w:rPr>
        <w:t>По време на осмия си мандат Парламентът прие 36 резолюции, а през деветия си мандат Парламентът прие 38 резолюции, в които възразява срещу разрешаването на ГМО.</w:t>
      </w:r>
    </w:p>
  </w:footnote>
  <w:footnote w:id="6">
    <w:p w:rsidR="002A76DA" w:rsidRPr="006270EC" w:rsidRDefault="002A76DA" w:rsidP="006270EC">
      <w:pPr>
        <w:pStyle w:val="FootnoteText"/>
        <w:ind w:left="567" w:hanging="567"/>
        <w:rPr>
          <w:sz w:val="24"/>
          <w:lang w:val="bg-BG"/>
        </w:rPr>
      </w:pPr>
      <w:r w:rsidRPr="006270EC">
        <w:rPr>
          <w:rStyle w:val="FootnoteReference"/>
          <w:sz w:val="24"/>
          <w:szCs w:val="22"/>
          <w:lang w:val="bg-BG"/>
        </w:rPr>
        <w:footnoteRef/>
      </w:r>
      <w:r w:rsidR="006270EC" w:rsidRPr="006270EC">
        <w:rPr>
          <w:sz w:val="24"/>
          <w:lang w:val="bg-BG"/>
        </w:rPr>
        <w:t xml:space="preserve"> </w:t>
      </w:r>
      <w:r w:rsidR="006270EC" w:rsidRPr="006270EC">
        <w:rPr>
          <w:sz w:val="24"/>
          <w:lang w:val="bg-BG"/>
        </w:rPr>
        <w:tab/>
      </w:r>
      <w:r w:rsidRPr="006270EC">
        <w:rPr>
          <w:sz w:val="24"/>
          <w:lang w:val="bg-BG"/>
        </w:rPr>
        <w:t xml:space="preserve">Регламент за изпълнение (ЕС) № 503/2013 на Комисията от 3 април 2013 г. относно заявленията за разрешение за генетично модифицирани храни и фуражи в съответствие с Регламент (ЕО) № 1829/2003 на Европейския парламент и на Съвета и за изменение на регламенти (ЕО) № 641/2004 и (ЕО) № 1981/2006 на Комисията (ОВ L 157, 8.6.2013 г., стр. 1, ELI: </w:t>
      </w:r>
      <w:hyperlink r:id="rId4"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6270EC">
          <w:rPr>
            <w:rStyle w:val="Hyperlink"/>
            <w:sz w:val="24"/>
            <w:lang w:val="bg-BG"/>
          </w:rPr>
          <w:t>http://data.europa.eu/eli/reg_impl/2013/503/oj</w:t>
        </w:r>
      </w:hyperlink>
      <w:r w:rsidRPr="006270EC">
        <w:rPr>
          <w:sz w:val="24"/>
          <w:lang w:val="bg-BG"/>
        </w:rPr>
        <w:t>).</w:t>
      </w:r>
    </w:p>
  </w:footnote>
  <w:footnote w:id="7">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r w:rsidRPr="006270EC">
        <w:rPr>
          <w:sz w:val="24"/>
          <w:lang w:val="bg-BG"/>
        </w:rPr>
        <w:t xml:space="preserve">Вж. например </w:t>
      </w:r>
      <w:proofErr w:type="spellStart"/>
      <w:r w:rsidRPr="006270EC">
        <w:rPr>
          <w:sz w:val="24"/>
          <w:lang w:val="bg-BG"/>
        </w:rPr>
        <w:t>Schulz</w:t>
      </w:r>
      <w:proofErr w:type="spellEnd"/>
      <w:r w:rsidRPr="006270EC">
        <w:rPr>
          <w:sz w:val="24"/>
          <w:lang w:val="bg-BG"/>
        </w:rPr>
        <w:t xml:space="preserve">, R., </w:t>
      </w:r>
      <w:proofErr w:type="spellStart"/>
      <w:r w:rsidRPr="006270EC">
        <w:rPr>
          <w:sz w:val="24"/>
          <w:lang w:val="bg-BG"/>
        </w:rPr>
        <w:t>Bub</w:t>
      </w:r>
      <w:proofErr w:type="spellEnd"/>
      <w:r w:rsidRPr="006270EC">
        <w:rPr>
          <w:sz w:val="24"/>
          <w:lang w:val="bg-BG"/>
        </w:rPr>
        <w:t xml:space="preserve">, S., </w:t>
      </w:r>
      <w:proofErr w:type="spellStart"/>
      <w:r w:rsidRPr="006270EC">
        <w:rPr>
          <w:sz w:val="24"/>
          <w:lang w:val="bg-BG"/>
        </w:rPr>
        <w:t>Petschick</w:t>
      </w:r>
      <w:proofErr w:type="spellEnd"/>
      <w:r w:rsidRPr="006270EC">
        <w:rPr>
          <w:sz w:val="24"/>
          <w:lang w:val="bg-BG"/>
        </w:rPr>
        <w:t xml:space="preserve">, L. L., </w:t>
      </w:r>
      <w:proofErr w:type="spellStart"/>
      <w:r w:rsidRPr="006270EC">
        <w:rPr>
          <w:sz w:val="24"/>
          <w:lang w:val="bg-BG"/>
        </w:rPr>
        <w:t>Stehle</w:t>
      </w:r>
      <w:proofErr w:type="spellEnd"/>
      <w:r w:rsidRPr="006270EC">
        <w:rPr>
          <w:sz w:val="24"/>
          <w:lang w:val="bg-BG"/>
        </w:rPr>
        <w:t xml:space="preserve">, S., </w:t>
      </w:r>
      <w:proofErr w:type="spellStart"/>
      <w:r w:rsidRPr="006270EC">
        <w:rPr>
          <w:sz w:val="24"/>
          <w:lang w:val="bg-BG"/>
        </w:rPr>
        <w:t>Wolfram</w:t>
      </w:r>
      <w:proofErr w:type="spellEnd"/>
      <w:r w:rsidRPr="006270EC">
        <w:rPr>
          <w:sz w:val="24"/>
          <w:lang w:val="bg-BG"/>
        </w:rPr>
        <w:t>, J. (2021) „</w:t>
      </w:r>
      <w:proofErr w:type="spellStart"/>
      <w:r w:rsidRPr="006270EC">
        <w:rPr>
          <w:sz w:val="24"/>
          <w:lang w:val="bg-BG"/>
        </w:rPr>
        <w:t>Applied</w:t>
      </w:r>
      <w:proofErr w:type="spellEnd"/>
      <w:r w:rsidRPr="006270EC">
        <w:rPr>
          <w:sz w:val="24"/>
          <w:lang w:val="bg-BG"/>
        </w:rPr>
        <w:t xml:space="preserve"> </w:t>
      </w:r>
      <w:proofErr w:type="spellStart"/>
      <w:r w:rsidRPr="006270EC">
        <w:rPr>
          <w:sz w:val="24"/>
          <w:lang w:val="bg-BG"/>
        </w:rPr>
        <w:t>pesticide</w:t>
      </w:r>
      <w:proofErr w:type="spellEnd"/>
      <w:r w:rsidRPr="006270EC">
        <w:rPr>
          <w:sz w:val="24"/>
          <w:lang w:val="bg-BG"/>
        </w:rPr>
        <w:t xml:space="preserve"> </w:t>
      </w:r>
      <w:proofErr w:type="spellStart"/>
      <w:r w:rsidRPr="006270EC">
        <w:rPr>
          <w:sz w:val="24"/>
          <w:lang w:val="bg-BG"/>
        </w:rPr>
        <w:t>toxicity</w:t>
      </w:r>
      <w:proofErr w:type="spellEnd"/>
      <w:r w:rsidRPr="006270EC">
        <w:rPr>
          <w:sz w:val="24"/>
          <w:lang w:val="bg-BG"/>
        </w:rPr>
        <w:t xml:space="preserve"> </w:t>
      </w:r>
      <w:proofErr w:type="spellStart"/>
      <w:r w:rsidRPr="006270EC">
        <w:rPr>
          <w:sz w:val="24"/>
          <w:lang w:val="bg-BG"/>
        </w:rPr>
        <w:t>shifts</w:t>
      </w:r>
      <w:proofErr w:type="spellEnd"/>
      <w:r w:rsidRPr="006270EC">
        <w:rPr>
          <w:sz w:val="24"/>
          <w:lang w:val="bg-BG"/>
        </w:rPr>
        <w:t xml:space="preserve"> </w:t>
      </w:r>
      <w:proofErr w:type="spellStart"/>
      <w:r w:rsidRPr="006270EC">
        <w:rPr>
          <w:sz w:val="24"/>
          <w:lang w:val="bg-BG"/>
        </w:rPr>
        <w:t>toward</w:t>
      </w:r>
      <w:proofErr w:type="spellEnd"/>
      <w:r w:rsidRPr="006270EC">
        <w:rPr>
          <w:sz w:val="24"/>
          <w:lang w:val="bg-BG"/>
        </w:rPr>
        <w:t xml:space="preserve"> </w:t>
      </w:r>
      <w:proofErr w:type="spellStart"/>
      <w:r w:rsidRPr="006270EC">
        <w:rPr>
          <w:sz w:val="24"/>
          <w:lang w:val="bg-BG"/>
        </w:rPr>
        <w:t>plants</w:t>
      </w:r>
      <w:proofErr w:type="spellEnd"/>
      <w:r w:rsidRPr="006270EC">
        <w:rPr>
          <w:sz w:val="24"/>
          <w:lang w:val="bg-BG"/>
        </w:rPr>
        <w:t xml:space="preserve"> </w:t>
      </w:r>
      <w:proofErr w:type="spellStart"/>
      <w:r w:rsidRPr="006270EC">
        <w:rPr>
          <w:sz w:val="24"/>
          <w:lang w:val="bg-BG"/>
        </w:rPr>
        <w:t>and</w:t>
      </w:r>
      <w:proofErr w:type="spellEnd"/>
      <w:r w:rsidRPr="006270EC">
        <w:rPr>
          <w:sz w:val="24"/>
          <w:lang w:val="bg-BG"/>
        </w:rPr>
        <w:t xml:space="preserve"> </w:t>
      </w:r>
      <w:proofErr w:type="spellStart"/>
      <w:r w:rsidRPr="006270EC">
        <w:rPr>
          <w:sz w:val="24"/>
          <w:lang w:val="bg-BG"/>
        </w:rPr>
        <w:t>invertebrates</w:t>
      </w:r>
      <w:proofErr w:type="spellEnd"/>
      <w:r w:rsidRPr="006270EC">
        <w:rPr>
          <w:sz w:val="24"/>
          <w:lang w:val="bg-BG"/>
        </w:rPr>
        <w:t xml:space="preserve">, </w:t>
      </w:r>
      <w:proofErr w:type="spellStart"/>
      <w:r w:rsidRPr="006270EC">
        <w:rPr>
          <w:sz w:val="24"/>
          <w:lang w:val="bg-BG"/>
        </w:rPr>
        <w:t>even</w:t>
      </w:r>
      <w:proofErr w:type="spellEnd"/>
      <w:r w:rsidRPr="006270EC">
        <w:rPr>
          <w:sz w:val="24"/>
          <w:lang w:val="bg-BG"/>
        </w:rPr>
        <w:t xml:space="preserve"> in GM </w:t>
      </w:r>
      <w:proofErr w:type="spellStart"/>
      <w:r w:rsidRPr="006270EC">
        <w:rPr>
          <w:sz w:val="24"/>
          <w:lang w:val="bg-BG"/>
        </w:rPr>
        <w:t>crops</w:t>
      </w:r>
      <w:proofErr w:type="spellEnd"/>
      <w:r w:rsidRPr="006270EC">
        <w:rPr>
          <w:sz w:val="24"/>
          <w:lang w:val="bg-BG"/>
        </w:rPr>
        <w:t xml:space="preserve">“ (Въздействие на токсичността на приложените пестициди върху растенията и безгръбначните, дори при генетично модифицираните култури), Science 372 (6537), стр. 81 – 84, </w:t>
      </w:r>
      <w:hyperlink r:id="rId5" w:history="1">
        <w:r w:rsidRPr="006270EC">
          <w:rPr>
            <w:rStyle w:val="Hyperlink"/>
            <w:sz w:val="24"/>
            <w:lang w:val="bg-BG"/>
          </w:rPr>
          <w:t>https://doi.org/10.1126/science.abe1148</w:t>
        </w:r>
      </w:hyperlink>
      <w:r w:rsidRPr="006270EC">
        <w:rPr>
          <w:rStyle w:val="Hyperlink"/>
          <w:sz w:val="24"/>
          <w:lang w:val="bg-BG"/>
        </w:rPr>
        <w:t>;</w:t>
      </w:r>
      <w:r w:rsidRPr="006270EC">
        <w:rPr>
          <w:sz w:val="24"/>
          <w:lang w:val="bg-BG"/>
        </w:rPr>
        <w:t xml:space="preserve"> </w:t>
      </w:r>
      <w:proofErr w:type="spellStart"/>
      <w:r w:rsidRPr="006270EC">
        <w:rPr>
          <w:sz w:val="24"/>
          <w:lang w:val="bg-BG"/>
        </w:rPr>
        <w:t>Bonny</w:t>
      </w:r>
      <w:proofErr w:type="spellEnd"/>
      <w:r w:rsidRPr="006270EC">
        <w:rPr>
          <w:sz w:val="24"/>
          <w:lang w:val="bg-BG"/>
        </w:rPr>
        <w:t>, S., „</w:t>
      </w:r>
      <w:proofErr w:type="spellStart"/>
      <w:r w:rsidRPr="006270EC">
        <w:rPr>
          <w:sz w:val="24"/>
          <w:lang w:val="bg-BG"/>
        </w:rPr>
        <w:t>Genetically</w:t>
      </w:r>
      <w:proofErr w:type="spellEnd"/>
      <w:r w:rsidRPr="006270EC">
        <w:rPr>
          <w:sz w:val="24"/>
          <w:lang w:val="bg-BG"/>
        </w:rPr>
        <w:t xml:space="preserve"> </w:t>
      </w:r>
      <w:proofErr w:type="spellStart"/>
      <w:r w:rsidRPr="006270EC">
        <w:rPr>
          <w:sz w:val="24"/>
          <w:lang w:val="bg-BG"/>
        </w:rPr>
        <w:t>Modified</w:t>
      </w:r>
      <w:proofErr w:type="spellEnd"/>
      <w:r w:rsidRPr="006270EC">
        <w:rPr>
          <w:sz w:val="24"/>
          <w:lang w:val="bg-BG"/>
        </w:rPr>
        <w:t xml:space="preserve"> </w:t>
      </w:r>
      <w:proofErr w:type="spellStart"/>
      <w:r w:rsidRPr="006270EC">
        <w:rPr>
          <w:sz w:val="24"/>
          <w:lang w:val="bg-BG"/>
        </w:rPr>
        <w:t>Herbicide-Tolerant</w:t>
      </w:r>
      <w:proofErr w:type="spellEnd"/>
      <w:r w:rsidRPr="006270EC">
        <w:rPr>
          <w:sz w:val="24"/>
          <w:lang w:val="bg-BG"/>
        </w:rPr>
        <w:t xml:space="preserve"> </w:t>
      </w:r>
      <w:proofErr w:type="spellStart"/>
      <w:r w:rsidRPr="006270EC">
        <w:rPr>
          <w:sz w:val="24"/>
          <w:lang w:val="bg-BG"/>
        </w:rPr>
        <w:t>Crops</w:t>
      </w:r>
      <w:proofErr w:type="spellEnd"/>
      <w:r w:rsidRPr="006270EC">
        <w:rPr>
          <w:sz w:val="24"/>
          <w:lang w:val="bg-BG"/>
        </w:rPr>
        <w:t xml:space="preserve">, </w:t>
      </w:r>
      <w:proofErr w:type="spellStart"/>
      <w:r w:rsidRPr="006270EC">
        <w:rPr>
          <w:sz w:val="24"/>
          <w:lang w:val="bg-BG"/>
        </w:rPr>
        <w:t>Weeds</w:t>
      </w:r>
      <w:proofErr w:type="spellEnd"/>
      <w:r w:rsidRPr="006270EC">
        <w:rPr>
          <w:sz w:val="24"/>
          <w:lang w:val="bg-BG"/>
        </w:rPr>
        <w:t xml:space="preserve">, </w:t>
      </w:r>
      <w:proofErr w:type="spellStart"/>
      <w:r w:rsidRPr="006270EC">
        <w:rPr>
          <w:sz w:val="24"/>
          <w:lang w:val="bg-BG"/>
        </w:rPr>
        <w:t>and</w:t>
      </w:r>
      <w:proofErr w:type="spellEnd"/>
      <w:r w:rsidRPr="006270EC">
        <w:rPr>
          <w:sz w:val="24"/>
          <w:lang w:val="bg-BG"/>
        </w:rPr>
        <w:t xml:space="preserve"> </w:t>
      </w:r>
      <w:proofErr w:type="spellStart"/>
      <w:r w:rsidRPr="006270EC">
        <w:rPr>
          <w:sz w:val="24"/>
          <w:lang w:val="bg-BG"/>
        </w:rPr>
        <w:t>Herbicides</w:t>
      </w:r>
      <w:proofErr w:type="spellEnd"/>
      <w:r w:rsidRPr="006270EC">
        <w:rPr>
          <w:sz w:val="24"/>
          <w:lang w:val="bg-BG"/>
        </w:rPr>
        <w:t xml:space="preserve">: </w:t>
      </w:r>
      <w:proofErr w:type="spellStart"/>
      <w:r w:rsidRPr="006270EC">
        <w:rPr>
          <w:sz w:val="24"/>
          <w:lang w:val="bg-BG"/>
        </w:rPr>
        <w:t>Overview</w:t>
      </w:r>
      <w:proofErr w:type="spellEnd"/>
      <w:r w:rsidRPr="006270EC">
        <w:rPr>
          <w:sz w:val="24"/>
          <w:lang w:val="bg-BG"/>
        </w:rPr>
        <w:t xml:space="preserve"> </w:t>
      </w:r>
      <w:proofErr w:type="spellStart"/>
      <w:r w:rsidRPr="006270EC">
        <w:rPr>
          <w:sz w:val="24"/>
          <w:lang w:val="bg-BG"/>
        </w:rPr>
        <w:t>and</w:t>
      </w:r>
      <w:proofErr w:type="spellEnd"/>
      <w:r w:rsidRPr="006270EC">
        <w:rPr>
          <w:sz w:val="24"/>
          <w:lang w:val="bg-BG"/>
        </w:rPr>
        <w:t xml:space="preserve"> </w:t>
      </w:r>
      <w:proofErr w:type="spellStart"/>
      <w:r w:rsidRPr="006270EC">
        <w:rPr>
          <w:sz w:val="24"/>
          <w:lang w:val="bg-BG"/>
        </w:rPr>
        <w:t>Impact</w:t>
      </w:r>
      <w:proofErr w:type="spellEnd"/>
      <w:r w:rsidRPr="006270EC">
        <w:rPr>
          <w:sz w:val="24"/>
          <w:lang w:val="bg-BG"/>
        </w:rPr>
        <w:t xml:space="preserve">“ (Устойчиви на хербициди генетично модифицирани култури, плевели и хербициди: преглед и въздействие), </w:t>
      </w:r>
      <w:proofErr w:type="spellStart"/>
      <w:r w:rsidRPr="006270EC">
        <w:rPr>
          <w:sz w:val="24"/>
          <w:lang w:val="bg-BG"/>
        </w:rPr>
        <w:t>Environmental</w:t>
      </w:r>
      <w:proofErr w:type="spellEnd"/>
      <w:r w:rsidRPr="006270EC">
        <w:rPr>
          <w:sz w:val="24"/>
          <w:lang w:val="bg-BG"/>
        </w:rPr>
        <w:t xml:space="preserve"> </w:t>
      </w:r>
      <w:proofErr w:type="spellStart"/>
      <w:r w:rsidRPr="006270EC">
        <w:rPr>
          <w:sz w:val="24"/>
          <w:lang w:val="bg-BG"/>
        </w:rPr>
        <w:t>Management</w:t>
      </w:r>
      <w:proofErr w:type="spellEnd"/>
      <w:r w:rsidRPr="006270EC">
        <w:rPr>
          <w:sz w:val="24"/>
          <w:lang w:val="bg-BG"/>
        </w:rPr>
        <w:t xml:space="preserve">, януари 2016 г.; 57(1), стр. 31 – 48, </w:t>
      </w:r>
      <w:hyperlink r:id="rId6" w:history="1">
        <w:r w:rsidRPr="006270EC">
          <w:rPr>
            <w:rStyle w:val="Hyperlink"/>
            <w:sz w:val="24"/>
            <w:lang w:val="bg-BG"/>
          </w:rPr>
          <w:t>https://www.ncbi.nlm.nih.gov/pubmed/26296738</w:t>
        </w:r>
      </w:hyperlink>
      <w:r w:rsidRPr="006270EC">
        <w:rPr>
          <w:rStyle w:val="Hyperlink"/>
          <w:sz w:val="24"/>
          <w:lang w:val="bg-BG"/>
        </w:rPr>
        <w:t>;</w:t>
      </w:r>
      <w:r w:rsidRPr="006270EC">
        <w:rPr>
          <w:sz w:val="24"/>
          <w:lang w:val="bg-BG"/>
        </w:rPr>
        <w:t xml:space="preserve"> и </w:t>
      </w:r>
      <w:proofErr w:type="spellStart"/>
      <w:r w:rsidRPr="006270EC">
        <w:rPr>
          <w:sz w:val="24"/>
          <w:lang w:val="bg-BG"/>
        </w:rPr>
        <w:t>Benbrook</w:t>
      </w:r>
      <w:proofErr w:type="spellEnd"/>
      <w:r w:rsidRPr="006270EC">
        <w:rPr>
          <w:sz w:val="24"/>
          <w:lang w:val="bg-BG"/>
        </w:rPr>
        <w:t>, C. M., „</w:t>
      </w:r>
      <w:proofErr w:type="spellStart"/>
      <w:r w:rsidRPr="006270EC">
        <w:rPr>
          <w:sz w:val="24"/>
          <w:lang w:val="bg-BG"/>
        </w:rPr>
        <w:t>Impacts</w:t>
      </w:r>
      <w:proofErr w:type="spellEnd"/>
      <w:r w:rsidRPr="006270EC">
        <w:rPr>
          <w:sz w:val="24"/>
          <w:lang w:val="bg-BG"/>
        </w:rPr>
        <w:t xml:space="preserve"> </w:t>
      </w:r>
      <w:proofErr w:type="spellStart"/>
      <w:r w:rsidRPr="006270EC">
        <w:rPr>
          <w:sz w:val="24"/>
          <w:lang w:val="bg-BG"/>
        </w:rPr>
        <w:t>of</w:t>
      </w:r>
      <w:proofErr w:type="spellEnd"/>
      <w:r w:rsidRPr="006270EC">
        <w:rPr>
          <w:sz w:val="24"/>
          <w:lang w:val="bg-BG"/>
        </w:rPr>
        <w:t xml:space="preserve"> </w:t>
      </w:r>
      <w:proofErr w:type="spellStart"/>
      <w:r w:rsidRPr="006270EC">
        <w:rPr>
          <w:sz w:val="24"/>
          <w:lang w:val="bg-BG"/>
        </w:rPr>
        <w:t>genetically</w:t>
      </w:r>
      <w:proofErr w:type="spellEnd"/>
      <w:r w:rsidRPr="006270EC">
        <w:rPr>
          <w:sz w:val="24"/>
          <w:lang w:val="bg-BG"/>
        </w:rPr>
        <w:t xml:space="preserve"> </w:t>
      </w:r>
      <w:proofErr w:type="spellStart"/>
      <w:r w:rsidRPr="006270EC">
        <w:rPr>
          <w:sz w:val="24"/>
          <w:lang w:val="bg-BG"/>
        </w:rPr>
        <w:t>engineering</w:t>
      </w:r>
      <w:proofErr w:type="spellEnd"/>
      <w:r w:rsidRPr="006270EC">
        <w:rPr>
          <w:sz w:val="24"/>
          <w:lang w:val="bg-BG"/>
        </w:rPr>
        <w:t xml:space="preserve"> </w:t>
      </w:r>
      <w:proofErr w:type="spellStart"/>
      <w:r w:rsidRPr="006270EC">
        <w:rPr>
          <w:sz w:val="24"/>
          <w:lang w:val="bg-BG"/>
        </w:rPr>
        <w:t>crops</w:t>
      </w:r>
      <w:proofErr w:type="spellEnd"/>
      <w:r w:rsidRPr="006270EC">
        <w:rPr>
          <w:sz w:val="24"/>
          <w:lang w:val="bg-BG"/>
        </w:rPr>
        <w:t xml:space="preserve"> </w:t>
      </w:r>
      <w:proofErr w:type="spellStart"/>
      <w:r w:rsidRPr="006270EC">
        <w:rPr>
          <w:sz w:val="24"/>
          <w:lang w:val="bg-BG"/>
        </w:rPr>
        <w:t>on</w:t>
      </w:r>
      <w:proofErr w:type="spellEnd"/>
      <w:r w:rsidRPr="006270EC">
        <w:rPr>
          <w:sz w:val="24"/>
          <w:lang w:val="bg-BG"/>
        </w:rPr>
        <w:t xml:space="preserve"> </w:t>
      </w:r>
      <w:proofErr w:type="spellStart"/>
      <w:r w:rsidRPr="006270EC">
        <w:rPr>
          <w:sz w:val="24"/>
          <w:lang w:val="bg-BG"/>
        </w:rPr>
        <w:t>pesticide</w:t>
      </w:r>
      <w:proofErr w:type="spellEnd"/>
      <w:r w:rsidRPr="006270EC">
        <w:rPr>
          <w:sz w:val="24"/>
          <w:lang w:val="bg-BG"/>
        </w:rPr>
        <w:t xml:space="preserve"> </w:t>
      </w:r>
      <w:proofErr w:type="spellStart"/>
      <w:r w:rsidRPr="006270EC">
        <w:rPr>
          <w:sz w:val="24"/>
          <w:lang w:val="bg-BG"/>
        </w:rPr>
        <w:t>use</w:t>
      </w:r>
      <w:proofErr w:type="spellEnd"/>
      <w:r w:rsidRPr="006270EC">
        <w:rPr>
          <w:sz w:val="24"/>
          <w:lang w:val="bg-BG"/>
        </w:rPr>
        <w:t xml:space="preserve"> in </w:t>
      </w:r>
      <w:proofErr w:type="spellStart"/>
      <w:r w:rsidRPr="006270EC">
        <w:rPr>
          <w:sz w:val="24"/>
          <w:lang w:val="bg-BG"/>
        </w:rPr>
        <w:t>the</w:t>
      </w:r>
      <w:proofErr w:type="spellEnd"/>
      <w:r w:rsidRPr="006270EC">
        <w:rPr>
          <w:sz w:val="24"/>
          <w:lang w:val="bg-BG"/>
        </w:rPr>
        <w:t xml:space="preserve"> U.S. – </w:t>
      </w:r>
      <w:proofErr w:type="spellStart"/>
      <w:r w:rsidRPr="006270EC">
        <w:rPr>
          <w:sz w:val="24"/>
          <w:lang w:val="bg-BG"/>
        </w:rPr>
        <w:t>the</w:t>
      </w:r>
      <w:proofErr w:type="spellEnd"/>
      <w:r w:rsidRPr="006270EC">
        <w:rPr>
          <w:sz w:val="24"/>
          <w:lang w:val="bg-BG"/>
        </w:rPr>
        <w:t xml:space="preserve"> </w:t>
      </w:r>
      <w:proofErr w:type="spellStart"/>
      <w:r w:rsidRPr="006270EC">
        <w:rPr>
          <w:sz w:val="24"/>
          <w:lang w:val="bg-BG"/>
        </w:rPr>
        <w:t>first</w:t>
      </w:r>
      <w:proofErr w:type="spellEnd"/>
      <w:r w:rsidRPr="006270EC">
        <w:rPr>
          <w:sz w:val="24"/>
          <w:lang w:val="bg-BG"/>
        </w:rPr>
        <w:t xml:space="preserve"> </w:t>
      </w:r>
      <w:proofErr w:type="spellStart"/>
      <w:r w:rsidRPr="006270EC">
        <w:rPr>
          <w:sz w:val="24"/>
          <w:lang w:val="bg-BG"/>
        </w:rPr>
        <w:t>sixteen</w:t>
      </w:r>
      <w:proofErr w:type="spellEnd"/>
      <w:r w:rsidRPr="006270EC">
        <w:rPr>
          <w:sz w:val="24"/>
          <w:lang w:val="bg-BG"/>
        </w:rPr>
        <w:t xml:space="preserve"> </w:t>
      </w:r>
      <w:proofErr w:type="spellStart"/>
      <w:r w:rsidRPr="006270EC">
        <w:rPr>
          <w:sz w:val="24"/>
          <w:lang w:val="bg-BG"/>
        </w:rPr>
        <w:t>years</w:t>
      </w:r>
      <w:proofErr w:type="spellEnd"/>
      <w:r w:rsidRPr="006270EC">
        <w:rPr>
          <w:sz w:val="24"/>
          <w:lang w:val="bg-BG"/>
        </w:rPr>
        <w:t xml:space="preserve">“ (Въздействие на генетично създадените култури върху използването на пестициди в САЩ – първите шестнадесет години), </w:t>
      </w:r>
      <w:proofErr w:type="spellStart"/>
      <w:r w:rsidRPr="006270EC">
        <w:rPr>
          <w:sz w:val="24"/>
          <w:lang w:val="bg-BG"/>
        </w:rPr>
        <w:t>Environmental</w:t>
      </w:r>
      <w:proofErr w:type="spellEnd"/>
      <w:r w:rsidRPr="006270EC">
        <w:rPr>
          <w:sz w:val="24"/>
          <w:lang w:val="bg-BG"/>
        </w:rPr>
        <w:t xml:space="preserve"> </w:t>
      </w:r>
      <w:proofErr w:type="spellStart"/>
      <w:r w:rsidRPr="006270EC">
        <w:rPr>
          <w:sz w:val="24"/>
          <w:lang w:val="bg-BG"/>
        </w:rPr>
        <w:t>Sciences</w:t>
      </w:r>
      <w:proofErr w:type="spellEnd"/>
      <w:r w:rsidRPr="006270EC">
        <w:rPr>
          <w:sz w:val="24"/>
          <w:lang w:val="bg-BG"/>
        </w:rPr>
        <w:t xml:space="preserve"> </w:t>
      </w:r>
      <w:proofErr w:type="spellStart"/>
      <w:r w:rsidRPr="006270EC">
        <w:rPr>
          <w:sz w:val="24"/>
          <w:lang w:val="bg-BG"/>
        </w:rPr>
        <w:t>Europe</w:t>
      </w:r>
      <w:proofErr w:type="spellEnd"/>
      <w:r w:rsidRPr="006270EC">
        <w:rPr>
          <w:sz w:val="24"/>
          <w:lang w:val="bg-BG"/>
        </w:rPr>
        <w:t xml:space="preserve">, 28 септември 2012 г., том 24 (1), </w:t>
      </w:r>
      <w:hyperlink r:id="rId7" w:history="1">
        <w:r w:rsidRPr="006270EC">
          <w:rPr>
            <w:rStyle w:val="Hyperlink"/>
            <w:sz w:val="24"/>
            <w:lang w:val="bg-BG"/>
          </w:rPr>
          <w:t>https://enveurope.springeropen.com/articles/10.1186/2190-4715-24-24</w:t>
        </w:r>
      </w:hyperlink>
      <w:r w:rsidRPr="006270EC">
        <w:rPr>
          <w:rStyle w:val="Hyperlink"/>
          <w:sz w:val="24"/>
          <w:lang w:val="bg-BG"/>
        </w:rPr>
        <w:t>.</w:t>
      </w:r>
    </w:p>
  </w:footnote>
  <w:footnote w:id="8">
    <w:p w:rsidR="002A76DA" w:rsidRPr="006270EC" w:rsidRDefault="002A76DA" w:rsidP="006270EC">
      <w:pPr>
        <w:pStyle w:val="FootnoteText"/>
        <w:ind w:left="567" w:hanging="567"/>
        <w:rPr>
          <w:sz w:val="24"/>
          <w:lang w:val="bg-BG"/>
        </w:rPr>
      </w:pPr>
      <w:r w:rsidRPr="006270EC">
        <w:rPr>
          <w:rStyle w:val="FootnoteReference"/>
          <w:sz w:val="24"/>
          <w:szCs w:val="22"/>
          <w:lang w:val="bg-BG"/>
        </w:rPr>
        <w:footnoteRef/>
      </w:r>
      <w:r w:rsidR="006270EC" w:rsidRPr="006270EC">
        <w:rPr>
          <w:sz w:val="24"/>
          <w:lang w:val="bg-BG"/>
        </w:rPr>
        <w:t xml:space="preserve"> </w:t>
      </w:r>
      <w:r w:rsidR="006270EC" w:rsidRPr="006270EC">
        <w:rPr>
          <w:sz w:val="24"/>
          <w:lang w:val="bg-BG"/>
        </w:rPr>
        <w:tab/>
      </w:r>
      <w:r w:rsidRPr="006270EC">
        <w:rPr>
          <w:sz w:val="24"/>
          <w:lang w:val="bg-BG"/>
        </w:rPr>
        <w:t xml:space="preserve">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 24.11.2009 г., стр. 1, ELI: </w:t>
      </w:r>
      <w:hyperlink r:id="rId8"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6270EC">
          <w:rPr>
            <w:rStyle w:val="Hyperlink"/>
            <w:sz w:val="24"/>
            <w:lang w:val="bg-BG"/>
          </w:rPr>
          <w:t>http://data.europa.eu/eli/reg/2009/1107/oj</w:t>
        </w:r>
      </w:hyperlink>
      <w:r w:rsidRPr="006270EC">
        <w:rPr>
          <w:sz w:val="24"/>
          <w:lang w:val="bg-BG"/>
        </w:rPr>
        <w:t>).</w:t>
      </w:r>
    </w:p>
  </w:footnote>
  <w:footnote w:id="9">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r w:rsidRPr="006270EC">
        <w:rPr>
          <w:sz w:val="24"/>
          <w:lang w:val="bg-BG"/>
        </w:rPr>
        <w:t xml:space="preserve">Вж. например </w:t>
      </w:r>
      <w:hyperlink r:id="rId9" w:history="1">
        <w:r w:rsidRPr="006270EC">
          <w:rPr>
            <w:rStyle w:val="Hyperlink"/>
            <w:sz w:val="24"/>
            <w:lang w:val="bg-BG"/>
          </w:rPr>
          <w:t>https://www.sciencedirect.com/science/article/pii/S1383574218300887</w:t>
        </w:r>
      </w:hyperlink>
      <w:r w:rsidRPr="006270EC">
        <w:rPr>
          <w:sz w:val="24"/>
          <w:lang w:val="bg-BG"/>
        </w:rPr>
        <w:t xml:space="preserve">, </w:t>
      </w:r>
      <w:hyperlink r:id="rId10" w:history="1">
        <w:r w:rsidRPr="006270EC">
          <w:rPr>
            <w:rStyle w:val="Hyperlink"/>
            <w:sz w:val="24"/>
            <w:lang w:val="bg-BG"/>
          </w:rPr>
          <w:t>https://academic.oup.com/ije/advance-article/doi/10.1093/ije/dyz017/5382278</w:t>
        </w:r>
      </w:hyperlink>
      <w:r w:rsidRPr="006270EC">
        <w:rPr>
          <w:sz w:val="24"/>
          <w:lang w:val="bg-BG"/>
        </w:rPr>
        <w:t xml:space="preserve">, </w:t>
      </w:r>
      <w:hyperlink r:id="rId11" w:history="1">
        <w:r w:rsidRPr="006270EC">
          <w:rPr>
            <w:rStyle w:val="Hyperlink"/>
            <w:sz w:val="24"/>
            <w:lang w:val="bg-BG"/>
          </w:rPr>
          <w:t>https://journals.plos.org/plosone/article?id=10.1371/journal.pone.0219610</w:t>
        </w:r>
      </w:hyperlink>
      <w:r w:rsidRPr="006270EC">
        <w:rPr>
          <w:sz w:val="24"/>
          <w:lang w:val="bg-BG"/>
        </w:rPr>
        <w:t xml:space="preserve"> и </w:t>
      </w:r>
      <w:hyperlink r:id="rId12" w:history="1">
        <w:r w:rsidRPr="006270EC">
          <w:rPr>
            <w:rStyle w:val="Hyperlink"/>
            <w:sz w:val="24"/>
            <w:lang w:val="bg-BG"/>
          </w:rPr>
          <w:t>https://www.ncbi.nlm.nih.gov/pmc/articles/PMC6612199/</w:t>
        </w:r>
      </w:hyperlink>
      <w:r w:rsidRPr="006270EC">
        <w:rPr>
          <w:rStyle w:val="Hyperlink"/>
          <w:sz w:val="24"/>
          <w:lang w:val="bg-BG"/>
        </w:rPr>
        <w:t>.</w:t>
      </w:r>
    </w:p>
  </w:footnote>
  <w:footnote w:id="10">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r w:rsidRPr="006270EC">
        <w:rPr>
          <w:sz w:val="24"/>
          <w:lang w:val="bg-BG"/>
        </w:rPr>
        <w:t xml:space="preserve">За преглед вж. </w:t>
      </w:r>
      <w:proofErr w:type="spellStart"/>
      <w:r w:rsidRPr="006270EC">
        <w:rPr>
          <w:sz w:val="24"/>
          <w:lang w:val="bg-BG"/>
        </w:rPr>
        <w:t>Rubio-Infante</w:t>
      </w:r>
      <w:proofErr w:type="spellEnd"/>
      <w:r w:rsidRPr="006270EC">
        <w:rPr>
          <w:sz w:val="24"/>
          <w:lang w:val="bg-BG"/>
        </w:rPr>
        <w:t xml:space="preserve">, N., </w:t>
      </w:r>
      <w:proofErr w:type="spellStart"/>
      <w:r w:rsidRPr="006270EC">
        <w:rPr>
          <w:sz w:val="24"/>
          <w:lang w:val="bg-BG"/>
        </w:rPr>
        <w:t>Moreno-Fierros</w:t>
      </w:r>
      <w:proofErr w:type="spellEnd"/>
      <w:r w:rsidRPr="006270EC">
        <w:rPr>
          <w:sz w:val="24"/>
          <w:lang w:val="bg-BG"/>
        </w:rPr>
        <w:t>, L., „</w:t>
      </w:r>
      <w:proofErr w:type="spellStart"/>
      <w:r w:rsidRPr="006270EC">
        <w:rPr>
          <w:sz w:val="24"/>
          <w:lang w:val="bg-BG"/>
        </w:rPr>
        <w:t>An</w:t>
      </w:r>
      <w:proofErr w:type="spellEnd"/>
      <w:r w:rsidRPr="006270EC">
        <w:rPr>
          <w:sz w:val="24"/>
          <w:lang w:val="bg-BG"/>
        </w:rPr>
        <w:t xml:space="preserve"> </w:t>
      </w:r>
      <w:proofErr w:type="spellStart"/>
      <w:r w:rsidRPr="006270EC">
        <w:rPr>
          <w:sz w:val="24"/>
          <w:lang w:val="bg-BG"/>
        </w:rPr>
        <w:t>overview</w:t>
      </w:r>
      <w:proofErr w:type="spellEnd"/>
      <w:r w:rsidRPr="006270EC">
        <w:rPr>
          <w:sz w:val="24"/>
          <w:lang w:val="bg-BG"/>
        </w:rPr>
        <w:t xml:space="preserve"> </w:t>
      </w:r>
      <w:proofErr w:type="spellStart"/>
      <w:r w:rsidRPr="006270EC">
        <w:rPr>
          <w:sz w:val="24"/>
          <w:lang w:val="bg-BG"/>
        </w:rPr>
        <w:t>of</w:t>
      </w:r>
      <w:proofErr w:type="spellEnd"/>
      <w:r w:rsidRPr="006270EC">
        <w:rPr>
          <w:sz w:val="24"/>
          <w:lang w:val="bg-BG"/>
        </w:rPr>
        <w:t xml:space="preserve"> </w:t>
      </w:r>
      <w:proofErr w:type="spellStart"/>
      <w:r w:rsidRPr="006270EC">
        <w:rPr>
          <w:sz w:val="24"/>
          <w:lang w:val="bg-BG"/>
        </w:rPr>
        <w:t>the</w:t>
      </w:r>
      <w:proofErr w:type="spellEnd"/>
      <w:r w:rsidRPr="006270EC">
        <w:rPr>
          <w:sz w:val="24"/>
          <w:lang w:val="bg-BG"/>
        </w:rPr>
        <w:t xml:space="preserve"> </w:t>
      </w:r>
      <w:proofErr w:type="spellStart"/>
      <w:r w:rsidRPr="006270EC">
        <w:rPr>
          <w:sz w:val="24"/>
          <w:lang w:val="bg-BG"/>
        </w:rPr>
        <w:t>safety</w:t>
      </w:r>
      <w:proofErr w:type="spellEnd"/>
      <w:r w:rsidRPr="006270EC">
        <w:rPr>
          <w:sz w:val="24"/>
          <w:lang w:val="bg-BG"/>
        </w:rPr>
        <w:t xml:space="preserve"> </w:t>
      </w:r>
      <w:proofErr w:type="spellStart"/>
      <w:r w:rsidRPr="006270EC">
        <w:rPr>
          <w:sz w:val="24"/>
          <w:lang w:val="bg-BG"/>
        </w:rPr>
        <w:t>and</w:t>
      </w:r>
      <w:proofErr w:type="spellEnd"/>
      <w:r w:rsidRPr="006270EC">
        <w:rPr>
          <w:sz w:val="24"/>
          <w:lang w:val="bg-BG"/>
        </w:rPr>
        <w:t xml:space="preserve"> </w:t>
      </w:r>
      <w:proofErr w:type="spellStart"/>
      <w:r w:rsidRPr="006270EC">
        <w:rPr>
          <w:sz w:val="24"/>
          <w:lang w:val="bg-BG"/>
        </w:rPr>
        <w:t>biological</w:t>
      </w:r>
      <w:proofErr w:type="spellEnd"/>
      <w:r w:rsidRPr="006270EC">
        <w:rPr>
          <w:sz w:val="24"/>
          <w:lang w:val="bg-BG"/>
        </w:rPr>
        <w:t xml:space="preserve"> </w:t>
      </w:r>
      <w:proofErr w:type="spellStart"/>
      <w:r w:rsidRPr="006270EC">
        <w:rPr>
          <w:sz w:val="24"/>
          <w:lang w:val="bg-BG"/>
        </w:rPr>
        <w:t>effects</w:t>
      </w:r>
      <w:proofErr w:type="spellEnd"/>
      <w:r w:rsidRPr="006270EC">
        <w:rPr>
          <w:sz w:val="24"/>
          <w:lang w:val="bg-BG"/>
        </w:rPr>
        <w:t xml:space="preserve"> </w:t>
      </w:r>
      <w:proofErr w:type="spellStart"/>
      <w:r w:rsidRPr="006270EC">
        <w:rPr>
          <w:sz w:val="24"/>
          <w:lang w:val="bg-BG"/>
        </w:rPr>
        <w:t>of</w:t>
      </w:r>
      <w:proofErr w:type="spellEnd"/>
      <w:r w:rsidRPr="006270EC">
        <w:rPr>
          <w:sz w:val="24"/>
          <w:lang w:val="bg-BG"/>
        </w:rPr>
        <w:t xml:space="preserve"> </w:t>
      </w:r>
      <w:proofErr w:type="spellStart"/>
      <w:r w:rsidRPr="006270EC">
        <w:rPr>
          <w:sz w:val="24"/>
          <w:lang w:val="bg-BG"/>
        </w:rPr>
        <w:t>Bacillus</w:t>
      </w:r>
      <w:proofErr w:type="spellEnd"/>
      <w:r w:rsidRPr="006270EC">
        <w:rPr>
          <w:sz w:val="24"/>
          <w:lang w:val="bg-BG"/>
        </w:rPr>
        <w:t xml:space="preserve"> </w:t>
      </w:r>
      <w:proofErr w:type="spellStart"/>
      <w:r w:rsidRPr="006270EC">
        <w:rPr>
          <w:sz w:val="24"/>
          <w:lang w:val="bg-BG"/>
        </w:rPr>
        <w:t>thuringiensis</w:t>
      </w:r>
      <w:proofErr w:type="spellEnd"/>
      <w:r w:rsidRPr="006270EC">
        <w:rPr>
          <w:sz w:val="24"/>
          <w:lang w:val="bg-BG"/>
        </w:rPr>
        <w:t xml:space="preserve"> </w:t>
      </w:r>
      <w:proofErr w:type="spellStart"/>
      <w:r w:rsidRPr="006270EC">
        <w:rPr>
          <w:sz w:val="24"/>
          <w:lang w:val="bg-BG"/>
        </w:rPr>
        <w:t>Cry</w:t>
      </w:r>
      <w:proofErr w:type="spellEnd"/>
      <w:r w:rsidRPr="006270EC">
        <w:rPr>
          <w:sz w:val="24"/>
          <w:lang w:val="bg-BG"/>
        </w:rPr>
        <w:t xml:space="preserve"> </w:t>
      </w:r>
      <w:proofErr w:type="spellStart"/>
      <w:r w:rsidRPr="006270EC">
        <w:rPr>
          <w:sz w:val="24"/>
          <w:lang w:val="bg-BG"/>
        </w:rPr>
        <w:t>toxins</w:t>
      </w:r>
      <w:proofErr w:type="spellEnd"/>
      <w:r w:rsidRPr="006270EC">
        <w:rPr>
          <w:sz w:val="24"/>
          <w:lang w:val="bg-BG"/>
        </w:rPr>
        <w:t xml:space="preserve"> in </w:t>
      </w:r>
      <w:proofErr w:type="spellStart"/>
      <w:r w:rsidRPr="006270EC">
        <w:rPr>
          <w:sz w:val="24"/>
          <w:lang w:val="bg-BG"/>
        </w:rPr>
        <w:t>mammals</w:t>
      </w:r>
      <w:proofErr w:type="spellEnd"/>
      <w:r w:rsidRPr="006270EC">
        <w:rPr>
          <w:sz w:val="24"/>
          <w:lang w:val="bg-BG"/>
        </w:rPr>
        <w:t xml:space="preserve">“ (Преглед на безопасността и биологичните ефекти на </w:t>
      </w:r>
      <w:proofErr w:type="spellStart"/>
      <w:r w:rsidRPr="006270EC">
        <w:rPr>
          <w:sz w:val="24"/>
          <w:lang w:val="bg-BG"/>
        </w:rPr>
        <w:t>Cry</w:t>
      </w:r>
      <w:proofErr w:type="spellEnd"/>
      <w:r w:rsidRPr="006270EC">
        <w:rPr>
          <w:sz w:val="24"/>
          <w:lang w:val="bg-BG"/>
        </w:rPr>
        <w:t xml:space="preserve"> токсините от </w:t>
      </w:r>
      <w:proofErr w:type="spellStart"/>
      <w:r w:rsidRPr="006270EC">
        <w:rPr>
          <w:sz w:val="24"/>
          <w:lang w:val="bg-BG"/>
        </w:rPr>
        <w:t>Bacillus</w:t>
      </w:r>
      <w:proofErr w:type="spellEnd"/>
      <w:r w:rsidRPr="006270EC">
        <w:rPr>
          <w:sz w:val="24"/>
          <w:lang w:val="bg-BG"/>
        </w:rPr>
        <w:t xml:space="preserve"> </w:t>
      </w:r>
      <w:proofErr w:type="spellStart"/>
      <w:r w:rsidRPr="006270EC">
        <w:rPr>
          <w:sz w:val="24"/>
          <w:lang w:val="bg-BG"/>
        </w:rPr>
        <w:t>thuringiensis</w:t>
      </w:r>
      <w:proofErr w:type="spellEnd"/>
      <w:r w:rsidRPr="006270EC">
        <w:rPr>
          <w:sz w:val="24"/>
          <w:lang w:val="bg-BG"/>
        </w:rPr>
        <w:t xml:space="preserve"> при бозайниците), </w:t>
      </w:r>
      <w:proofErr w:type="spellStart"/>
      <w:r w:rsidRPr="006270EC">
        <w:rPr>
          <w:sz w:val="24"/>
          <w:lang w:val="bg-BG"/>
        </w:rPr>
        <w:t>Journal</w:t>
      </w:r>
      <w:proofErr w:type="spellEnd"/>
      <w:r w:rsidRPr="006270EC">
        <w:rPr>
          <w:sz w:val="24"/>
          <w:lang w:val="bg-BG"/>
        </w:rPr>
        <w:t xml:space="preserve"> </w:t>
      </w:r>
      <w:proofErr w:type="spellStart"/>
      <w:r w:rsidRPr="006270EC">
        <w:rPr>
          <w:sz w:val="24"/>
          <w:lang w:val="bg-BG"/>
        </w:rPr>
        <w:t>of</w:t>
      </w:r>
      <w:proofErr w:type="spellEnd"/>
      <w:r w:rsidRPr="006270EC">
        <w:rPr>
          <w:sz w:val="24"/>
          <w:lang w:val="bg-BG"/>
        </w:rPr>
        <w:t xml:space="preserve"> </w:t>
      </w:r>
      <w:proofErr w:type="spellStart"/>
      <w:r w:rsidRPr="006270EC">
        <w:rPr>
          <w:sz w:val="24"/>
          <w:lang w:val="bg-BG"/>
        </w:rPr>
        <w:t>Applied</w:t>
      </w:r>
      <w:proofErr w:type="spellEnd"/>
      <w:r w:rsidRPr="006270EC">
        <w:rPr>
          <w:sz w:val="24"/>
          <w:lang w:val="bg-BG"/>
        </w:rPr>
        <w:t xml:space="preserve"> </w:t>
      </w:r>
      <w:proofErr w:type="spellStart"/>
      <w:r w:rsidRPr="006270EC">
        <w:rPr>
          <w:sz w:val="24"/>
          <w:lang w:val="bg-BG"/>
        </w:rPr>
        <w:t>Toxicology</w:t>
      </w:r>
      <w:proofErr w:type="spellEnd"/>
      <w:r w:rsidRPr="006270EC">
        <w:rPr>
          <w:sz w:val="24"/>
          <w:lang w:val="bg-BG"/>
        </w:rPr>
        <w:t xml:space="preserve">, май 2016 г., 36,5, стр. 630 – 648, </w:t>
      </w:r>
      <w:hyperlink r:id="rId13" w:history="1">
        <w:r w:rsidRPr="006270EC">
          <w:rPr>
            <w:rStyle w:val="Hyperlink"/>
            <w:sz w:val="24"/>
            <w:lang w:val="bg-BG"/>
          </w:rPr>
          <w:t>https://onlinelibrary.wiley.com/doi/full/10.1002/jat.3252</w:t>
        </w:r>
      </w:hyperlink>
      <w:r w:rsidRPr="006270EC">
        <w:rPr>
          <w:sz w:val="24"/>
          <w:lang w:val="bg-BG"/>
        </w:rPr>
        <w:t>.</w:t>
      </w:r>
    </w:p>
  </w:footnote>
  <w:footnote w:id="11">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hyperlink r:id="rId14" w:history="1">
        <w:r w:rsidRPr="006270EC">
          <w:rPr>
            <w:rStyle w:val="Hyperlink"/>
            <w:sz w:val="24"/>
            <w:lang w:val="bg-BG"/>
          </w:rPr>
          <w:t>https://www.sciencedirect.com/science/article/pii/S0278691516300722?via%3Dihub</w:t>
        </w:r>
      </w:hyperlink>
    </w:p>
  </w:footnote>
  <w:footnote w:id="12">
    <w:p w:rsidR="002A76DA" w:rsidRPr="006270EC" w:rsidRDefault="002A76DA" w:rsidP="006270EC">
      <w:pPr>
        <w:pStyle w:val="FootnoteText"/>
        <w:ind w:left="567" w:hanging="567"/>
        <w:rPr>
          <w:sz w:val="24"/>
          <w:lang w:val="bg-BG"/>
        </w:rPr>
      </w:pPr>
      <w:r w:rsidRPr="006270EC">
        <w:rPr>
          <w:rStyle w:val="FootnoteReference"/>
          <w:sz w:val="24"/>
          <w:szCs w:val="22"/>
          <w:lang w:val="bg-BG"/>
        </w:rPr>
        <w:footnoteRef/>
      </w:r>
      <w:r w:rsidR="006270EC" w:rsidRPr="006270EC">
        <w:rPr>
          <w:sz w:val="24"/>
          <w:lang w:val="bg-BG"/>
        </w:rPr>
        <w:t xml:space="preserve"> </w:t>
      </w:r>
      <w:r w:rsidR="006270EC" w:rsidRPr="006270EC">
        <w:rPr>
          <w:sz w:val="24"/>
          <w:lang w:val="bg-BG"/>
        </w:rPr>
        <w:tab/>
      </w:r>
      <w:proofErr w:type="spellStart"/>
      <w:r w:rsidRPr="006270EC">
        <w:rPr>
          <w:sz w:val="24"/>
          <w:lang w:val="bg-BG"/>
        </w:rPr>
        <w:t>Hilbeck</w:t>
      </w:r>
      <w:proofErr w:type="spellEnd"/>
      <w:r w:rsidRPr="006270EC">
        <w:rPr>
          <w:sz w:val="24"/>
          <w:lang w:val="bg-BG"/>
        </w:rPr>
        <w:t xml:space="preserve">, A., </w:t>
      </w:r>
      <w:proofErr w:type="spellStart"/>
      <w:r w:rsidRPr="006270EC">
        <w:rPr>
          <w:sz w:val="24"/>
          <w:lang w:val="bg-BG"/>
        </w:rPr>
        <w:t>Defarge</w:t>
      </w:r>
      <w:proofErr w:type="spellEnd"/>
      <w:r w:rsidRPr="006270EC">
        <w:rPr>
          <w:sz w:val="24"/>
          <w:lang w:val="bg-BG"/>
        </w:rPr>
        <w:t xml:space="preserve">, N., </w:t>
      </w:r>
      <w:proofErr w:type="spellStart"/>
      <w:r w:rsidRPr="006270EC">
        <w:rPr>
          <w:sz w:val="24"/>
          <w:lang w:val="bg-BG"/>
        </w:rPr>
        <w:t>Lebrecht</w:t>
      </w:r>
      <w:proofErr w:type="spellEnd"/>
      <w:r w:rsidRPr="006270EC">
        <w:rPr>
          <w:sz w:val="24"/>
          <w:lang w:val="bg-BG"/>
        </w:rPr>
        <w:t xml:space="preserve">, T., </w:t>
      </w:r>
      <w:proofErr w:type="spellStart"/>
      <w:r w:rsidRPr="006270EC">
        <w:rPr>
          <w:sz w:val="24"/>
          <w:lang w:val="bg-BG"/>
        </w:rPr>
        <w:t>Bøhn</w:t>
      </w:r>
      <w:proofErr w:type="spellEnd"/>
      <w:r w:rsidRPr="006270EC">
        <w:rPr>
          <w:sz w:val="24"/>
          <w:lang w:val="bg-BG"/>
        </w:rPr>
        <w:t>, T., „</w:t>
      </w:r>
      <w:proofErr w:type="spellStart"/>
      <w:r w:rsidRPr="006270EC">
        <w:rPr>
          <w:sz w:val="24"/>
          <w:lang w:val="bg-BG"/>
        </w:rPr>
        <w:t>Insecticidal</w:t>
      </w:r>
      <w:proofErr w:type="spellEnd"/>
      <w:r w:rsidRPr="006270EC">
        <w:rPr>
          <w:sz w:val="24"/>
          <w:lang w:val="bg-BG"/>
        </w:rPr>
        <w:t xml:space="preserve"> </w:t>
      </w:r>
      <w:proofErr w:type="spellStart"/>
      <w:r w:rsidRPr="006270EC">
        <w:rPr>
          <w:sz w:val="24"/>
          <w:lang w:val="bg-BG"/>
        </w:rPr>
        <w:t>Bt</w:t>
      </w:r>
      <w:proofErr w:type="spellEnd"/>
      <w:r w:rsidRPr="006270EC">
        <w:rPr>
          <w:sz w:val="24"/>
          <w:lang w:val="bg-BG"/>
        </w:rPr>
        <w:t xml:space="preserve"> </w:t>
      </w:r>
      <w:proofErr w:type="spellStart"/>
      <w:r w:rsidRPr="006270EC">
        <w:rPr>
          <w:sz w:val="24"/>
          <w:lang w:val="bg-BG"/>
        </w:rPr>
        <w:t>crops</w:t>
      </w:r>
      <w:proofErr w:type="spellEnd"/>
      <w:r w:rsidRPr="006270EC">
        <w:rPr>
          <w:sz w:val="24"/>
          <w:lang w:val="bg-BG"/>
        </w:rPr>
        <w:t xml:space="preserve">. </w:t>
      </w:r>
      <w:proofErr w:type="spellStart"/>
      <w:r w:rsidRPr="006270EC">
        <w:rPr>
          <w:sz w:val="24"/>
          <w:lang w:val="bg-BG"/>
        </w:rPr>
        <w:t>EFSA’s</w:t>
      </w:r>
      <w:proofErr w:type="spellEnd"/>
      <w:r w:rsidRPr="006270EC">
        <w:rPr>
          <w:sz w:val="24"/>
          <w:lang w:val="bg-BG"/>
        </w:rPr>
        <w:t xml:space="preserve"> </w:t>
      </w:r>
      <w:proofErr w:type="spellStart"/>
      <w:r w:rsidRPr="006270EC">
        <w:rPr>
          <w:sz w:val="24"/>
          <w:lang w:val="bg-BG"/>
        </w:rPr>
        <w:t>risk</w:t>
      </w:r>
      <w:proofErr w:type="spellEnd"/>
      <w:r w:rsidRPr="006270EC">
        <w:rPr>
          <w:sz w:val="24"/>
          <w:lang w:val="bg-BG"/>
        </w:rPr>
        <w:t xml:space="preserve"> </w:t>
      </w:r>
      <w:proofErr w:type="spellStart"/>
      <w:r w:rsidRPr="006270EC">
        <w:rPr>
          <w:sz w:val="24"/>
          <w:lang w:val="bg-BG"/>
        </w:rPr>
        <w:t>assessment</w:t>
      </w:r>
      <w:proofErr w:type="spellEnd"/>
      <w:r w:rsidRPr="006270EC">
        <w:rPr>
          <w:sz w:val="24"/>
          <w:lang w:val="bg-BG"/>
        </w:rPr>
        <w:t xml:space="preserve"> </w:t>
      </w:r>
      <w:proofErr w:type="spellStart"/>
      <w:r w:rsidRPr="006270EC">
        <w:rPr>
          <w:sz w:val="24"/>
          <w:lang w:val="bg-BG"/>
        </w:rPr>
        <w:t>approach</w:t>
      </w:r>
      <w:proofErr w:type="spellEnd"/>
      <w:r w:rsidRPr="006270EC">
        <w:rPr>
          <w:sz w:val="24"/>
          <w:lang w:val="bg-BG"/>
        </w:rPr>
        <w:t xml:space="preserve"> </w:t>
      </w:r>
      <w:proofErr w:type="spellStart"/>
      <w:r w:rsidRPr="006270EC">
        <w:rPr>
          <w:sz w:val="24"/>
          <w:lang w:val="bg-BG"/>
        </w:rPr>
        <w:t>for</w:t>
      </w:r>
      <w:proofErr w:type="spellEnd"/>
      <w:r w:rsidRPr="006270EC">
        <w:rPr>
          <w:sz w:val="24"/>
          <w:lang w:val="bg-BG"/>
        </w:rPr>
        <w:t xml:space="preserve"> GM </w:t>
      </w:r>
      <w:proofErr w:type="spellStart"/>
      <w:r w:rsidRPr="006270EC">
        <w:rPr>
          <w:sz w:val="24"/>
          <w:lang w:val="bg-BG"/>
        </w:rPr>
        <w:t>Bt</w:t>
      </w:r>
      <w:proofErr w:type="spellEnd"/>
      <w:r w:rsidRPr="006270EC">
        <w:rPr>
          <w:sz w:val="24"/>
          <w:lang w:val="bg-BG"/>
        </w:rPr>
        <w:t xml:space="preserve"> </w:t>
      </w:r>
      <w:proofErr w:type="spellStart"/>
      <w:r w:rsidRPr="006270EC">
        <w:rPr>
          <w:sz w:val="24"/>
          <w:lang w:val="bg-BG"/>
        </w:rPr>
        <w:t>plants</w:t>
      </w:r>
      <w:proofErr w:type="spellEnd"/>
      <w:r w:rsidRPr="006270EC">
        <w:rPr>
          <w:sz w:val="24"/>
          <w:lang w:val="bg-BG"/>
        </w:rPr>
        <w:t xml:space="preserve"> </w:t>
      </w:r>
      <w:proofErr w:type="spellStart"/>
      <w:r w:rsidRPr="006270EC">
        <w:rPr>
          <w:sz w:val="24"/>
          <w:lang w:val="bg-BG"/>
        </w:rPr>
        <w:t>fails</w:t>
      </w:r>
      <w:proofErr w:type="spellEnd"/>
      <w:r w:rsidRPr="006270EC">
        <w:rPr>
          <w:sz w:val="24"/>
          <w:lang w:val="bg-BG"/>
        </w:rPr>
        <w:t xml:space="preserve"> </w:t>
      </w:r>
      <w:proofErr w:type="spellStart"/>
      <w:r w:rsidRPr="006270EC">
        <w:rPr>
          <w:sz w:val="24"/>
          <w:lang w:val="bg-BG"/>
        </w:rPr>
        <w:t>by</w:t>
      </w:r>
      <w:proofErr w:type="spellEnd"/>
      <w:r w:rsidRPr="006270EC">
        <w:rPr>
          <w:sz w:val="24"/>
          <w:lang w:val="bg-BG"/>
        </w:rPr>
        <w:t xml:space="preserve"> </w:t>
      </w:r>
      <w:proofErr w:type="spellStart"/>
      <w:r w:rsidRPr="006270EC">
        <w:rPr>
          <w:sz w:val="24"/>
          <w:lang w:val="bg-BG"/>
        </w:rPr>
        <w:t>design</w:t>
      </w:r>
      <w:proofErr w:type="spellEnd"/>
      <w:r w:rsidRPr="006270EC">
        <w:rPr>
          <w:sz w:val="24"/>
          <w:lang w:val="bg-BG"/>
        </w:rPr>
        <w:t>“ (</w:t>
      </w:r>
      <w:proofErr w:type="spellStart"/>
      <w:r w:rsidRPr="006270EC">
        <w:rPr>
          <w:sz w:val="24"/>
          <w:lang w:val="bg-BG"/>
        </w:rPr>
        <w:t>Инсектицидни</w:t>
      </w:r>
      <w:proofErr w:type="spellEnd"/>
      <w:r w:rsidRPr="006270EC">
        <w:rPr>
          <w:sz w:val="24"/>
          <w:lang w:val="bg-BG"/>
        </w:rPr>
        <w:t xml:space="preserve"> </w:t>
      </w:r>
      <w:proofErr w:type="spellStart"/>
      <w:r w:rsidRPr="006270EC">
        <w:rPr>
          <w:sz w:val="24"/>
          <w:lang w:val="bg-BG"/>
        </w:rPr>
        <w:t>Bt</w:t>
      </w:r>
      <w:proofErr w:type="spellEnd"/>
      <w:r w:rsidRPr="006270EC">
        <w:rPr>
          <w:sz w:val="24"/>
          <w:lang w:val="bg-BG"/>
        </w:rPr>
        <w:t xml:space="preserve"> култури. Недостатъци при изготвянето на подхода на ЕОБХ за оценка на генетично модифицирани </w:t>
      </w:r>
      <w:proofErr w:type="spellStart"/>
      <w:r w:rsidRPr="006270EC">
        <w:rPr>
          <w:sz w:val="24"/>
          <w:lang w:val="bg-BG"/>
        </w:rPr>
        <w:t>Bt</w:t>
      </w:r>
      <w:proofErr w:type="spellEnd"/>
      <w:r w:rsidRPr="006270EC">
        <w:rPr>
          <w:sz w:val="24"/>
          <w:lang w:val="bg-BG"/>
        </w:rPr>
        <w:t xml:space="preserve"> растения), RAGES, 2020 г., стр. 4, </w:t>
      </w:r>
      <w:hyperlink r:id="rId15" w:history="1">
        <w:r w:rsidRPr="006270EC">
          <w:rPr>
            <w:rStyle w:val="Hyperlink"/>
            <w:sz w:val="24"/>
            <w:lang w:val="bg-BG"/>
          </w:rPr>
          <w:t>https://www.testbiotech.org/wp-content/uploads/2023/12/RAGES_report-Insecticidal-Bt-plants.pdf</w:t>
        </w:r>
      </w:hyperlink>
      <w:r w:rsidRPr="006270EC">
        <w:rPr>
          <w:sz w:val="24"/>
          <w:lang w:val="bg-BG"/>
        </w:rPr>
        <w:t>.</w:t>
      </w:r>
    </w:p>
  </w:footnote>
  <w:footnote w:id="13">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r w:rsidRPr="006270EC">
        <w:rPr>
          <w:sz w:val="24"/>
          <w:lang w:val="bg-BG"/>
        </w:rPr>
        <w:t>„</w:t>
      </w:r>
      <w:proofErr w:type="spellStart"/>
      <w:r w:rsidRPr="006270EC">
        <w:rPr>
          <w:sz w:val="24"/>
          <w:lang w:val="bg-BG"/>
        </w:rPr>
        <w:t>Strategic</w:t>
      </w:r>
      <w:proofErr w:type="spellEnd"/>
      <w:r w:rsidRPr="006270EC">
        <w:rPr>
          <w:sz w:val="24"/>
          <w:lang w:val="bg-BG"/>
        </w:rPr>
        <w:t xml:space="preserve"> </w:t>
      </w:r>
      <w:proofErr w:type="spellStart"/>
      <w:r w:rsidRPr="006270EC">
        <w:rPr>
          <w:sz w:val="24"/>
          <w:lang w:val="bg-BG"/>
        </w:rPr>
        <w:t>Dialogue</w:t>
      </w:r>
      <w:proofErr w:type="spellEnd"/>
      <w:r w:rsidRPr="006270EC">
        <w:rPr>
          <w:sz w:val="24"/>
          <w:lang w:val="bg-BG"/>
        </w:rPr>
        <w:t xml:space="preserve"> </w:t>
      </w:r>
      <w:proofErr w:type="spellStart"/>
      <w:r w:rsidRPr="006270EC">
        <w:rPr>
          <w:sz w:val="24"/>
          <w:lang w:val="bg-BG"/>
        </w:rPr>
        <w:t>on</w:t>
      </w:r>
      <w:proofErr w:type="spellEnd"/>
      <w:r w:rsidRPr="006270EC">
        <w:rPr>
          <w:sz w:val="24"/>
          <w:lang w:val="bg-BG"/>
        </w:rPr>
        <w:t xml:space="preserve"> </w:t>
      </w:r>
      <w:proofErr w:type="spellStart"/>
      <w:r w:rsidRPr="006270EC">
        <w:rPr>
          <w:sz w:val="24"/>
          <w:lang w:val="bg-BG"/>
        </w:rPr>
        <w:t>the</w:t>
      </w:r>
      <w:proofErr w:type="spellEnd"/>
      <w:r w:rsidRPr="006270EC">
        <w:rPr>
          <w:sz w:val="24"/>
          <w:lang w:val="bg-BG"/>
        </w:rPr>
        <w:t xml:space="preserve"> </w:t>
      </w:r>
      <w:proofErr w:type="spellStart"/>
      <w:r w:rsidRPr="006270EC">
        <w:rPr>
          <w:sz w:val="24"/>
          <w:lang w:val="bg-BG"/>
        </w:rPr>
        <w:t>Future</w:t>
      </w:r>
      <w:proofErr w:type="spellEnd"/>
      <w:r w:rsidRPr="006270EC">
        <w:rPr>
          <w:sz w:val="24"/>
          <w:lang w:val="bg-BG"/>
        </w:rPr>
        <w:t xml:space="preserve"> </w:t>
      </w:r>
      <w:proofErr w:type="spellStart"/>
      <w:r w:rsidRPr="006270EC">
        <w:rPr>
          <w:sz w:val="24"/>
          <w:lang w:val="bg-BG"/>
        </w:rPr>
        <w:t>of</w:t>
      </w:r>
      <w:proofErr w:type="spellEnd"/>
      <w:r w:rsidRPr="006270EC">
        <w:rPr>
          <w:sz w:val="24"/>
          <w:lang w:val="bg-BG"/>
        </w:rPr>
        <w:t xml:space="preserve"> EU </w:t>
      </w:r>
      <w:proofErr w:type="spellStart"/>
      <w:r w:rsidRPr="006270EC">
        <w:rPr>
          <w:sz w:val="24"/>
          <w:lang w:val="bg-BG"/>
        </w:rPr>
        <w:t>Agriculture</w:t>
      </w:r>
      <w:proofErr w:type="spellEnd"/>
      <w:r w:rsidRPr="006270EC">
        <w:rPr>
          <w:sz w:val="24"/>
          <w:lang w:val="bg-BG"/>
        </w:rPr>
        <w:t xml:space="preserve"> - A </w:t>
      </w:r>
      <w:proofErr w:type="spellStart"/>
      <w:r w:rsidRPr="006270EC">
        <w:rPr>
          <w:sz w:val="24"/>
          <w:lang w:val="bg-BG"/>
        </w:rPr>
        <w:t>shared</w:t>
      </w:r>
      <w:proofErr w:type="spellEnd"/>
      <w:r w:rsidRPr="006270EC">
        <w:rPr>
          <w:sz w:val="24"/>
          <w:lang w:val="bg-BG"/>
        </w:rPr>
        <w:t xml:space="preserve"> </w:t>
      </w:r>
      <w:proofErr w:type="spellStart"/>
      <w:r w:rsidRPr="006270EC">
        <w:rPr>
          <w:sz w:val="24"/>
          <w:lang w:val="bg-BG"/>
        </w:rPr>
        <w:t>prospect</w:t>
      </w:r>
      <w:proofErr w:type="spellEnd"/>
      <w:r w:rsidRPr="006270EC">
        <w:rPr>
          <w:sz w:val="24"/>
          <w:lang w:val="bg-BG"/>
        </w:rPr>
        <w:t xml:space="preserve"> </w:t>
      </w:r>
      <w:proofErr w:type="spellStart"/>
      <w:r w:rsidRPr="006270EC">
        <w:rPr>
          <w:sz w:val="24"/>
          <w:lang w:val="bg-BG"/>
        </w:rPr>
        <w:t>for</w:t>
      </w:r>
      <w:proofErr w:type="spellEnd"/>
      <w:r w:rsidRPr="006270EC">
        <w:rPr>
          <w:sz w:val="24"/>
          <w:lang w:val="bg-BG"/>
        </w:rPr>
        <w:t xml:space="preserve"> </w:t>
      </w:r>
      <w:proofErr w:type="spellStart"/>
      <w:r w:rsidRPr="006270EC">
        <w:rPr>
          <w:sz w:val="24"/>
          <w:lang w:val="bg-BG"/>
        </w:rPr>
        <w:t>farming</w:t>
      </w:r>
      <w:proofErr w:type="spellEnd"/>
      <w:r w:rsidRPr="006270EC">
        <w:rPr>
          <w:sz w:val="24"/>
          <w:lang w:val="bg-BG"/>
        </w:rPr>
        <w:t xml:space="preserve"> </w:t>
      </w:r>
      <w:proofErr w:type="spellStart"/>
      <w:r w:rsidRPr="006270EC">
        <w:rPr>
          <w:sz w:val="24"/>
          <w:lang w:val="bg-BG"/>
        </w:rPr>
        <w:t>and</w:t>
      </w:r>
      <w:proofErr w:type="spellEnd"/>
      <w:r w:rsidRPr="006270EC">
        <w:rPr>
          <w:sz w:val="24"/>
          <w:lang w:val="bg-BG"/>
        </w:rPr>
        <w:t xml:space="preserve"> </w:t>
      </w:r>
      <w:proofErr w:type="spellStart"/>
      <w:r w:rsidRPr="006270EC">
        <w:rPr>
          <w:sz w:val="24"/>
          <w:lang w:val="bg-BG"/>
        </w:rPr>
        <w:t>food</w:t>
      </w:r>
      <w:proofErr w:type="spellEnd"/>
      <w:r w:rsidRPr="006270EC">
        <w:rPr>
          <w:sz w:val="24"/>
          <w:lang w:val="bg-BG"/>
        </w:rPr>
        <w:t xml:space="preserve"> in </w:t>
      </w:r>
      <w:proofErr w:type="spellStart"/>
      <w:r w:rsidRPr="006270EC">
        <w:rPr>
          <w:sz w:val="24"/>
          <w:lang w:val="bg-BG"/>
        </w:rPr>
        <w:t>Europe</w:t>
      </w:r>
      <w:proofErr w:type="spellEnd"/>
      <w:r w:rsidRPr="006270EC">
        <w:rPr>
          <w:sz w:val="24"/>
          <w:lang w:val="bg-BG"/>
        </w:rPr>
        <w:t xml:space="preserve">“ (Стратегически диалог относно бъдещето на селското стопанство в ЕС – споделена перспектива за земеделието и храните в Европа), септември 2024 г., </w:t>
      </w:r>
      <w:hyperlink r:id="rId16" w:history="1">
        <w:r w:rsidRPr="006270EC">
          <w:rPr>
            <w:rStyle w:val="Hyperlink"/>
            <w:sz w:val="24"/>
            <w:lang w:val="bg-BG"/>
          </w:rPr>
          <w:t>https://agriculture.ec.europa.eu/document/download/171329ff-0f50-4fa5-946f-aea11032172e_en?filename=strategic-dialogue-report-2024_en.pdf</w:t>
        </w:r>
      </w:hyperlink>
      <w:r w:rsidRPr="006270EC">
        <w:rPr>
          <w:rStyle w:val="Hyperlink"/>
          <w:sz w:val="24"/>
          <w:lang w:val="bg-BG"/>
        </w:rPr>
        <w:t>.</w:t>
      </w:r>
    </w:p>
  </w:footnote>
  <w:footnote w:id="14">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hyperlink r:id="rId17" w:history="1">
        <w:r w:rsidRPr="006270EC">
          <w:rPr>
            <w:rStyle w:val="Hyperlink"/>
            <w:sz w:val="24"/>
            <w:lang w:val="bg-BG"/>
          </w:rPr>
          <w:t>https://www.ohchr.org/en/documents/thematic-reports/ahrc3448-report-special-rapporteur-right-food</w:t>
        </w:r>
      </w:hyperlink>
      <w:r w:rsidRPr="006270EC">
        <w:rPr>
          <w:sz w:val="24"/>
          <w:lang w:val="bg-BG"/>
        </w:rPr>
        <w:t>.</w:t>
      </w:r>
    </w:p>
  </w:footnote>
  <w:footnote w:id="15">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hyperlink r:id="rId18" w:history="1">
        <w:r w:rsidRPr="006270EC">
          <w:rPr>
            <w:rStyle w:val="Hyperlink"/>
            <w:sz w:val="24"/>
            <w:lang w:val="bg-BG"/>
          </w:rPr>
          <w:t>https://indicators.report/targets/3-9/</w:t>
        </w:r>
      </w:hyperlink>
      <w:r w:rsidRPr="006270EC">
        <w:rPr>
          <w:rStyle w:val="Hyperlink"/>
          <w:sz w:val="24"/>
          <w:lang w:val="bg-BG"/>
        </w:rPr>
        <w:t>.</w:t>
      </w:r>
    </w:p>
  </w:footnote>
  <w:footnote w:id="16">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hyperlink r:id="rId19" w:history="1">
        <w:r w:rsidRPr="006270EC">
          <w:rPr>
            <w:rStyle w:val="Hyperlink"/>
            <w:sz w:val="24"/>
            <w:lang w:val="bg-BG"/>
          </w:rPr>
          <w:t>https://ec.europa.eu/commission/presscorner/detail/en/ip_22_7834</w:t>
        </w:r>
      </w:hyperlink>
      <w:r w:rsidRPr="006270EC">
        <w:rPr>
          <w:rStyle w:val="Hyperlink"/>
          <w:sz w:val="24"/>
          <w:lang w:val="bg-BG"/>
        </w:rPr>
        <w:t>.</w:t>
      </w:r>
    </w:p>
  </w:footnote>
  <w:footnote w:id="17">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hyperlink r:id="rId20" w:history="1">
        <w:r w:rsidRPr="006270EC">
          <w:rPr>
            <w:rStyle w:val="Hyperlink"/>
            <w:sz w:val="24"/>
            <w:lang w:val="bg-BG"/>
          </w:rPr>
          <w:t>https://commission.europa.eu/document/2c64e540-c07a-4376-a1da-368d289f4afe_en</w:t>
        </w:r>
      </w:hyperlink>
    </w:p>
  </w:footnote>
  <w:footnote w:id="18">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r w:rsidRPr="006270EC">
        <w:rPr>
          <w:sz w:val="24"/>
          <w:lang w:val="bg-BG"/>
        </w:rPr>
        <w:t>Комисията „може“, а не „трябва“ да предоставя разрешение, ако не е постигнато квалифицирано мнозинство от държавите членки в подкрепа при гласуването в Апелативния комитет, в съответствие с член 6, параграф 3 от Регламент (ЕС) № 182/2011.</w:t>
      </w:r>
    </w:p>
  </w:footnote>
  <w:footnote w:id="19">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r w:rsidRPr="006270EC">
        <w:rPr>
          <w:sz w:val="24"/>
          <w:lang w:val="bg-BG"/>
        </w:rPr>
        <w:t xml:space="preserve">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hyperlink r:id="rId2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6270EC">
          <w:rPr>
            <w:rStyle w:val="Hyperlink"/>
            <w:sz w:val="24"/>
            <w:lang w:val="bg-BG"/>
          </w:rPr>
          <w:t>http://data.europa.eu/eli/reg/2002/178/oj</w:t>
        </w:r>
      </w:hyperlink>
      <w:r w:rsidRPr="006270EC">
        <w:rPr>
          <w:sz w:val="24"/>
          <w:lang w:val="bg-BG"/>
        </w:rPr>
        <w:t>).</w:t>
      </w:r>
    </w:p>
  </w:footnote>
  <w:footnote w:id="20">
    <w:p w:rsidR="002A76DA" w:rsidRPr="006270EC" w:rsidRDefault="002A76DA" w:rsidP="006270EC">
      <w:pPr>
        <w:pStyle w:val="FootnoteText"/>
        <w:ind w:left="567" w:hanging="567"/>
        <w:rPr>
          <w:sz w:val="24"/>
          <w:lang w:val="bg-BG"/>
        </w:rPr>
      </w:pPr>
      <w:r w:rsidRPr="006270EC">
        <w:rPr>
          <w:rStyle w:val="FootnoteReference"/>
          <w:sz w:val="24"/>
          <w:szCs w:val="22"/>
          <w:lang w:val="bg-BG"/>
        </w:rPr>
        <w:footnoteRef/>
      </w:r>
      <w:r w:rsidR="006270EC" w:rsidRPr="006270EC">
        <w:rPr>
          <w:sz w:val="24"/>
          <w:lang w:val="bg-BG"/>
        </w:rPr>
        <w:t xml:space="preserve"> </w:t>
      </w:r>
      <w:r w:rsidR="006270EC" w:rsidRPr="006270EC">
        <w:rPr>
          <w:sz w:val="24"/>
          <w:lang w:val="bg-BG"/>
        </w:rPr>
        <w:tab/>
      </w:r>
      <w:r w:rsidRPr="006270EC">
        <w:rPr>
          <w:sz w:val="24"/>
          <w:lang w:val="bg-BG"/>
        </w:rPr>
        <w:t xml:space="preserve">През декември 2022 г. на 15‑ата конференция на страните по Конвенцията на ООН за биологичното разнообразие беше договорена глобалната рамка за биологичното разнообразие Кунмин – Монреал, която включва глобална цел за намаляване на риска от пестициди с най-малко 50 % до 2030 г. (вж. </w:t>
      </w:r>
      <w:hyperlink r:id="rId22" w:history="1">
        <w:r w:rsidRPr="006270EC">
          <w:rPr>
            <w:rStyle w:val="Hyperlink"/>
            <w:sz w:val="24"/>
            <w:lang w:val="bg-BG"/>
          </w:rPr>
          <w:t>https://ec.europa.eu/commission/presscorner/detail/en/ip_22_7834</w:t>
        </w:r>
      </w:hyperlink>
      <w:r w:rsidRPr="006270EC">
        <w:rPr>
          <w:sz w:val="24"/>
          <w:lang w:val="bg-BG"/>
        </w:rPr>
        <w:t>).</w:t>
      </w:r>
    </w:p>
  </w:footnote>
  <w:footnote w:id="21">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hyperlink r:id="rId23" w:history="1">
        <w:r w:rsidRPr="006270EC">
          <w:rPr>
            <w:rStyle w:val="Hyperlink"/>
            <w:sz w:val="24"/>
            <w:lang w:val="bg-BG"/>
          </w:rPr>
          <w:t>https://tillymetz.lu/wp-content/uploads/2020/09/Co-signed-letter-MEP-Metz.pdf</w:t>
        </w:r>
      </w:hyperlink>
      <w:r w:rsidRPr="006270EC">
        <w:rPr>
          <w:rStyle w:val="Hyperlink"/>
          <w:sz w:val="24"/>
          <w:lang w:val="bg-BG"/>
        </w:rPr>
        <w:t>.</w:t>
      </w:r>
    </w:p>
  </w:footnote>
  <w:footnote w:id="22">
    <w:p w:rsidR="002A76DA" w:rsidRPr="006270EC" w:rsidRDefault="002A76DA" w:rsidP="006270EC">
      <w:pPr>
        <w:pStyle w:val="FootnoteText"/>
        <w:ind w:left="567" w:hanging="567"/>
        <w:rPr>
          <w:sz w:val="24"/>
          <w:lang w:val="bg-BG"/>
        </w:rPr>
      </w:pPr>
      <w:r w:rsidRPr="006270EC">
        <w:rPr>
          <w:rStyle w:val="FootnoteReference"/>
          <w:sz w:val="24"/>
          <w:lang w:val="bg-BG"/>
        </w:rPr>
        <w:footnoteRef/>
      </w:r>
      <w:r w:rsidR="006270EC" w:rsidRPr="006270EC">
        <w:rPr>
          <w:sz w:val="24"/>
          <w:lang w:val="bg-BG"/>
        </w:rPr>
        <w:t xml:space="preserve"> </w:t>
      </w:r>
      <w:r w:rsidR="006270EC" w:rsidRPr="006270EC">
        <w:rPr>
          <w:sz w:val="24"/>
          <w:lang w:val="bg-BG"/>
        </w:rPr>
        <w:tab/>
      </w:r>
      <w:r w:rsidRPr="006270EC">
        <w:rPr>
          <w:sz w:val="24"/>
          <w:lang w:val="bg-BG"/>
        </w:rPr>
        <w:t>Резолюция на Европейския парламент от 15 януари 2020 г. относно Европейския зелен пакт (ОВ C 270, 7.7.2021 г., стр. 2), параграф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BG"/>
    <w:docVar w:name="dvnumam" w:val="0"/>
    <w:docVar w:name="dvpe" w:val="763.291"/>
    <w:docVar w:name="dvtitre" w:val="Резолюция на Европейския парламент от ... 2024 г. относно проекта на решение за изпълнение 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MON 88017 × 59122 и осем нейни подкомбинации, съгласно Регламент (ЕО) № 1829/2003 на Европейския парламент и на Съвета(D098493/04 – 2024/2834(RSP))"/>
  </w:docVars>
  <w:rsids>
    <w:rsidRoot w:val="000A24B8"/>
    <w:rsid w:val="00002272"/>
    <w:rsid w:val="00064002"/>
    <w:rsid w:val="000677B9"/>
    <w:rsid w:val="000831BA"/>
    <w:rsid w:val="000A24B8"/>
    <w:rsid w:val="000A42CC"/>
    <w:rsid w:val="000E7DD9"/>
    <w:rsid w:val="0010095E"/>
    <w:rsid w:val="00125B37"/>
    <w:rsid w:val="00187494"/>
    <w:rsid w:val="001C1617"/>
    <w:rsid w:val="001F32AE"/>
    <w:rsid w:val="002767FF"/>
    <w:rsid w:val="002A76DA"/>
    <w:rsid w:val="002B18FE"/>
    <w:rsid w:val="002B5493"/>
    <w:rsid w:val="00314B2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70EC"/>
    <w:rsid w:val="006631B6"/>
    <w:rsid w:val="00680577"/>
    <w:rsid w:val="006C6AD4"/>
    <w:rsid w:val="006F74FA"/>
    <w:rsid w:val="00731ADD"/>
    <w:rsid w:val="00734777"/>
    <w:rsid w:val="00747932"/>
    <w:rsid w:val="00751A4A"/>
    <w:rsid w:val="00756632"/>
    <w:rsid w:val="00762C74"/>
    <w:rsid w:val="00786EC0"/>
    <w:rsid w:val="007C2BC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94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F6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AF19F6-DD49-438C-9C51-10D943FFF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76DA"/>
    <w:pPr>
      <w:spacing w:before="480" w:after="240"/>
    </w:pPr>
  </w:style>
  <w:style w:type="paragraph" w:customStyle="1" w:styleId="NormalHanging12a">
    <w:name w:val="NormalHanging12a"/>
    <w:basedOn w:val="Normal"/>
    <w:rsid w:val="002A76DA"/>
    <w:pPr>
      <w:spacing w:after="240"/>
      <w:ind w:left="567" w:hanging="567"/>
    </w:pPr>
  </w:style>
  <w:style w:type="character" w:styleId="Hyperlink">
    <w:name w:val="Hyperlink"/>
    <w:basedOn w:val="DefaultParagraphFont"/>
    <w:uiPriority w:val="99"/>
    <w:rsid w:val="002A76DA"/>
    <w:rPr>
      <w:color w:val="0563C1" w:themeColor="hyperlink"/>
      <w:u w:val="single"/>
    </w:rPr>
  </w:style>
  <w:style w:type="paragraph" w:styleId="BalloonText">
    <w:name w:val="Balloon Text"/>
    <w:basedOn w:val="Normal"/>
    <w:link w:val="BalloonTextChar"/>
    <w:rsid w:val="001C1617"/>
    <w:rPr>
      <w:rFonts w:ascii="Segoe UI" w:hAnsi="Segoe UI" w:cs="Segoe UI"/>
      <w:sz w:val="18"/>
      <w:szCs w:val="18"/>
    </w:rPr>
  </w:style>
  <w:style w:type="character" w:customStyle="1" w:styleId="BalloonTextChar">
    <w:name w:val="Balloon Text Char"/>
    <w:basedOn w:val="DefaultParagraphFont"/>
    <w:link w:val="BalloonText"/>
    <w:rsid w:val="001C1617"/>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indicators.report/targets/3-9/" TargetMode="External"/><Relationship Id="rId3" Type="http://schemas.openxmlformats.org/officeDocument/2006/relationships/hyperlink" Target="https://doi.org/10.2903/j.efsa.2024.8715" TargetMode="External"/><Relationship Id="rId21" Type="http://schemas.openxmlformats.org/officeDocument/2006/relationships/hyperlink" Target="http://data.europa.eu/eli/reg/2002/178/oj"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data.europa.eu/eli/reg/2011/182/oj"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20"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s://doi.org/10.1126/science.abe1148" TargetMode="External"/><Relationship Id="rId15" Type="http://schemas.openxmlformats.org/officeDocument/2006/relationships/hyperlink" Target="https://www.testbiotech.org/wp-content/uploads/2023/12/RAGES_report-Insecticidal-Bt-plants.pdf" TargetMode="External"/><Relationship Id="rId23" Type="http://schemas.openxmlformats.org/officeDocument/2006/relationships/hyperlink" Target="https://tillymetz.lu/wp-content/uploads/2020/09/Co-signed-letter-MEP-Metz.pdf"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ec.europa.eu/commission/presscorner/detail/bg/ip_22_7834" TargetMode="External"/><Relationship Id="rId4" Type="http://schemas.openxmlformats.org/officeDocument/2006/relationships/hyperlink" Target="http://data.europa.eu/eli/reg_impl/2013/503/oj"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ec.europa.eu/commission/presscorner/detail/bg/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8B0A0-D3D5-429F-8F49-7ADED3CC6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2305</Words>
  <Characters>12990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2024-11-26T14:08:00Z</dcterms:created>
  <dcterms:modified xsi:type="dcterms:W3CDTF">2024-11-26T14:08:00Z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B10-0147/2024</vt:lpwstr>
  </property>
  <property fmtid="{D5CDD505-2E9C-101B-9397-08002B2CF9AE}" pid="4" name="&lt;Type&gt;">
    <vt:lpwstr>RR</vt:lpwstr>
  </property>
</Properties>
</file>