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727C" w:rsidTr="0010095E">
        <w:trPr>
          <w:trHeight w:hRule="exact" w:val="1418"/>
        </w:trPr>
        <w:tc>
          <w:tcPr>
            <w:tcW w:w="6804" w:type="dxa"/>
            <w:shd w:val="clear" w:color="auto" w:fill="auto"/>
            <w:vAlign w:val="center"/>
          </w:tcPr>
          <w:p w:rsidR="00751A4A" w:rsidRPr="002B727C" w:rsidRDefault="00287618" w:rsidP="0010095E">
            <w:pPr>
              <w:pStyle w:val="EPName"/>
            </w:pPr>
            <w:r w:rsidRPr="002B727C">
              <w:t>Euroopa Parlament</w:t>
            </w:r>
          </w:p>
          <w:p w:rsidR="00751A4A" w:rsidRPr="002B727C" w:rsidRDefault="005F1B17" w:rsidP="005F1B17">
            <w:pPr>
              <w:pStyle w:val="EPTerm"/>
              <w:rPr>
                <w:rStyle w:val="HideTWBExt"/>
                <w:noProof w:val="0"/>
                <w:vanish w:val="0"/>
                <w:color w:val="auto"/>
              </w:rPr>
            </w:pPr>
            <w:r w:rsidRPr="002B727C">
              <w:t>2024</w:t>
            </w:r>
            <w:r w:rsidR="00817416" w:rsidRPr="002B727C">
              <w:t>-202</w:t>
            </w:r>
            <w:r w:rsidRPr="002B727C">
              <w:t>9</w:t>
            </w:r>
          </w:p>
        </w:tc>
        <w:tc>
          <w:tcPr>
            <w:tcW w:w="2268" w:type="dxa"/>
            <w:shd w:val="clear" w:color="auto" w:fill="auto"/>
          </w:tcPr>
          <w:p w:rsidR="00751A4A" w:rsidRPr="002B727C" w:rsidRDefault="00187494" w:rsidP="0010095E">
            <w:pPr>
              <w:pStyle w:val="EPLogo"/>
            </w:pPr>
            <w:r w:rsidRPr="002B72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727C" w:rsidRDefault="00D058B8" w:rsidP="004C5D52">
      <w:pPr>
        <w:pStyle w:val="LineTop"/>
      </w:pPr>
    </w:p>
    <w:p w:rsidR="00680577" w:rsidRPr="002B727C" w:rsidRDefault="00287618" w:rsidP="00680577">
      <w:pPr>
        <w:pStyle w:val="EPBodyTA1"/>
      </w:pPr>
      <w:r w:rsidRPr="002B727C">
        <w:t>VASTUVÕETUD TEKSTID</w:t>
      </w:r>
    </w:p>
    <w:p w:rsidR="00D058B8" w:rsidRPr="002B727C" w:rsidRDefault="00D058B8" w:rsidP="00D058B8">
      <w:pPr>
        <w:pStyle w:val="LineBottom"/>
      </w:pPr>
    </w:p>
    <w:p w:rsidR="00287618" w:rsidRPr="002B727C" w:rsidRDefault="00287618" w:rsidP="00287618">
      <w:pPr>
        <w:pStyle w:val="ATHeading1"/>
      </w:pPr>
      <w:bookmarkStart w:id="0" w:name="TANumber"/>
      <w:r w:rsidRPr="002B727C">
        <w:t>P10_TA(2024)00</w:t>
      </w:r>
      <w:r w:rsidR="00A361A7" w:rsidRPr="002B727C">
        <w:t>40</w:t>
      </w:r>
      <w:bookmarkEnd w:id="0"/>
    </w:p>
    <w:p w:rsidR="00287618" w:rsidRPr="002B727C" w:rsidRDefault="00CA62C6" w:rsidP="00287618">
      <w:pPr>
        <w:pStyle w:val="ATHeading2"/>
      </w:pPr>
      <w:bookmarkStart w:id="1" w:name="title"/>
      <w:r w:rsidRPr="002B727C">
        <w:t>G</w:t>
      </w:r>
      <w:r w:rsidR="00287618" w:rsidRPr="002B727C">
        <w:t xml:space="preserve">eneetiliselt muundatud mais MON 89034 × 1507 × MON 88017 </w:t>
      </w:r>
      <w:r w:rsidRPr="002B727C">
        <w:t>×</w:t>
      </w:r>
      <w:r w:rsidR="00287618" w:rsidRPr="002B727C">
        <w:t xml:space="preserve"> 59122 ja selle kaheksa alakombinatsiooni</w:t>
      </w:r>
      <w:bookmarkEnd w:id="1"/>
    </w:p>
    <w:p w:rsidR="00287618" w:rsidRPr="002B727C" w:rsidRDefault="00287618" w:rsidP="00287618">
      <w:pPr>
        <w:rPr>
          <w:i/>
          <w:vanish/>
        </w:rPr>
      </w:pPr>
      <w:r w:rsidRPr="002B727C">
        <w:rPr>
          <w:i/>
        </w:rPr>
        <w:fldChar w:fldCharType="begin"/>
      </w:r>
      <w:r w:rsidRPr="002B727C">
        <w:rPr>
          <w:i/>
        </w:rPr>
        <w:instrText xml:space="preserve"> TC"(</w:instrText>
      </w:r>
      <w:bookmarkStart w:id="2" w:name="DocNumber"/>
      <w:r w:rsidRPr="002B727C">
        <w:rPr>
          <w:i/>
        </w:rPr>
        <w:instrText>B10-0147/2024</w:instrText>
      </w:r>
      <w:bookmarkEnd w:id="2"/>
      <w:r w:rsidRPr="002B727C">
        <w:rPr>
          <w:i/>
        </w:rPr>
        <w:instrText xml:space="preserve">)"\l3 \n&gt; \* MERGEFORMAT </w:instrText>
      </w:r>
      <w:r w:rsidRPr="002B727C">
        <w:rPr>
          <w:i/>
        </w:rPr>
        <w:fldChar w:fldCharType="end"/>
      </w:r>
    </w:p>
    <w:p w:rsidR="00287618" w:rsidRPr="002B727C" w:rsidRDefault="00287618" w:rsidP="00287618">
      <w:pPr>
        <w:rPr>
          <w:vanish/>
        </w:rPr>
      </w:pPr>
      <w:bookmarkStart w:id="3" w:name="PE"/>
      <w:r w:rsidRPr="002B727C">
        <w:rPr>
          <w:vanish/>
        </w:rPr>
        <w:t>PE763.291</w:t>
      </w:r>
      <w:bookmarkEnd w:id="3"/>
    </w:p>
    <w:p w:rsidR="00287618" w:rsidRPr="002B727C" w:rsidRDefault="00CA62C6" w:rsidP="00287618">
      <w:pPr>
        <w:pStyle w:val="ATHeading3"/>
      </w:pPr>
      <w:bookmarkStart w:id="4" w:name="Sujet"/>
      <w:r w:rsidRPr="002B727C">
        <w:t>Euroopa Parlamendi 26</w:t>
      </w:r>
      <w:r w:rsidR="00287618" w:rsidRPr="002B727C">
        <w:t>.</w:t>
      </w:r>
      <w:r w:rsidRPr="002B727C">
        <w:t> novembri 2024. </w:t>
      </w:r>
      <w:r w:rsidR="00287618" w:rsidRPr="002B727C">
        <w:t xml:space="preserve">aasta resolutsioon komisjoni rakendusotsuse </w:t>
      </w:r>
      <w:r w:rsidRPr="002B727C">
        <w:t xml:space="preserve">(EL) 2024/2629 </w:t>
      </w:r>
      <w:r w:rsidR="00287618" w:rsidRPr="002B727C">
        <w:t xml:space="preserve">kohta, millega pikendatakse geneetiliselt muundatud maisi MON 89034 × 1507 × MON 88017 × 59122 ja selle kaheksat alakombinatsiooni sisaldavate, sellest koosnevate või sellest valmistatud toodete turule laskmise loa kehtivust vastavalt Euroopa </w:t>
      </w:r>
      <w:r w:rsidRPr="002B727C">
        <w:t xml:space="preserve">Parlamendi ja nõukogu määrusele (EÜ) </w:t>
      </w:r>
      <w:r w:rsidR="00287618" w:rsidRPr="002B727C">
        <w:t>nr 1829/2003</w:t>
      </w:r>
      <w:bookmarkEnd w:id="4"/>
      <w:r w:rsidR="00287618" w:rsidRPr="002B727C">
        <w:t xml:space="preserve"> </w:t>
      </w:r>
      <w:bookmarkStart w:id="5" w:name="References"/>
      <w:r w:rsidR="00287618" w:rsidRPr="002B727C">
        <w:t>(2024/2834(RSP))</w:t>
      </w:r>
      <w:bookmarkEnd w:id="5"/>
    </w:p>
    <w:p w:rsidR="00762952" w:rsidRPr="002B727C" w:rsidRDefault="00762952" w:rsidP="00762952">
      <w:pPr>
        <w:pStyle w:val="EPComma"/>
      </w:pPr>
      <w:bookmarkStart w:id="6" w:name="TextBodyBegin"/>
      <w:bookmarkEnd w:id="6"/>
      <w:r w:rsidRPr="002B727C">
        <w:rPr>
          <w:i/>
        </w:rPr>
        <w:t>Euroopa Parlament</w:t>
      </w:r>
      <w:r w:rsidRPr="002B727C">
        <w:t>,</w:t>
      </w:r>
    </w:p>
    <w:p w:rsidR="00762952" w:rsidRPr="002B727C" w:rsidRDefault="00762952" w:rsidP="00762952">
      <w:pPr>
        <w:pStyle w:val="NormalHanging12a"/>
      </w:pPr>
      <w:r w:rsidRPr="002B727C">
        <w:t>–</w:t>
      </w:r>
      <w:r w:rsidRPr="002B727C">
        <w:tab/>
        <w:t>võttes arvesse komisjoni rakendusotsus</w:t>
      </w:r>
      <w:r w:rsidR="00CA62C6" w:rsidRPr="002B727C">
        <w:t>t (EL) 2024/2629</w:t>
      </w:r>
      <w:r w:rsidRPr="002B727C">
        <w:t>,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w:t>
      </w:r>
      <w:r w:rsidR="00CA62C6" w:rsidRPr="002B727C">
        <w:rPr>
          <w:rStyle w:val="FootnoteReference"/>
        </w:rPr>
        <w:footnoteReference w:id="1"/>
      </w:r>
      <w:r w:rsidRPr="002B727C">
        <w:t>,</w:t>
      </w:r>
    </w:p>
    <w:p w:rsidR="00762952" w:rsidRPr="002B727C" w:rsidRDefault="00762952" w:rsidP="00762952">
      <w:pPr>
        <w:pStyle w:val="NormalHanging12a"/>
        <w:rPr>
          <w:rFonts w:eastAsia="Calibri"/>
        </w:rPr>
      </w:pPr>
      <w:r w:rsidRPr="002B727C">
        <w:t>–</w:t>
      </w:r>
      <w:r w:rsidRPr="002B727C">
        <w:tab/>
        <w:t>võttes arvesse Euroopa Parlamendi</w:t>
      </w:r>
      <w:r w:rsidR="00CA62C6" w:rsidRPr="002B727C">
        <w:t xml:space="preserve"> ja nõukogu 22. septembri 2003. </w:t>
      </w:r>
      <w:r w:rsidRPr="002B727C">
        <w:t>aasta määrust (EÜ) nr 1829/2003 geneetiliselt muundatud toidu ja sööda kohta</w:t>
      </w:r>
      <w:r w:rsidRPr="002B727C">
        <w:rPr>
          <w:rStyle w:val="FootnoteReference"/>
        </w:rPr>
        <w:footnoteReference w:id="2"/>
      </w:r>
      <w:r w:rsidRPr="002B727C">
        <w:t>, eriti selle artikli 11 lõiget 3 ja artikli 23 lõiget 3,</w:t>
      </w:r>
    </w:p>
    <w:p w:rsidR="00762952" w:rsidRPr="002B727C" w:rsidRDefault="00762952" w:rsidP="00762952">
      <w:pPr>
        <w:pStyle w:val="NormalHanging12a"/>
      </w:pPr>
      <w:r w:rsidRPr="002B727C">
        <w:t>–</w:t>
      </w:r>
      <w:r w:rsidRPr="002B727C">
        <w:tab/>
        <w:t xml:space="preserve">võttes arvesse </w:t>
      </w:r>
      <w:r w:rsidRPr="002B727C">
        <w:rPr>
          <w:shd w:val="clear" w:color="auto" w:fill="FFFFFF"/>
        </w:rPr>
        <w:t>määruse (EÜ) nr 1829/2003 artiklis 35 osutatud alalises taime-, loo</w:t>
      </w:r>
      <w:r w:rsidR="00CA62C6" w:rsidRPr="002B727C">
        <w:rPr>
          <w:shd w:val="clear" w:color="auto" w:fill="FFFFFF"/>
        </w:rPr>
        <w:t>ma-, toidu- ja söödakomitees 8. </w:t>
      </w:r>
      <w:r w:rsidRPr="002B727C">
        <w:rPr>
          <w:shd w:val="clear" w:color="auto" w:fill="FFFFFF"/>
        </w:rPr>
        <w:t>juulil 2024 toimunud hääletust, mille tulemuse</w:t>
      </w:r>
      <w:r w:rsidR="00CA62C6" w:rsidRPr="002B727C">
        <w:rPr>
          <w:shd w:val="clear" w:color="auto" w:fill="FFFFFF"/>
        </w:rPr>
        <w:t>l arvamust ei esitatud, ning 3. </w:t>
      </w:r>
      <w:r w:rsidRPr="002B727C">
        <w:rPr>
          <w:shd w:val="clear" w:color="auto" w:fill="FFFFFF"/>
        </w:rPr>
        <w:t xml:space="preserve">septembril 2024 apellatsioonikomitees toimunud hääletust, mille tulemusel samuti </w:t>
      </w:r>
      <w:r w:rsidRPr="002B727C">
        <w:t>arvamust ei esitatud,</w:t>
      </w:r>
    </w:p>
    <w:p w:rsidR="00762952" w:rsidRPr="002B727C" w:rsidRDefault="00762952" w:rsidP="00762952">
      <w:pPr>
        <w:pStyle w:val="NormalHanging12a"/>
      </w:pPr>
      <w:r w:rsidRPr="002B727C">
        <w:t>–</w:t>
      </w:r>
      <w:r w:rsidRPr="002B727C">
        <w:tab/>
        <w:t>võttes arvesse Eu</w:t>
      </w:r>
      <w:r w:rsidR="00CA62C6" w:rsidRPr="002B727C">
        <w:t>roopa Parlamendi ja nõukogu 16. veebruari 2011. aasta määruse (EL) nr </w:t>
      </w:r>
      <w:r w:rsidRPr="002B727C">
        <w:t xml:space="preserve">182/2011 (millega kehtestatakse eeskirjad ja </w:t>
      </w:r>
      <w:proofErr w:type="spellStart"/>
      <w:r w:rsidRPr="002B727C">
        <w:t>üldpõhimõtted</w:t>
      </w:r>
      <w:proofErr w:type="spellEnd"/>
      <w:r w:rsidRPr="002B727C">
        <w:t>, mis käsitlevad liikmesriikide läbiviidava kontrolli mehhanisme, mida kohaldatakse komisjoni rakendamisvolituste teostamise suhtes)</w:t>
      </w:r>
      <w:r w:rsidRPr="002B727C">
        <w:rPr>
          <w:rStyle w:val="FootnoteReference"/>
        </w:rPr>
        <w:footnoteReference w:id="3"/>
      </w:r>
      <w:r w:rsidR="00CA62C6" w:rsidRPr="002B727C">
        <w:t xml:space="preserve"> artiklit </w:t>
      </w:r>
      <w:r w:rsidRPr="002B727C">
        <w:t>11,</w:t>
      </w:r>
    </w:p>
    <w:p w:rsidR="00762952" w:rsidRPr="002B727C" w:rsidRDefault="00762952" w:rsidP="00762952">
      <w:pPr>
        <w:pStyle w:val="NormalHanging12a"/>
      </w:pPr>
      <w:r w:rsidRPr="002B727C">
        <w:t>–</w:t>
      </w:r>
      <w:r w:rsidRPr="002B727C">
        <w:tab/>
        <w:t>võttes arvesse Euroopa Toid</w:t>
      </w:r>
      <w:r w:rsidR="00CA62C6" w:rsidRPr="002B727C">
        <w:t>uohutusameti (EFSA) 13. märtsil </w:t>
      </w:r>
      <w:r w:rsidRPr="002B727C">
        <w:t xml:space="preserve">2024 vastu võetud ja </w:t>
      </w:r>
      <w:r w:rsidR="00CA62C6" w:rsidRPr="002B727C">
        <w:lastRenderedPageBreak/>
        <w:t>29. aprillil </w:t>
      </w:r>
      <w:r w:rsidRPr="002B727C">
        <w:t>2024 avaldatud arvamust</w:t>
      </w:r>
      <w:r w:rsidRPr="002B727C">
        <w:rPr>
          <w:rStyle w:val="FootnoteReference"/>
        </w:rPr>
        <w:footnoteReference w:id="4"/>
      </w:r>
      <w:r w:rsidRPr="002B727C">
        <w:t>,</w:t>
      </w:r>
    </w:p>
    <w:p w:rsidR="00762952" w:rsidRPr="002B727C" w:rsidRDefault="00762952" w:rsidP="00762952">
      <w:pPr>
        <w:pStyle w:val="NormalHanging12a"/>
        <w:rPr>
          <w:szCs w:val="24"/>
          <w:shd w:val="clear" w:color="auto" w:fill="FFFFFF"/>
        </w:rPr>
      </w:pPr>
      <w:r w:rsidRPr="002B727C">
        <w:t>–</w:t>
      </w:r>
      <w:r w:rsidRPr="002B727C">
        <w:rPr>
          <w:shd w:val="clear" w:color="auto" w:fill="FFFFFF"/>
        </w:rPr>
        <w:tab/>
        <w:t>võttes arvesse oma varasemaid resolutsioone, milles väljendatakse geneetiliselt muundatud organismide (</w:t>
      </w:r>
      <w:proofErr w:type="spellStart"/>
      <w:r w:rsidRPr="002B727C">
        <w:rPr>
          <w:shd w:val="clear" w:color="auto" w:fill="FFFFFF"/>
        </w:rPr>
        <w:t>GMOd</w:t>
      </w:r>
      <w:proofErr w:type="spellEnd"/>
      <w:r w:rsidRPr="002B727C">
        <w:rPr>
          <w:shd w:val="clear" w:color="auto" w:fill="FFFFFF"/>
        </w:rPr>
        <w:t>) lubamisele vastuseisu</w:t>
      </w:r>
      <w:r w:rsidRPr="002B727C">
        <w:rPr>
          <w:szCs w:val="24"/>
          <w:shd w:val="clear" w:color="auto" w:fill="FFFFFF"/>
          <w:vertAlign w:val="superscript"/>
        </w:rPr>
        <w:footnoteReference w:id="5"/>
      </w:r>
      <w:r w:rsidRPr="002B727C">
        <w:rPr>
          <w:shd w:val="clear" w:color="auto" w:fill="FFFFFF"/>
        </w:rPr>
        <w:t>,</w:t>
      </w:r>
    </w:p>
    <w:p w:rsidR="00762952" w:rsidRPr="002B727C" w:rsidRDefault="00762952" w:rsidP="00762952">
      <w:pPr>
        <w:pStyle w:val="NormalHanging12a"/>
      </w:pPr>
      <w:r w:rsidRPr="002B727C">
        <w:t>–</w:t>
      </w:r>
      <w:r w:rsidRPr="002B727C">
        <w:tab/>
        <w:t>v</w:t>
      </w:r>
      <w:r w:rsidR="00CA62C6" w:rsidRPr="002B727C">
        <w:t>õttes arvesse kodukorra artikli 115 lõikeid 2 ja </w:t>
      </w:r>
      <w:r w:rsidRPr="002B727C">
        <w:t>3,</w:t>
      </w:r>
    </w:p>
    <w:p w:rsidR="00762952" w:rsidRPr="002B727C" w:rsidRDefault="00762952" w:rsidP="00DB5CE2">
      <w:pPr>
        <w:pStyle w:val="NormalHanging12a"/>
      </w:pPr>
      <w:r w:rsidRPr="002B727C">
        <w:t>–</w:t>
      </w:r>
      <w:r w:rsidRPr="002B727C">
        <w:tab/>
        <w:t>võttes arvesse keskkonna-, rahvatervise ja toiduohutuse komisjoni resolutsiooni ettepanekut,</w:t>
      </w:r>
    </w:p>
    <w:p w:rsidR="00762952" w:rsidRPr="002B727C" w:rsidRDefault="00762952" w:rsidP="00DB5CE2">
      <w:pPr>
        <w:pStyle w:val="NormalHanging12a"/>
      </w:pPr>
      <w:r w:rsidRPr="002B727C">
        <w:t>A.</w:t>
      </w:r>
      <w:r w:rsidRPr="002B727C">
        <w:tab/>
        <w:t xml:space="preserve">arvestades, et </w:t>
      </w:r>
      <w:r w:rsidR="00CA62C6" w:rsidRPr="002B727C">
        <w:t>7. oktoobril </w:t>
      </w:r>
      <w:r w:rsidRPr="002B727C">
        <w:t xml:space="preserve">2022 esitasid Belgias asuv äriühing </w:t>
      </w:r>
      <w:proofErr w:type="spellStart"/>
      <w:r w:rsidRPr="002B727C">
        <w:t>Corteva</w:t>
      </w:r>
      <w:proofErr w:type="spellEnd"/>
      <w:r w:rsidRPr="002B727C">
        <w:t xml:space="preserve"> </w:t>
      </w:r>
      <w:proofErr w:type="spellStart"/>
      <w:r w:rsidRPr="002B727C">
        <w:t>Agriscience</w:t>
      </w:r>
      <w:proofErr w:type="spellEnd"/>
      <w:r w:rsidRPr="002B727C">
        <w:t xml:space="preserve"> </w:t>
      </w:r>
      <w:proofErr w:type="spellStart"/>
      <w:r w:rsidRPr="002B727C">
        <w:t>Belgium</w:t>
      </w:r>
      <w:proofErr w:type="spellEnd"/>
      <w:r w:rsidRPr="002B727C">
        <w:t xml:space="preserve"> BV Ameerika Ühendriikides asuva äriühingu </w:t>
      </w:r>
      <w:proofErr w:type="spellStart"/>
      <w:r w:rsidRPr="002B727C">
        <w:t>Corteva</w:t>
      </w:r>
      <w:proofErr w:type="spellEnd"/>
      <w:r w:rsidRPr="002B727C">
        <w:t xml:space="preserve"> </w:t>
      </w:r>
      <w:proofErr w:type="spellStart"/>
      <w:r w:rsidRPr="002B727C">
        <w:t>Agriscience</w:t>
      </w:r>
      <w:proofErr w:type="spellEnd"/>
      <w:r w:rsidRPr="002B727C">
        <w:t xml:space="preserve"> LLC nimel ja Belgias asuv </w:t>
      </w:r>
      <w:proofErr w:type="spellStart"/>
      <w:r w:rsidRPr="002B727C">
        <w:t>Bayer</w:t>
      </w:r>
      <w:proofErr w:type="spellEnd"/>
      <w:r w:rsidRPr="002B727C">
        <w:t xml:space="preserve"> </w:t>
      </w:r>
      <w:proofErr w:type="spellStart"/>
      <w:r w:rsidRPr="002B727C">
        <w:t>Agriculture</w:t>
      </w:r>
      <w:proofErr w:type="spellEnd"/>
      <w:r w:rsidRPr="002B727C">
        <w:t xml:space="preserve"> BV Ameerika Ühendriikides asuva äriühingu </w:t>
      </w:r>
      <w:proofErr w:type="spellStart"/>
      <w:r w:rsidRPr="002B727C">
        <w:t>Bayer</w:t>
      </w:r>
      <w:proofErr w:type="spellEnd"/>
      <w:r w:rsidRPr="002B727C">
        <w:t xml:space="preserve"> </w:t>
      </w:r>
      <w:proofErr w:type="spellStart"/>
      <w:r w:rsidRPr="002B727C">
        <w:t>CropScience</w:t>
      </w:r>
      <w:proofErr w:type="spellEnd"/>
      <w:r w:rsidRPr="002B727C">
        <w:t xml:space="preserve"> LP nimel Euroopa Komisjonile ühise taotluse geneetiliselt muundatud maisi MON 89034 × 1507 × MON 88017 × 59122 ja selle kaheksa alakombinatsiooni (edaspidi „geneetiliselt muundatud mais“) loa kehtivuse pikendamiseks;</w:t>
      </w:r>
    </w:p>
    <w:p w:rsidR="00762952" w:rsidRPr="002B727C" w:rsidRDefault="00762952" w:rsidP="00DB5CE2">
      <w:pPr>
        <w:pStyle w:val="NormalHanging12a"/>
      </w:pPr>
      <w:r w:rsidRPr="002B727C">
        <w:t>B.</w:t>
      </w:r>
      <w:r w:rsidRPr="002B727C">
        <w:tab/>
        <w:t>arvestades, et EFSA võttis 13. märtsil 2024 vastu heakskiitva arvamuse, mis avaldati 29. aprillil 2024;</w:t>
      </w:r>
    </w:p>
    <w:p w:rsidR="00762952" w:rsidRPr="002B727C" w:rsidRDefault="00762952" w:rsidP="00DB5CE2">
      <w:pPr>
        <w:pStyle w:val="NormalHanging12a"/>
      </w:pPr>
      <w:r w:rsidRPr="002B727C">
        <w:t>C.</w:t>
      </w:r>
      <w:r w:rsidRPr="002B727C">
        <w:tab/>
        <w:t xml:space="preserve">arvestades, et geneetiliselt muundatud mais on muudetud </w:t>
      </w:r>
      <w:proofErr w:type="spellStart"/>
      <w:r w:rsidRPr="002B727C">
        <w:t>glufosinaadi</w:t>
      </w:r>
      <w:proofErr w:type="spellEnd"/>
      <w:r w:rsidRPr="002B727C">
        <w:t xml:space="preserve"> ja </w:t>
      </w:r>
      <w:proofErr w:type="spellStart"/>
      <w:r w:rsidRPr="002B727C">
        <w:t>glüfosaadi</w:t>
      </w:r>
      <w:proofErr w:type="spellEnd"/>
      <w:r w:rsidRPr="002B727C">
        <w:t xml:space="preserve"> suhtes tolerantseks ja selliseks, </w:t>
      </w:r>
      <w:r w:rsidR="00CA62C6" w:rsidRPr="002B727C">
        <w:t>et ta toodaks insektitsiide (</w:t>
      </w:r>
      <w:proofErr w:type="spellStart"/>
      <w:r w:rsidR="00CA62C6" w:rsidRPr="002B727C">
        <w:t>Bt</w:t>
      </w:r>
      <w:proofErr w:type="spellEnd"/>
      <w:r w:rsidR="00CA62C6" w:rsidRPr="002B727C">
        <w:noBreakHyphen/>
      </w:r>
      <w:r w:rsidRPr="002B727C">
        <w:t xml:space="preserve">toksiine); </w:t>
      </w:r>
    </w:p>
    <w:p w:rsidR="00762952" w:rsidRPr="002B727C" w:rsidRDefault="00762952" w:rsidP="00CA62C6">
      <w:pPr>
        <w:pStyle w:val="NormalHanging12a"/>
        <w:keepNext/>
        <w:keepLines/>
        <w:ind w:left="0" w:firstLine="0"/>
        <w:rPr>
          <w:b/>
          <w:i/>
        </w:rPr>
      </w:pPr>
      <w:r w:rsidRPr="002B727C">
        <w:rPr>
          <w:b/>
          <w:i/>
        </w:rPr>
        <w:t>Lisaherbitsiidide hindamise puudumine</w:t>
      </w:r>
    </w:p>
    <w:p w:rsidR="00762952" w:rsidRPr="002B727C" w:rsidRDefault="00762952" w:rsidP="00DB5CE2">
      <w:pPr>
        <w:pStyle w:val="NormalHanging12a"/>
      </w:pPr>
      <w:r w:rsidRPr="002B727C">
        <w:t>D.</w:t>
      </w:r>
      <w:r w:rsidRPr="002B727C">
        <w:tab/>
        <w:t>arvestades, et komisjoni rakendusmääruse (EL) nr 503/2013</w:t>
      </w:r>
      <w:r w:rsidRPr="002B727C">
        <w:rPr>
          <w:rStyle w:val="FootnoteReference"/>
        </w:rPr>
        <w:footnoteReference w:id="6"/>
      </w:r>
      <w:r w:rsidRPr="002B727C">
        <w:t xml:space="preserve"> kohaselt tuleb hinnata, kas eeldatavad põllumajandustavad mõjutavad uuritud lõpp-produktide tulemust; arvestades, et rakendusmääruse kohaselt on see eriti oluline herbitsiiditolerantsete taimede puhul;</w:t>
      </w:r>
    </w:p>
    <w:p w:rsidR="00762952" w:rsidRPr="002B727C" w:rsidRDefault="00762952" w:rsidP="00DB5CE2">
      <w:pPr>
        <w:pStyle w:val="NormalHanging12a"/>
      </w:pPr>
      <w:r w:rsidRPr="002B727C">
        <w:t>E.</w:t>
      </w:r>
      <w:r w:rsidRPr="002B727C">
        <w:tab/>
        <w:t xml:space="preserve">arvestades, et valdavat osa geneetiliselt muundatud kultuuridest on geneetiliselt muundatud nii, et need on tolerantsed vähemalt veel ühe lisaherbitsiidi suhtes, mida saab kasutada kogu geneetiliselt muundatud kultuuri kasvatamise ajal, ilma et taimed sureks, nagu juhtuks herbitsiidide suhtes mittetolerantsete kultuuride puhul; arvestades, et mitu uuringut on näidanud, et herbitsiiditolerantsete geneetiliselt muundatud kultuuride kasvatamise tõttu hakatakse rohkem kasutama lisaherbitsiide, seda peamiselt </w:t>
      </w:r>
      <w:r w:rsidRPr="002B727C">
        <w:lastRenderedPageBreak/>
        <w:t>herbitsiiditolerantse umbrohu tekke tõttu</w:t>
      </w:r>
      <w:r w:rsidRPr="002B727C">
        <w:rPr>
          <w:rStyle w:val="FootnoteReference"/>
        </w:rPr>
        <w:footnoteReference w:id="7"/>
      </w:r>
      <w:r w:rsidRPr="002B727C">
        <w:t>;</w:t>
      </w:r>
    </w:p>
    <w:p w:rsidR="00762952" w:rsidRPr="002B727C" w:rsidRDefault="00762952" w:rsidP="00DB5CE2">
      <w:pPr>
        <w:pStyle w:val="NormalHanging12a"/>
      </w:pPr>
      <w:r w:rsidRPr="002B727C">
        <w:t>F.</w:t>
      </w:r>
      <w:r w:rsidRPr="002B727C">
        <w:tab/>
        <w:t>arvestades, et herbitsiiditolerantseid geneetiliselt muundatud kultuure kasvatades sõltuvad põllumajandustootjad umbrohutõrjesüsteemist, mis põhineb suures osas või täielikult herbitsiididel, seda seetõttu, et geneetiliselt muundatud seemnete eest võetakse lisatasu, mis on õigustatud vaid siis, kui neid ostvad põllumajandustootjad kasutavad ka lisaherbitsiide; arvestades, et geneetiliselt muundatud kultuure kasvatavate põllumajandusettevõtjate suurem sõltuvus lisaherbitsiididest kiirendab nende herbitsiidide suhtes resistentse umbrohu teket ja levikut ning suurendab seega veelgi vajadust herbitsiidide kasutamise järele, tekitades nõiaringi, kus nendest loobuda on keeruline;</w:t>
      </w:r>
    </w:p>
    <w:p w:rsidR="00762952" w:rsidRPr="002B727C" w:rsidRDefault="00762952" w:rsidP="00DB5CE2">
      <w:pPr>
        <w:pStyle w:val="NormalHanging12a"/>
      </w:pPr>
      <w:r w:rsidRPr="002B727C">
        <w:t>G.</w:t>
      </w:r>
      <w:r w:rsidRPr="002B727C">
        <w:tab/>
        <w:t>arvestades, et seega suureneb herbitsiidide liigsest kasutamisest tingitud kahjulik mõju mulla seisundile, vee kvaliteedile ning maapealsele ja -alusele elurikkusele, samuti suureneb inimeste ja loomade kokkupuude herbitsiididega, võimalik, et ka toidus ja söödas leiduvate herbitsiidijääkide suurenemise tõttu;</w:t>
      </w:r>
    </w:p>
    <w:p w:rsidR="00762952" w:rsidRPr="002B727C" w:rsidRDefault="00762952" w:rsidP="00DB5CE2">
      <w:pPr>
        <w:pStyle w:val="NormalHanging12a"/>
      </w:pPr>
      <w:r w:rsidRPr="002B727C">
        <w:t>H.</w:t>
      </w:r>
      <w:r w:rsidRPr="002B727C">
        <w:tab/>
        <w:t xml:space="preserve">arvestades, et </w:t>
      </w:r>
      <w:proofErr w:type="spellStart"/>
      <w:r w:rsidRPr="002B727C">
        <w:t>glufosinaat</w:t>
      </w:r>
      <w:proofErr w:type="spellEnd"/>
      <w:r w:rsidRPr="002B727C">
        <w:t xml:space="preserve"> on klassifitseeritud kategooria 1B reproduktiivtoksiliseks aineks ning seetõttu kehtivad selle suhtes Euroopa Parlamendi ja nõukogu määruses (EÜ) nr 1107/2009</w:t>
      </w:r>
      <w:r w:rsidRPr="002B727C">
        <w:rPr>
          <w:rStyle w:val="FootnoteReference"/>
        </w:rPr>
        <w:footnoteReference w:id="8"/>
      </w:r>
      <w:r w:rsidRPr="002B727C">
        <w:t xml:space="preserve"> sätestatud piirkriteeriumid; arvestades, et </w:t>
      </w:r>
      <w:proofErr w:type="spellStart"/>
      <w:r w:rsidRPr="002B727C">
        <w:t>glufosinaat</w:t>
      </w:r>
      <w:proofErr w:type="spellEnd"/>
      <w:r w:rsidRPr="002B727C">
        <w:t xml:space="preserve"> oli liidus kasutamiseks heaks kiidetud ajavahemikuks, mis lõppes 31. juulil 2018; </w:t>
      </w:r>
    </w:p>
    <w:p w:rsidR="00762952" w:rsidRPr="002B727C" w:rsidRDefault="00762952" w:rsidP="00DB5CE2">
      <w:pPr>
        <w:pStyle w:val="NormalHanging12a"/>
      </w:pPr>
      <w:r w:rsidRPr="002B727C">
        <w:t>I.</w:t>
      </w:r>
      <w:r w:rsidRPr="002B727C">
        <w:tab/>
        <w:t xml:space="preserve">arvestades, et EFSA järeldas 2015. aasta novembris, et glüfosaat ei ole tõenäoliselt kantserogeenne, ja Euroopa Kemikaaliamet järeldas 2017. aasta märtsis, et selle klassifitseerimata jätmine oli õigustatud; arvestades, et Maailma Terviseorganisatsiooni Rahvusvaheline </w:t>
      </w:r>
      <w:proofErr w:type="spellStart"/>
      <w:r w:rsidRPr="002B727C">
        <w:t>Vähiuurimiskeskus</w:t>
      </w:r>
      <w:proofErr w:type="spellEnd"/>
      <w:r w:rsidRPr="002B727C">
        <w:t xml:space="preserve"> seevastu klassifitseeris 2015. aastal </w:t>
      </w:r>
      <w:proofErr w:type="spellStart"/>
      <w:r w:rsidRPr="002B727C">
        <w:t>glüfosaadi</w:t>
      </w:r>
      <w:proofErr w:type="spellEnd"/>
      <w:r w:rsidRPr="002B727C">
        <w:t xml:space="preserve"> inimeste jaoks tõenäoliselt kantserogeenseks aineks; arvestades, et mitu hiljutist eelretsenseeritud teadusuuringut kinnitavad </w:t>
      </w:r>
      <w:proofErr w:type="spellStart"/>
      <w:r w:rsidRPr="002B727C">
        <w:t>glüfosaadi</w:t>
      </w:r>
      <w:proofErr w:type="spellEnd"/>
      <w:r w:rsidRPr="002B727C">
        <w:t xml:space="preserve"> võimalikku kantserogeenset toimet</w:t>
      </w:r>
      <w:r w:rsidRPr="002B727C">
        <w:rPr>
          <w:rStyle w:val="FootnoteReference"/>
        </w:rPr>
        <w:footnoteReference w:id="9"/>
      </w:r>
      <w:r w:rsidRPr="002B727C">
        <w:t xml:space="preserve">; </w:t>
      </w:r>
    </w:p>
    <w:p w:rsidR="00762952" w:rsidRPr="002B727C" w:rsidRDefault="00762952" w:rsidP="00DB5CE2">
      <w:pPr>
        <w:pStyle w:val="NormalHanging12a"/>
      </w:pPr>
      <w:r w:rsidRPr="002B727C">
        <w:t>J.</w:t>
      </w:r>
      <w:r w:rsidRPr="002B727C">
        <w:tab/>
        <w:t xml:space="preserve">arvestades, et geneetiliselt muundatud taimede herbitsiidijääkide ja neis leitud metaboliitide hindamist ei loeta EFSA geneetiliselt muundatud organismide komisjoni pädevusse kuuluvaks ning seetõttu seda </w:t>
      </w:r>
      <w:proofErr w:type="spellStart"/>
      <w:r w:rsidRPr="002B727C">
        <w:t>GMOde</w:t>
      </w:r>
      <w:proofErr w:type="spellEnd"/>
      <w:r w:rsidRPr="002B727C">
        <w:t xml:space="preserve"> loamenetluse raames ei tehta;</w:t>
      </w:r>
    </w:p>
    <w:p w:rsidR="00762952" w:rsidRPr="002B727C" w:rsidRDefault="00CA62C6" w:rsidP="00CA62C6">
      <w:pPr>
        <w:pStyle w:val="NormalHanging12a"/>
        <w:keepNext/>
        <w:keepLines/>
        <w:ind w:left="0" w:firstLine="0"/>
        <w:rPr>
          <w:b/>
          <w:i/>
        </w:rPr>
      </w:pPr>
      <w:proofErr w:type="spellStart"/>
      <w:r w:rsidRPr="002B727C">
        <w:rPr>
          <w:b/>
          <w:i/>
        </w:rPr>
        <w:lastRenderedPageBreak/>
        <w:t>Bt</w:t>
      </w:r>
      <w:proofErr w:type="spellEnd"/>
      <w:r w:rsidRPr="002B727C">
        <w:rPr>
          <w:b/>
          <w:i/>
        </w:rPr>
        <w:noBreakHyphen/>
      </w:r>
      <w:r w:rsidR="00762952" w:rsidRPr="002B727C">
        <w:rPr>
          <w:b/>
          <w:i/>
        </w:rPr>
        <w:t>toksiinidega seotud lahendamata küsimused</w:t>
      </w:r>
    </w:p>
    <w:p w:rsidR="00762952" w:rsidRPr="002B727C" w:rsidRDefault="00762952" w:rsidP="00DB5CE2">
      <w:pPr>
        <w:pStyle w:val="NormalHanging12a"/>
      </w:pPr>
      <w:r w:rsidRPr="002B727C">
        <w:t>K.</w:t>
      </w:r>
      <w:r w:rsidRPr="002B727C">
        <w:tab/>
        <w:t xml:space="preserve">arvestades, et mitmes uuringus </w:t>
      </w:r>
      <w:r w:rsidR="00CA62C6" w:rsidRPr="002B727C">
        <w:t xml:space="preserve">on täheldatud, et kokkupuude </w:t>
      </w:r>
      <w:proofErr w:type="spellStart"/>
      <w:r w:rsidR="00CA62C6" w:rsidRPr="002B727C">
        <w:t>Bt</w:t>
      </w:r>
      <w:proofErr w:type="spellEnd"/>
      <w:r w:rsidR="00CA62C6" w:rsidRPr="002B727C">
        <w:noBreakHyphen/>
      </w:r>
      <w:r w:rsidRPr="002B727C">
        <w:t xml:space="preserve">toksiinidega on põhjustanud </w:t>
      </w:r>
      <w:proofErr w:type="spellStart"/>
      <w:r w:rsidRPr="002B727C">
        <w:t>kõrvaltoimeid</w:t>
      </w:r>
      <w:proofErr w:type="spellEnd"/>
      <w:r w:rsidRPr="002B727C">
        <w:t>, mis võivad mõjutada</w:t>
      </w:r>
      <w:r w:rsidR="00CA62C6" w:rsidRPr="002B727C">
        <w:t xml:space="preserve"> immuunsüsteemi, ja et mõnel </w:t>
      </w:r>
      <w:proofErr w:type="spellStart"/>
      <w:r w:rsidR="00CA62C6" w:rsidRPr="002B727C">
        <w:t>Bt</w:t>
      </w:r>
      <w:proofErr w:type="spellEnd"/>
      <w:r w:rsidR="00CA62C6" w:rsidRPr="002B727C">
        <w:noBreakHyphen/>
      </w:r>
      <w:r w:rsidRPr="002B727C">
        <w:t xml:space="preserve">toksiinil võivad olla </w:t>
      </w:r>
      <w:proofErr w:type="spellStart"/>
      <w:r w:rsidRPr="002B727C">
        <w:t>adjuvandi</w:t>
      </w:r>
      <w:proofErr w:type="spellEnd"/>
      <w:r w:rsidRPr="002B727C">
        <w:t xml:space="preserve"> omadused</w:t>
      </w:r>
      <w:r w:rsidRPr="002B727C">
        <w:rPr>
          <w:rStyle w:val="FootnoteReference"/>
        </w:rPr>
        <w:footnoteReference w:id="10"/>
      </w:r>
      <w:r w:rsidRPr="002B727C">
        <w:t xml:space="preserve">, mis tähendab, et need võivad suurendada teiste valkude </w:t>
      </w:r>
      <w:proofErr w:type="spellStart"/>
      <w:r w:rsidRPr="002B727C">
        <w:t>allergeensust</w:t>
      </w:r>
      <w:proofErr w:type="spellEnd"/>
      <w:r w:rsidRPr="002B727C">
        <w:t>, millega nad kokku puutuvad;</w:t>
      </w:r>
    </w:p>
    <w:p w:rsidR="00762952" w:rsidRPr="002B727C" w:rsidRDefault="00762952" w:rsidP="00DB5CE2">
      <w:pPr>
        <w:pStyle w:val="NormalHanging12a"/>
      </w:pPr>
      <w:r w:rsidRPr="002B727C">
        <w:t>L.</w:t>
      </w:r>
      <w:r w:rsidRPr="002B727C">
        <w:tab/>
        <w:t>arvestades, et ühes teadusuuringus</w:t>
      </w:r>
      <w:r w:rsidR="00CA62C6" w:rsidRPr="002B727C">
        <w:t xml:space="preserve"> leiti, et </w:t>
      </w:r>
      <w:proofErr w:type="spellStart"/>
      <w:r w:rsidR="00CA62C6" w:rsidRPr="002B727C">
        <w:t>Bt</w:t>
      </w:r>
      <w:proofErr w:type="spellEnd"/>
      <w:r w:rsidR="00CA62C6" w:rsidRPr="002B727C">
        <w:noBreakHyphen/>
      </w:r>
      <w:r w:rsidRPr="002B727C">
        <w:t>toksiinide toksilisust võib suurendada ka koostoime herbitsiidide pihustamise jääkidega ning et on vaja lisauuringuid nn mitmekordse transformatsiooni kombineeritud mõju kohta (geneetiliselt muundatud põllukultuurid, mis on muudetud herbitsii</w:t>
      </w:r>
      <w:r w:rsidR="00CA62C6" w:rsidRPr="002B727C">
        <w:t xml:space="preserve">ditaluvaks ja </w:t>
      </w:r>
      <w:proofErr w:type="spellStart"/>
      <w:r w:rsidR="00CA62C6" w:rsidRPr="002B727C">
        <w:t>Bt</w:t>
      </w:r>
      <w:proofErr w:type="spellEnd"/>
      <w:r w:rsidR="00CA62C6" w:rsidRPr="002B727C">
        <w:noBreakHyphen/>
      </w:r>
      <w:r w:rsidRPr="002B727C">
        <w:t>toksiinide näol insektitsiide tekitavaks)</w:t>
      </w:r>
      <w:r w:rsidRPr="002B727C">
        <w:rPr>
          <w:rStyle w:val="FootnoteReference"/>
        </w:rPr>
        <w:footnoteReference w:id="11"/>
      </w:r>
      <w:r w:rsidRPr="002B727C">
        <w:t>; arvestades, et herbitsiidijääkide</w:t>
      </w:r>
      <w:r w:rsidR="00CA62C6" w:rsidRPr="002B727C">
        <w:t xml:space="preserve"> ja nende metaboliitide ning </w:t>
      </w:r>
      <w:proofErr w:type="spellStart"/>
      <w:r w:rsidR="00CA62C6" w:rsidRPr="002B727C">
        <w:t>Bt</w:t>
      </w:r>
      <w:proofErr w:type="spellEnd"/>
      <w:r w:rsidR="00CA62C6" w:rsidRPr="002B727C">
        <w:noBreakHyphen/>
      </w:r>
      <w:r w:rsidRPr="002B727C">
        <w:t>toksiinide võimaliku koostoime hin</w:t>
      </w:r>
      <w:r w:rsidR="00CA62C6" w:rsidRPr="002B727C">
        <w:t>damist ei peeta siiski EFSA GMO</w:t>
      </w:r>
      <w:r w:rsidR="00CA62C6" w:rsidRPr="002B727C">
        <w:noBreakHyphen/>
      </w:r>
      <w:r w:rsidRPr="002B727C">
        <w:t>komisjoni pädevusse kuuluvaks ning seetõttu seda riskihindamise raames ei hinnata;</w:t>
      </w:r>
    </w:p>
    <w:p w:rsidR="00762952" w:rsidRPr="002B727C" w:rsidRDefault="00CA62C6" w:rsidP="00CA62C6">
      <w:pPr>
        <w:pStyle w:val="NormalHanging12a"/>
        <w:keepNext/>
        <w:keepLines/>
        <w:ind w:left="0" w:firstLine="0"/>
        <w:rPr>
          <w:b/>
          <w:i/>
        </w:rPr>
      </w:pPr>
      <w:proofErr w:type="spellStart"/>
      <w:r w:rsidRPr="002B727C">
        <w:rPr>
          <w:b/>
          <w:i/>
        </w:rPr>
        <w:t>Bt</w:t>
      </w:r>
      <w:proofErr w:type="spellEnd"/>
      <w:r w:rsidRPr="002B727C">
        <w:rPr>
          <w:b/>
          <w:i/>
        </w:rPr>
        <w:noBreakHyphen/>
      </w:r>
      <w:r w:rsidR="00762952" w:rsidRPr="002B727C">
        <w:rPr>
          <w:b/>
          <w:i/>
        </w:rPr>
        <w:t>kultuurid: mõju mittesihtorganismidele</w:t>
      </w:r>
    </w:p>
    <w:p w:rsidR="00762952" w:rsidRPr="002B727C" w:rsidRDefault="00762952" w:rsidP="00DB5CE2">
      <w:pPr>
        <w:pStyle w:val="NormalHanging12a"/>
      </w:pPr>
      <w:r w:rsidRPr="002B727C">
        <w:t>M.</w:t>
      </w:r>
      <w:r w:rsidRPr="002B727C">
        <w:tab/>
        <w:t xml:space="preserve">arvestades, et erinevalt insektitsiidide kasutusest, kui kokkupuude toimub pihustamise ajal ja piiratud aja jooksul pärast seda, </w:t>
      </w:r>
      <w:r w:rsidR="00CA62C6" w:rsidRPr="002B727C">
        <w:t xml:space="preserve">toob geneetiliselt muundatud </w:t>
      </w:r>
      <w:proofErr w:type="spellStart"/>
      <w:r w:rsidR="00CA62C6" w:rsidRPr="002B727C">
        <w:t>Bt</w:t>
      </w:r>
      <w:proofErr w:type="spellEnd"/>
      <w:r w:rsidR="00CA62C6" w:rsidRPr="002B727C">
        <w:noBreakHyphen/>
      </w:r>
      <w:r w:rsidRPr="002B727C">
        <w:t>kultuuride kasutamine kaasa sihtorganismide ja muude kui sihto</w:t>
      </w:r>
      <w:r w:rsidR="00CA62C6" w:rsidRPr="002B727C">
        <w:t xml:space="preserve">rganismide pideva kokkupuute </w:t>
      </w:r>
      <w:proofErr w:type="spellStart"/>
      <w:r w:rsidR="00CA62C6" w:rsidRPr="002B727C">
        <w:t>Bt</w:t>
      </w:r>
      <w:proofErr w:type="spellEnd"/>
      <w:r w:rsidR="00CA62C6" w:rsidRPr="002B727C">
        <w:noBreakHyphen/>
      </w:r>
      <w:r w:rsidRPr="002B727C">
        <w:t>toksiinidega;</w:t>
      </w:r>
    </w:p>
    <w:p w:rsidR="00762952" w:rsidRPr="002B727C" w:rsidRDefault="00762952" w:rsidP="00DB5CE2">
      <w:pPr>
        <w:pStyle w:val="NormalHanging12a"/>
      </w:pPr>
      <w:r w:rsidRPr="002B727C">
        <w:t>N</w:t>
      </w:r>
      <w:r w:rsidR="00CA62C6" w:rsidRPr="002B727C">
        <w:t>.</w:t>
      </w:r>
      <w:r w:rsidR="00CA62C6" w:rsidRPr="002B727C">
        <w:tab/>
        <w:t xml:space="preserve">arvestades, et eeldust, et </w:t>
      </w:r>
      <w:proofErr w:type="spellStart"/>
      <w:r w:rsidR="00CA62C6" w:rsidRPr="002B727C">
        <w:t>Bt</w:t>
      </w:r>
      <w:proofErr w:type="spellEnd"/>
      <w:r w:rsidR="00CA62C6" w:rsidRPr="002B727C">
        <w:noBreakHyphen/>
      </w:r>
      <w:r w:rsidRPr="002B727C">
        <w:t>toksiinidel on ainult ühe sihtmärgiga toimeviis, ei saa enam tõeseks pidada, ja mõju sihtrühma mittekuuluvatele organismidele ei saa välistada; arvestades, et teadete kohaselt on järjest rohkem sihtrühma mittekuuluvaid organisme mitmel viisil mõjutatud; arvestades, et hiljutises ülevaates on välja toodud 39 eelretsenseeritud v</w:t>
      </w:r>
      <w:r w:rsidR="00CA62C6" w:rsidRPr="002B727C">
        <w:t xml:space="preserve">äljaannet, milles teatatakse </w:t>
      </w:r>
      <w:proofErr w:type="spellStart"/>
      <w:r w:rsidR="00CA62C6" w:rsidRPr="002B727C">
        <w:t>Bt</w:t>
      </w:r>
      <w:proofErr w:type="spellEnd"/>
      <w:r w:rsidR="00CA62C6" w:rsidRPr="002B727C">
        <w:noBreakHyphen/>
      </w:r>
      <w:r w:rsidRPr="002B727C">
        <w:t>toksiinide märkimisväärsest kahjulikust mõjust paljudele sihtrühmast välja jäävatele liikidele</w:t>
      </w:r>
      <w:r w:rsidRPr="002B727C">
        <w:rPr>
          <w:rStyle w:val="FootnoteReference"/>
        </w:rPr>
        <w:footnoteReference w:id="12"/>
      </w:r>
      <w:r w:rsidRPr="002B727C">
        <w:t>;</w:t>
      </w:r>
    </w:p>
    <w:p w:rsidR="00762952" w:rsidRPr="002B727C" w:rsidRDefault="00762952" w:rsidP="00CA62C6">
      <w:pPr>
        <w:pStyle w:val="NormalHanging12a"/>
        <w:keepNext/>
        <w:keepLines/>
        <w:ind w:left="0" w:firstLine="0"/>
        <w:rPr>
          <w:b/>
          <w:i/>
        </w:rPr>
      </w:pPr>
      <w:r w:rsidRPr="002B727C">
        <w:rPr>
          <w:b/>
          <w:i/>
        </w:rPr>
        <w:t>Võrdsete võimaluste tagamine kogu maailmas ja liidu rahvusvaheliste kohustuste täitmine</w:t>
      </w:r>
    </w:p>
    <w:p w:rsidR="00762952" w:rsidRPr="002B727C" w:rsidRDefault="00762952" w:rsidP="00DB5CE2">
      <w:pPr>
        <w:pStyle w:val="NormalHanging12a"/>
      </w:pPr>
      <w:r w:rsidRPr="002B727C">
        <w:t>O.</w:t>
      </w:r>
      <w:r w:rsidRPr="002B727C">
        <w:tab/>
        <w:t>arvestades, et ELi põllumajanduse tulevikku käsitleva strateegilise dialoogi järeldustes</w:t>
      </w:r>
      <w:r w:rsidRPr="002B727C">
        <w:rPr>
          <w:rStyle w:val="FootnoteReference"/>
        </w:rPr>
        <w:footnoteReference w:id="13"/>
      </w:r>
      <w:r w:rsidRPr="002B727C">
        <w:t xml:space="preserve"> palutakse, et komisjon hindaks oma lähenemisviisi põllumajanduslike toiduainete impordi ja ekspordi </w:t>
      </w:r>
      <w:proofErr w:type="spellStart"/>
      <w:r w:rsidRPr="002B727C">
        <w:t>turulepääsule</w:t>
      </w:r>
      <w:proofErr w:type="spellEnd"/>
      <w:r w:rsidRPr="002B727C">
        <w:t xml:space="preserve"> ümber, kuna liidu ja tema kaubanduspartnerite standardite lahknemine põhjustab probleeme; arvestades, et õiglasemad kaubandussuhted ülemaailmsel tasandil, mis on kooskõlas tervisliku kes</w:t>
      </w:r>
      <w:r w:rsidR="00CA62C6" w:rsidRPr="002B727C">
        <w:t xml:space="preserve">kkonna </w:t>
      </w:r>
      <w:r w:rsidR="00CA62C6" w:rsidRPr="002B727C">
        <w:lastRenderedPageBreak/>
        <w:t>eesmärkidega, olid 2023. ja 2024. </w:t>
      </w:r>
      <w:r w:rsidRPr="002B727C">
        <w:t>aasta meeleavaldustel põllumajandustootjate üks peamisi nõudmisi;</w:t>
      </w:r>
    </w:p>
    <w:p w:rsidR="00762952" w:rsidRPr="002B727C" w:rsidRDefault="00762952" w:rsidP="00DB5CE2">
      <w:pPr>
        <w:pStyle w:val="NormalHanging12a"/>
      </w:pPr>
      <w:r w:rsidRPr="002B727C">
        <w:t>P.</w:t>
      </w:r>
      <w:r w:rsidRPr="002B727C">
        <w:tab/>
        <w:t>arvestades, et Ühinenud Rahvaste Organisatsiooni (ÜRO) õigusega toidule tegeleva eriraportööri 2017. aasta aruandes leiti, et ohtlikel pestitsiididel on tervisele laastav mõju, eelkõige arengumaades</w:t>
      </w:r>
      <w:r w:rsidRPr="002B727C">
        <w:rPr>
          <w:rStyle w:val="FootnoteReference"/>
        </w:rPr>
        <w:footnoteReference w:id="14"/>
      </w:r>
      <w:r w:rsidRPr="002B727C">
        <w:t>; arvestades, et ÜRO kestliku arengu eesmärgi 3.9 abil soovitakse 2030. aastaks oluliselt vähendada selliste surmade ja haiguste arvu, mille on põhjustanud ohtlikud kemikaalid ning õhu, vee ja pinnase reostus ja saastumine</w:t>
      </w:r>
      <w:r w:rsidRPr="002B727C">
        <w:rPr>
          <w:rStyle w:val="FootnoteReference"/>
        </w:rPr>
        <w:footnoteReference w:id="15"/>
      </w:r>
      <w:r w:rsidRPr="002B727C">
        <w:t>;</w:t>
      </w:r>
    </w:p>
    <w:p w:rsidR="00762952" w:rsidRPr="002B727C" w:rsidRDefault="00762952" w:rsidP="00DB5CE2">
      <w:pPr>
        <w:pStyle w:val="NormalHanging12a"/>
      </w:pPr>
      <w:r w:rsidRPr="002B727C">
        <w:t>Q.</w:t>
      </w:r>
      <w:r w:rsidRPr="002B727C">
        <w:tab/>
        <w:t xml:space="preserve">arvestades, et 2022. aasta detsembris lepiti ÜRO bioloogilise mitmekesisuse konventsiooni osaliste konverentsi </w:t>
      </w:r>
      <w:r w:rsidR="00CA62C6" w:rsidRPr="002B727C">
        <w:t xml:space="preserve">15. istungjärgul kokku </w:t>
      </w:r>
      <w:proofErr w:type="spellStart"/>
      <w:r w:rsidR="00CA62C6" w:rsidRPr="002B727C">
        <w:t>Kunmingi</w:t>
      </w:r>
      <w:proofErr w:type="spellEnd"/>
      <w:r w:rsidR="00CA62C6" w:rsidRPr="002B727C">
        <w:noBreakHyphen/>
      </w:r>
      <w:r w:rsidRPr="002B727C">
        <w:t xml:space="preserve">Montreali üleilmses elurikkuse </w:t>
      </w:r>
      <w:r w:rsidR="00CA62C6" w:rsidRPr="002B727C">
        <w:t>raamistikus (edaspidi „</w:t>
      </w:r>
      <w:proofErr w:type="spellStart"/>
      <w:r w:rsidR="00CA62C6" w:rsidRPr="002B727C">
        <w:t>Kunmingi</w:t>
      </w:r>
      <w:proofErr w:type="spellEnd"/>
      <w:r w:rsidR="00CA62C6" w:rsidRPr="002B727C">
        <w:noBreakHyphen/>
      </w:r>
      <w:r w:rsidRPr="002B727C">
        <w:t>Montreali raamistik“), mis sisaldab üleilmset eesmärki vähendada taimekaitsevahenditest tulenevaid</w:t>
      </w:r>
      <w:r w:rsidR="00CA62C6" w:rsidRPr="002B727C">
        <w:t xml:space="preserve"> ohte 2030. aastaks vähemalt 50 </w:t>
      </w:r>
      <w:r w:rsidRPr="002B727C">
        <w:t>%</w:t>
      </w:r>
      <w:r w:rsidRPr="002B727C">
        <w:rPr>
          <w:rStyle w:val="FootnoteReference"/>
        </w:rPr>
        <w:footnoteReference w:id="16"/>
      </w:r>
      <w:r w:rsidRPr="002B727C">
        <w:t>;</w:t>
      </w:r>
    </w:p>
    <w:p w:rsidR="00762952" w:rsidRPr="002B727C" w:rsidRDefault="00762952" w:rsidP="00DB5CE2">
      <w:pPr>
        <w:pStyle w:val="NormalHanging12a"/>
      </w:pPr>
      <w:r w:rsidRPr="002B727C">
        <w:t>R.</w:t>
      </w:r>
      <w:r w:rsidRPr="002B727C">
        <w:tab/>
        <w:t>arvestades, et määruses (EÜ) nr 1829/2003 on sätestatud, et geneetiliselt muundatud toit ja sööt ei tohi avaldada inimeste ja loomade tervisele ega keskkonnale kahjulikku mõju, ning nõutakse, et komisjon võtaks oma otsuse koostamisel arvesse kõiki liidu õigusaktide asjakohaseid sätteid ja teisi selle küsimusega seotud õiguspäraseid tegureid; arvestades, et sellised õiguspärased tegurid peaksid hõlmama liidu kohustusi, mis tulenevad ÜRO kestliku arengu eesmärkidest ja ÜRO bioloogilise mitmekesisuse konventsioonist;</w:t>
      </w:r>
    </w:p>
    <w:p w:rsidR="00762952" w:rsidRPr="002B727C" w:rsidRDefault="00762952" w:rsidP="00CA62C6">
      <w:pPr>
        <w:pStyle w:val="NormalHanging12a"/>
        <w:keepNext/>
        <w:keepLines/>
        <w:ind w:left="0" w:firstLine="0"/>
        <w:rPr>
          <w:b/>
          <w:i/>
        </w:rPr>
      </w:pPr>
      <w:r w:rsidRPr="002B727C">
        <w:rPr>
          <w:b/>
          <w:i/>
        </w:rPr>
        <w:t>Imporditud söödast sõltuvuse vähendamine</w:t>
      </w:r>
    </w:p>
    <w:p w:rsidR="00762952" w:rsidRPr="002B727C" w:rsidRDefault="00CA62C6" w:rsidP="00DB5CE2">
      <w:pPr>
        <w:pStyle w:val="NormalHanging12a"/>
      </w:pPr>
      <w:r w:rsidRPr="002B727C">
        <w:t>S.</w:t>
      </w:r>
      <w:r w:rsidRPr="002B727C">
        <w:tab/>
        <w:t>arvestades, et COVID</w:t>
      </w:r>
      <w:r w:rsidRPr="002B727C">
        <w:noBreakHyphen/>
      </w:r>
      <w:r w:rsidR="00762952" w:rsidRPr="002B727C">
        <w:t>19 kriisist ja Ukrainas ikka veel jätkuvast sõjast saadud õppetund on, et liit peab lõpetama sõltuvuse mõnest kriitilisest toormest; arvestades, et</w:t>
      </w:r>
      <w:r w:rsidRPr="002B727C">
        <w:t xml:space="preserve"> komisjoni president Ursula von </w:t>
      </w:r>
      <w:proofErr w:type="spellStart"/>
      <w:r w:rsidRPr="002B727C">
        <w:t>der</w:t>
      </w:r>
      <w:proofErr w:type="spellEnd"/>
      <w:r w:rsidRPr="002B727C">
        <w:t> </w:t>
      </w:r>
      <w:proofErr w:type="spellStart"/>
      <w:r w:rsidR="00762952" w:rsidRPr="002B727C">
        <w:t>Leyen</w:t>
      </w:r>
      <w:proofErr w:type="spellEnd"/>
      <w:r w:rsidR="00762952" w:rsidRPr="002B727C">
        <w:t xml:space="preserve"> palub volinikukandidaat Christophe Hansenile saadetud missioonikirjas tal uurida võimalusi kriitilise tähtsusega kaupade impordi vähendamiseks</w:t>
      </w:r>
      <w:r w:rsidR="00762952" w:rsidRPr="002B727C">
        <w:rPr>
          <w:rStyle w:val="FootnoteReference"/>
        </w:rPr>
        <w:footnoteReference w:id="17"/>
      </w:r>
      <w:r w:rsidR="00762952" w:rsidRPr="002B727C">
        <w:t xml:space="preserve">; </w:t>
      </w:r>
    </w:p>
    <w:p w:rsidR="00762952" w:rsidRPr="002B727C" w:rsidRDefault="00762952" w:rsidP="00CA62C6">
      <w:pPr>
        <w:pStyle w:val="NormalHanging12a"/>
        <w:keepNext/>
        <w:keepLines/>
        <w:ind w:left="0" w:firstLine="0"/>
        <w:rPr>
          <w:b/>
          <w:i/>
        </w:rPr>
      </w:pPr>
      <w:r w:rsidRPr="002B727C">
        <w:rPr>
          <w:b/>
          <w:i/>
        </w:rPr>
        <w:t>Ebademokraatlik otsustamine</w:t>
      </w:r>
    </w:p>
    <w:p w:rsidR="00762952" w:rsidRPr="002B727C" w:rsidRDefault="00762952" w:rsidP="00DB5CE2">
      <w:pPr>
        <w:pStyle w:val="NormalHanging12a"/>
      </w:pPr>
      <w:r w:rsidRPr="002B727C">
        <w:t>T.</w:t>
      </w:r>
      <w:r w:rsidRPr="002B727C">
        <w:tab/>
        <w:t xml:space="preserve">arvestades, et Euroopa Parlament võttis oma kaheksandal ametiajal vastu 36 resolutsiooni, milles väljendatakse vastuseisu toiduks ja söödaks mõeldud </w:t>
      </w:r>
      <w:proofErr w:type="spellStart"/>
      <w:r w:rsidRPr="002B727C">
        <w:t>GMOde</w:t>
      </w:r>
      <w:proofErr w:type="spellEnd"/>
      <w:r w:rsidRPr="002B727C">
        <w:t xml:space="preserve"> turule laskmisele (33 resolutsiooni) ning </w:t>
      </w:r>
      <w:proofErr w:type="spellStart"/>
      <w:r w:rsidRPr="002B727C">
        <w:t>GMOde</w:t>
      </w:r>
      <w:proofErr w:type="spellEnd"/>
      <w:r w:rsidRPr="002B727C">
        <w:t xml:space="preserve"> kasvatamisele liidus (kolm resolutsiooni); arvestades, et üheksandal ametiajal väljendas Euroopa Parlament </w:t>
      </w:r>
      <w:proofErr w:type="spellStart"/>
      <w:r w:rsidRPr="002B727C">
        <w:t>GMOde</w:t>
      </w:r>
      <w:proofErr w:type="spellEnd"/>
      <w:r w:rsidRPr="002B727C">
        <w:t xml:space="preserve"> turule laskmisele vastuseisu 38 korral;</w:t>
      </w:r>
    </w:p>
    <w:p w:rsidR="00762952" w:rsidRPr="002B727C" w:rsidRDefault="00762952" w:rsidP="00DB5CE2">
      <w:pPr>
        <w:pStyle w:val="NormalHanging12a"/>
      </w:pPr>
      <w:r w:rsidRPr="002B727C">
        <w:t>U.</w:t>
      </w:r>
      <w:r w:rsidRPr="002B727C">
        <w:tab/>
        <w:t xml:space="preserve">arvestades, et kuigi komisjon tunnistab puudujääke demokraatlikus protsessis, liikmesriikide toetuse puudumist ja Euroopa Parlamendi vastuväiteid, jätkab ta siiski </w:t>
      </w:r>
      <w:proofErr w:type="spellStart"/>
      <w:r w:rsidRPr="002B727C">
        <w:t>GMOdele</w:t>
      </w:r>
      <w:proofErr w:type="spellEnd"/>
      <w:r w:rsidRPr="002B727C">
        <w:t xml:space="preserve"> lubade andmist;</w:t>
      </w:r>
    </w:p>
    <w:p w:rsidR="00762952" w:rsidRPr="002B727C" w:rsidRDefault="00762952" w:rsidP="00DB5CE2">
      <w:pPr>
        <w:pStyle w:val="NormalHanging12a"/>
      </w:pPr>
      <w:r w:rsidRPr="002B727C">
        <w:t>V.</w:t>
      </w:r>
      <w:r w:rsidRPr="002B727C">
        <w:tab/>
        <w:t xml:space="preserve">arvestades, et selleks, et komisjon saaks keelduda </w:t>
      </w:r>
      <w:proofErr w:type="spellStart"/>
      <w:r w:rsidRPr="002B727C">
        <w:t>GMOdele</w:t>
      </w:r>
      <w:proofErr w:type="spellEnd"/>
      <w:r w:rsidRPr="002B727C">
        <w:t xml:space="preserve"> loa andmisest, kui apellatsioonikomitees ei ole saavutatud selle toetuseks liikmesriikide kvalifitseeritud </w:t>
      </w:r>
      <w:r w:rsidRPr="002B727C">
        <w:lastRenderedPageBreak/>
        <w:t>häälteenamust, ei ole vaja õigusakte muuta</w:t>
      </w:r>
      <w:r w:rsidRPr="002B727C">
        <w:rPr>
          <w:rStyle w:val="FootnoteReference"/>
        </w:rPr>
        <w:footnoteReference w:id="18"/>
      </w:r>
      <w:r w:rsidRPr="002B727C">
        <w:t>;</w:t>
      </w:r>
    </w:p>
    <w:p w:rsidR="00762952" w:rsidRPr="002B727C" w:rsidRDefault="00762952" w:rsidP="00DB5CE2">
      <w:pPr>
        <w:pStyle w:val="NormalHanging12a"/>
      </w:pPr>
      <w:r w:rsidRPr="002B727C">
        <w:t>W.</w:t>
      </w:r>
      <w:r w:rsidRPr="002B727C">
        <w:tab/>
      </w:r>
      <w:r w:rsidRPr="002B727C">
        <w:rPr>
          <w:shd w:val="clear" w:color="auto" w:fill="FFFFFF"/>
        </w:rPr>
        <w:t>arvestades, et määruse (EÜ) nr 1829/2003 artiklis 35 osutatud alalises taime-, looma-, toidu- ja söödakomitees 8. juulil 2024 toimunud hääletuse tulemusel arvamust ei esitatud, mis tähendab seda, et loa andmise ettepanek ei saanud liikmesriikide kvalifitseeritud häälteenamust; arvestades</w:t>
      </w:r>
      <w:r w:rsidR="00CA62C6" w:rsidRPr="002B727C">
        <w:rPr>
          <w:shd w:val="clear" w:color="auto" w:fill="FFFFFF"/>
        </w:rPr>
        <w:t>, et arvamust ei esitatud ka 3. </w:t>
      </w:r>
      <w:r w:rsidRPr="002B727C">
        <w:rPr>
          <w:shd w:val="clear" w:color="auto" w:fill="FFFFFF"/>
        </w:rPr>
        <w:t>septembril 2024 apellatsioonikomitees toimunud hääletuse tulemusel;</w:t>
      </w:r>
    </w:p>
    <w:p w:rsidR="00762952" w:rsidRPr="002B727C" w:rsidRDefault="00762952" w:rsidP="00DB5CE2">
      <w:pPr>
        <w:pStyle w:val="NormalHanging12a"/>
      </w:pPr>
      <w:r w:rsidRPr="002B727C">
        <w:t>1.</w:t>
      </w:r>
      <w:r w:rsidRPr="002B727C">
        <w:tab/>
        <w:t>on seisukohal, et rakendusotsus</w:t>
      </w:r>
      <w:r w:rsidR="00CA62C6" w:rsidRPr="002B727C">
        <w:t xml:space="preserve"> (EL) 2024/2629</w:t>
      </w:r>
      <w:r w:rsidRPr="002B727C">
        <w:t xml:space="preserve"> ületab määruses (EÜ) nr 1829/2003 sätestatud rakendamisvolitusi;</w:t>
      </w:r>
    </w:p>
    <w:p w:rsidR="00762952" w:rsidRPr="002B727C" w:rsidRDefault="00762952" w:rsidP="00DB5CE2">
      <w:pPr>
        <w:pStyle w:val="NormalHanging12a"/>
      </w:pPr>
      <w:r w:rsidRPr="002B727C">
        <w:t>2.</w:t>
      </w:r>
      <w:r w:rsidRPr="002B727C">
        <w:tab/>
        <w:t>on seisukohal, et rakendusotsus</w:t>
      </w:r>
      <w:r w:rsidR="00CA62C6" w:rsidRPr="002B727C">
        <w:t xml:space="preserve"> (EL) 2024/2629</w:t>
      </w:r>
      <w:r w:rsidRPr="002B727C">
        <w:t xml:space="preserve"> on vastuolus liidu õigusega, sest see ei ole kooskõlas määruse (EÜ) nr 1829/2003 eesmärgiga, milleks Euroopa Parlamendi ja nõukogu määruses (EÜ) nr 178/2002</w:t>
      </w:r>
      <w:r w:rsidRPr="002B727C">
        <w:rPr>
          <w:rStyle w:val="FootnoteReference"/>
        </w:rPr>
        <w:footnoteReference w:id="19"/>
      </w:r>
      <w:r w:rsidRPr="002B727C">
        <w:t xml:space="preserve"> sätestatud </w:t>
      </w:r>
      <w:proofErr w:type="spellStart"/>
      <w:r w:rsidRPr="002B727C">
        <w:t>üldpõhimõtete</w:t>
      </w:r>
      <w:proofErr w:type="spellEnd"/>
      <w:r w:rsidRPr="002B727C">
        <w:t xml:space="preserve"> kohaselt on luua alus inimeste elu ja tervise, loomade tervise ja heaolu ning keskkonna ja tarbijate huvide kaitse kõrge taseme tagamiseks seoses geneetiliselt muundatud toidu ja sööda kasutamisega ning tagada samal ajal ka siseturu </w:t>
      </w:r>
      <w:r w:rsidR="000D7EB3" w:rsidRPr="002B727C">
        <w:t>tulemuslik</w:t>
      </w:r>
      <w:r w:rsidRPr="002B727C">
        <w:t xml:space="preserve"> toimimine;</w:t>
      </w:r>
    </w:p>
    <w:p w:rsidR="00087049" w:rsidRPr="002B727C" w:rsidRDefault="00A9645B" w:rsidP="00DB5CE2">
      <w:pPr>
        <w:pStyle w:val="NormalHanging12a"/>
      </w:pPr>
      <w:r w:rsidRPr="002B727C">
        <w:t>3.</w:t>
      </w:r>
      <w:r w:rsidR="00087049" w:rsidRPr="002B727C">
        <w:tab/>
        <w:t>kutsub komisjoni üles tagama vabakaubanduslepingute üle peetavatel läbirääkimistel liidu ja tema partnerite standardite lähendamise, et järgida liidu ohutusstandardeid;</w:t>
      </w:r>
    </w:p>
    <w:p w:rsidR="00762952" w:rsidRPr="002B727C" w:rsidRDefault="00A9645B" w:rsidP="00DB5CE2">
      <w:pPr>
        <w:pStyle w:val="NormalHanging12a"/>
      </w:pPr>
      <w:r w:rsidRPr="002B727C">
        <w:t>4</w:t>
      </w:r>
      <w:r w:rsidR="00762952" w:rsidRPr="002B727C">
        <w:t>.</w:t>
      </w:r>
      <w:r w:rsidR="00762952" w:rsidRPr="002B727C">
        <w:tab/>
        <w:t>palub komisjonil rakendusotsus</w:t>
      </w:r>
      <w:r w:rsidR="00CA62C6" w:rsidRPr="002B727C">
        <w:t xml:space="preserve"> (EL) 2024/2629 kehtetuks tunnistada</w:t>
      </w:r>
      <w:r w:rsidR="00762952" w:rsidRPr="002B727C">
        <w:t xml:space="preserve"> ja esitada komiteele uue eelnõu;</w:t>
      </w:r>
    </w:p>
    <w:p w:rsidR="00762952" w:rsidRPr="002B727C" w:rsidRDefault="00A9645B" w:rsidP="00DB5CE2">
      <w:pPr>
        <w:pStyle w:val="NormalHanging12a"/>
      </w:pPr>
      <w:r w:rsidRPr="002B727C">
        <w:t>5</w:t>
      </w:r>
      <w:r w:rsidR="00762952" w:rsidRPr="002B727C">
        <w:t>.</w:t>
      </w:r>
      <w:r w:rsidR="00762952" w:rsidRPr="002B727C">
        <w:tab/>
        <w:t>kutsub komisjoni üles mitte andma luba herbitsiiditolerantsete geneetiliselt muundatud põllukultuuride kasutamiseks, kuna sellega kaasneb suurem lisaherbitsiidide kasutamine ning seetõttu suuremad riskid elurikkusele, toiduohutusele ja töötajate tervisele;</w:t>
      </w:r>
    </w:p>
    <w:p w:rsidR="00762952" w:rsidRPr="002B727C" w:rsidRDefault="00A9645B" w:rsidP="00DB5CE2">
      <w:pPr>
        <w:pStyle w:val="NormalHanging12a"/>
      </w:pPr>
      <w:r w:rsidRPr="002B727C">
        <w:t>6</w:t>
      </w:r>
      <w:r w:rsidR="00762952" w:rsidRPr="002B727C">
        <w:t>.</w:t>
      </w:r>
      <w:r w:rsidR="00762952" w:rsidRPr="002B727C">
        <w:tab/>
        <w:t xml:space="preserve">rõhutab sellega seoses, et liidus keelatud herbitsiidide, näiteks </w:t>
      </w:r>
      <w:proofErr w:type="spellStart"/>
      <w:r w:rsidR="00762952" w:rsidRPr="002B727C">
        <w:t>glufosinaadi</w:t>
      </w:r>
      <w:proofErr w:type="spellEnd"/>
      <w:r w:rsidR="00762952" w:rsidRPr="002B727C">
        <w:t xml:space="preserve"> suhtes tolerantseks muudetud geneetiliselt muundatud taimede importimise lubamine toidu või söödana kasutamiseks on vastuolus liidu rahvusvaheliste kohustustega, mis tulenevad muu hulgas ÜRO kestliku arengu eesmärkidest ja ÜRO bioloogilise mitmekesisuse konventsioonist, sealhulgas hiljuti vastu võetud </w:t>
      </w:r>
      <w:proofErr w:type="spellStart"/>
      <w:r w:rsidR="00762952" w:rsidRPr="002B727C">
        <w:t>Kunm</w:t>
      </w:r>
      <w:r w:rsidR="00CA62C6" w:rsidRPr="002B727C">
        <w:t>ingi</w:t>
      </w:r>
      <w:proofErr w:type="spellEnd"/>
      <w:r w:rsidR="00CA62C6" w:rsidRPr="002B727C">
        <w:noBreakHyphen/>
      </w:r>
      <w:r w:rsidR="00762952" w:rsidRPr="002B727C">
        <w:t>Montreali raamistikust</w:t>
      </w:r>
      <w:r w:rsidR="00762952" w:rsidRPr="002B727C">
        <w:rPr>
          <w:rStyle w:val="FootnoteReference"/>
        </w:rPr>
        <w:footnoteReference w:id="20"/>
      </w:r>
      <w:r w:rsidR="00762952" w:rsidRPr="002B727C">
        <w:t>;</w:t>
      </w:r>
    </w:p>
    <w:p w:rsidR="00762952" w:rsidRPr="002B727C" w:rsidRDefault="00A9645B" w:rsidP="00DB5CE2">
      <w:pPr>
        <w:pStyle w:val="NormalHanging12a"/>
      </w:pPr>
      <w:r w:rsidRPr="002B727C">
        <w:t>7</w:t>
      </w:r>
      <w:r w:rsidR="00762952" w:rsidRPr="002B727C">
        <w:t>.</w:t>
      </w:r>
      <w:r w:rsidR="00762952" w:rsidRPr="002B727C">
        <w:tab/>
        <w:t>eeldab, et komisjon täidab kiiremas korras oma kohustuse esitada ettepanek tagamaks, et liidus keelatud ohtlikke kemikaale ei toodeta ekspordiks;</w:t>
      </w:r>
    </w:p>
    <w:p w:rsidR="00762952" w:rsidRPr="002B727C" w:rsidRDefault="00A9645B" w:rsidP="00DB5CE2">
      <w:pPr>
        <w:pStyle w:val="NormalHanging12a"/>
      </w:pPr>
      <w:r w:rsidRPr="002B727C">
        <w:t>8</w:t>
      </w:r>
      <w:r w:rsidR="00762952" w:rsidRPr="002B727C">
        <w:t>.</w:t>
      </w:r>
      <w:r w:rsidR="00762952" w:rsidRPr="002B727C">
        <w:tab/>
        <w:t xml:space="preserve">väljendab heameelt, et komisjon tunnistas lõpuks oma 11. septembri 2020. aasta kirjas parlamendiliikmetele, et </w:t>
      </w:r>
      <w:proofErr w:type="spellStart"/>
      <w:r w:rsidR="00762952" w:rsidRPr="002B727C">
        <w:t>GMOde</w:t>
      </w:r>
      <w:proofErr w:type="spellEnd"/>
      <w:r w:rsidR="00762952" w:rsidRPr="002B727C">
        <w:t xml:space="preserve"> lubamise otsuste tegemisel on vaja arvesse võtta kestlikkust</w:t>
      </w:r>
      <w:r w:rsidR="00762952" w:rsidRPr="002B727C">
        <w:rPr>
          <w:rStyle w:val="FootnoteReference"/>
        </w:rPr>
        <w:footnoteReference w:id="21"/>
      </w:r>
      <w:r w:rsidR="00762952" w:rsidRPr="002B727C">
        <w:t xml:space="preserve">; väljendab siiski sügavat pettumust, et komisjon on sellest ajast saadik </w:t>
      </w:r>
      <w:r w:rsidR="00762952" w:rsidRPr="002B727C">
        <w:lastRenderedPageBreak/>
        <w:t xml:space="preserve">jätkuvalt andnud lube </w:t>
      </w:r>
      <w:proofErr w:type="spellStart"/>
      <w:r w:rsidR="00762952" w:rsidRPr="002B727C">
        <w:t>GMOde</w:t>
      </w:r>
      <w:proofErr w:type="spellEnd"/>
      <w:r w:rsidR="00762952" w:rsidRPr="002B727C">
        <w:t xml:space="preserve"> liitu importimiseks, hoolimata Euroopa Parlamendi jätkuvast vastuseisust ja et selle poolt ei ole liikmesriikide kvalifitseeritud häälteenamust;</w:t>
      </w:r>
    </w:p>
    <w:p w:rsidR="00762952" w:rsidRPr="002B727C" w:rsidRDefault="00A9645B" w:rsidP="00DB5CE2">
      <w:pPr>
        <w:pStyle w:val="NormalHanging12a"/>
      </w:pPr>
      <w:r w:rsidRPr="002B727C">
        <w:t>9</w:t>
      </w:r>
      <w:r w:rsidR="00762952" w:rsidRPr="002B727C">
        <w:t>.</w:t>
      </w:r>
      <w:r w:rsidR="00762952" w:rsidRPr="002B727C">
        <w:tab/>
        <w:t>nõuab veel kord tungivalt, et komisjon võtaks arvesse liidu kohustusi, mis tulenevad sellistest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sidR="00762952" w:rsidRPr="002B727C">
        <w:rPr>
          <w:rStyle w:val="FootnoteReference"/>
        </w:rPr>
        <w:footnoteReference w:id="22"/>
      </w:r>
      <w:r w:rsidR="00762952" w:rsidRPr="002B727C">
        <w:t xml:space="preserve">; </w:t>
      </w:r>
    </w:p>
    <w:p w:rsidR="009F4878" w:rsidRPr="002B727C" w:rsidRDefault="00A9645B" w:rsidP="00DB5CE2">
      <w:pPr>
        <w:pStyle w:val="NormalHanging12a"/>
      </w:pPr>
      <w:r w:rsidRPr="002B727C">
        <w:t>10</w:t>
      </w:r>
      <w:r w:rsidR="00762952" w:rsidRPr="002B727C">
        <w:t>.</w:t>
      </w:r>
      <w:r w:rsidR="00762952" w:rsidRPr="002B727C">
        <w:tab/>
        <w:t>teeb presidendile ülesandeks edastada käesolev resolutsioon nõukogule ja komisjonile ning liikmesriikide valitsustele ja parlamentidele.</w:t>
      </w:r>
    </w:p>
    <w:p w:rsidR="00E365E1" w:rsidRPr="002B727C" w:rsidRDefault="00E365E1" w:rsidP="00287618"/>
    <w:sectPr w:rsidR="00E365E1" w:rsidRPr="002B727C" w:rsidSect="009F4878">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618" w:rsidRPr="009F4878" w:rsidRDefault="00287618">
      <w:r w:rsidRPr="009F4878">
        <w:separator/>
      </w:r>
    </w:p>
  </w:endnote>
  <w:endnote w:type="continuationSeparator" w:id="0">
    <w:p w:rsidR="00287618" w:rsidRPr="009F4878" w:rsidRDefault="00287618">
      <w:r w:rsidRPr="009F48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618" w:rsidRPr="009F4878" w:rsidRDefault="00287618">
      <w:r w:rsidRPr="009F4878">
        <w:separator/>
      </w:r>
    </w:p>
  </w:footnote>
  <w:footnote w:type="continuationSeparator" w:id="0">
    <w:p w:rsidR="00287618" w:rsidRPr="009F4878" w:rsidRDefault="00287618">
      <w:r w:rsidRPr="009F4878">
        <w:continuationSeparator/>
      </w:r>
    </w:p>
  </w:footnote>
  <w:footnote w:id="1">
    <w:p w:rsidR="00CA62C6" w:rsidRPr="009F4878" w:rsidRDefault="00CA62C6" w:rsidP="00CA62C6">
      <w:pPr>
        <w:pStyle w:val="FootnoteText"/>
        <w:ind w:left="567" w:hanging="567"/>
        <w:rPr>
          <w:sz w:val="24"/>
          <w:lang w:val="et-EE"/>
        </w:rPr>
      </w:pPr>
      <w:r w:rsidRPr="009F4878">
        <w:rPr>
          <w:rStyle w:val="FootnoteReference"/>
          <w:sz w:val="24"/>
          <w:szCs w:val="22"/>
          <w:lang w:val="et-EE"/>
        </w:rPr>
        <w:footnoteRef/>
      </w:r>
      <w:r w:rsidRPr="009F4878">
        <w:rPr>
          <w:sz w:val="24"/>
          <w:lang w:val="et-EE"/>
        </w:rPr>
        <w:t xml:space="preserve"> </w:t>
      </w:r>
      <w:r w:rsidRPr="009F4878">
        <w:rPr>
          <w:sz w:val="24"/>
          <w:lang w:val="et-EE"/>
        </w:rPr>
        <w:tab/>
      </w:r>
      <w:r>
        <w:rPr>
          <w:sz w:val="24"/>
          <w:lang w:val="et-EE"/>
        </w:rPr>
        <w:t>ELT L, 2024/2629, 10.10.2024, ELI: </w:t>
      </w:r>
      <w:hyperlink r:id="rId1" w:history="1">
        <w:r w:rsidRPr="0088526A">
          <w:rPr>
            <w:rStyle w:val="Hyperlink"/>
            <w:sz w:val="24"/>
            <w:lang w:val="et-EE"/>
          </w:rPr>
          <w:t>http://data.europa.eu/eli/dec_impl/2024/2629/oj</w:t>
        </w:r>
      </w:hyperlink>
      <w:r>
        <w:rPr>
          <w:sz w:val="24"/>
          <w:lang w:val="et-EE"/>
        </w:rPr>
        <w:t>.</w:t>
      </w:r>
    </w:p>
  </w:footnote>
  <w:footnote w:id="2">
    <w:p w:rsidR="00762952" w:rsidRPr="009F4878" w:rsidRDefault="00762952" w:rsidP="009F4878">
      <w:pPr>
        <w:pStyle w:val="FootnoteText"/>
        <w:ind w:left="567" w:hanging="567"/>
        <w:rPr>
          <w:sz w:val="24"/>
          <w:lang w:val="et-EE"/>
        </w:rPr>
      </w:pPr>
      <w:r w:rsidRPr="009F4878">
        <w:rPr>
          <w:rStyle w:val="FootnoteReference"/>
          <w:sz w:val="24"/>
          <w:szCs w:val="22"/>
          <w:lang w:val="et-EE"/>
        </w:rPr>
        <w:footnoteRef/>
      </w:r>
      <w:r w:rsidR="009F4878" w:rsidRPr="009F4878">
        <w:rPr>
          <w:sz w:val="24"/>
          <w:lang w:val="et-EE"/>
        </w:rPr>
        <w:t xml:space="preserve"> </w:t>
      </w:r>
      <w:r w:rsidR="009F4878" w:rsidRPr="009F4878">
        <w:rPr>
          <w:sz w:val="24"/>
          <w:lang w:val="et-EE"/>
        </w:rPr>
        <w:tab/>
      </w:r>
      <w:r w:rsidR="00CA62C6">
        <w:rPr>
          <w:sz w:val="24"/>
          <w:lang w:val="et-EE"/>
        </w:rPr>
        <w:t>ELT L 268, 18.10.2003, lk </w:t>
      </w:r>
      <w:r w:rsidRPr="009F4878">
        <w:rPr>
          <w:sz w:val="24"/>
          <w:lang w:val="et-EE"/>
        </w:rPr>
        <w:t>1, ELI:</w:t>
      </w:r>
      <w:r w:rsidR="00CA62C6">
        <w:rPr>
          <w:sz w:val="24"/>
          <w:lang w:val="et-EE"/>
        </w:rPr>
        <w:t> </w:t>
      </w:r>
      <w:hyperlink r:id="rId2" w:tooltip="Juurdepääs dokumendile ELI URI kaudu." w:history="1">
        <w:r w:rsidRPr="009F4878">
          <w:rPr>
            <w:rStyle w:val="Hyperlink"/>
            <w:color w:val="337AB7"/>
            <w:sz w:val="24"/>
            <w:shd w:val="clear" w:color="auto" w:fill="FFFFFF"/>
            <w:lang w:val="et-EE"/>
          </w:rPr>
          <w:t>http://data.europa.eu/eli/reg/2003/1829/oj</w:t>
        </w:r>
      </w:hyperlink>
      <w:r w:rsidRPr="009F4878">
        <w:rPr>
          <w:sz w:val="24"/>
          <w:lang w:val="et-EE"/>
        </w:rPr>
        <w:t xml:space="preserve">. </w:t>
      </w:r>
    </w:p>
  </w:footnote>
  <w:footnote w:id="3">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r w:rsidR="00CA62C6">
        <w:rPr>
          <w:sz w:val="24"/>
          <w:lang w:val="et-EE"/>
        </w:rPr>
        <w:t>ELT L 55, 28.2.2011, lk </w:t>
      </w:r>
      <w:r w:rsidRPr="009F4878">
        <w:rPr>
          <w:sz w:val="24"/>
          <w:lang w:val="et-EE"/>
        </w:rPr>
        <w:t>13, ELI:</w:t>
      </w:r>
      <w:r w:rsidR="00CA62C6">
        <w:rPr>
          <w:sz w:val="24"/>
          <w:lang w:val="et-EE"/>
        </w:rPr>
        <w:t> </w:t>
      </w:r>
      <w:hyperlink r:id="rId3" w:tooltip="Juurdepääs dokumendile ELI URI kaudu." w:history="1">
        <w:r w:rsidRPr="009F4878">
          <w:rPr>
            <w:rStyle w:val="Hyperlink"/>
            <w:color w:val="337AB7"/>
            <w:sz w:val="24"/>
            <w:shd w:val="clear" w:color="auto" w:fill="FFFFFF"/>
            <w:lang w:val="et-EE"/>
          </w:rPr>
          <w:t>http://data.europa.eu/eli/reg/2011/182/oj</w:t>
        </w:r>
      </w:hyperlink>
      <w:r w:rsidRPr="009F4878">
        <w:rPr>
          <w:sz w:val="24"/>
          <w:lang w:val="et-EE"/>
        </w:rPr>
        <w:t>.</w:t>
      </w:r>
    </w:p>
  </w:footnote>
  <w:footnote w:id="4">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r w:rsidRPr="009F4878">
        <w:rPr>
          <w:sz w:val="24"/>
          <w:lang w:val="et-EE"/>
        </w:rPr>
        <w:t xml:space="preserve">EFSA geneetiliselt muundatud organismide komisjoni teaduslik arvamus, mis käsitleb geneetiliselt muundatud maisi MON 89034 × 1507 × MON 88017 × 59122 ja selle kümnest alakombinatsioonist kaheksa hindamist loa kehtivuse pikendamiseks vastavalt määrusele (EÜ) nr 1829/2003 (toimik GMFF-2022-9170), EFSA </w:t>
      </w:r>
      <w:proofErr w:type="spellStart"/>
      <w:r w:rsidRPr="009F4878">
        <w:rPr>
          <w:sz w:val="24"/>
          <w:lang w:val="et-EE"/>
        </w:rPr>
        <w:t>Journal</w:t>
      </w:r>
      <w:proofErr w:type="spellEnd"/>
      <w:r w:rsidRPr="009F4878">
        <w:rPr>
          <w:sz w:val="24"/>
          <w:lang w:val="et-EE"/>
        </w:rPr>
        <w:t xml:space="preserve">, 2024;22(4):8715, </w:t>
      </w:r>
      <w:hyperlink r:id="rId4" w:history="1">
        <w:r w:rsidRPr="009F4878">
          <w:rPr>
            <w:rStyle w:val="Hyperlink"/>
            <w:sz w:val="24"/>
            <w:lang w:val="et-EE"/>
          </w:rPr>
          <w:t>https://doi.org/10.2903/j.efsa.2024.8715</w:t>
        </w:r>
      </w:hyperlink>
      <w:r w:rsidRPr="009F4878">
        <w:rPr>
          <w:sz w:val="24"/>
          <w:lang w:val="et-EE"/>
        </w:rPr>
        <w:t>.</w:t>
      </w:r>
    </w:p>
  </w:footnote>
  <w:footnote w:id="5">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color w:val="000000" w:themeColor="text1"/>
          <w:sz w:val="24"/>
          <w:lang w:val="et-EE"/>
        </w:rPr>
        <w:t xml:space="preserve"> </w:t>
      </w:r>
      <w:r w:rsidR="009F4878" w:rsidRPr="009F4878">
        <w:rPr>
          <w:color w:val="000000" w:themeColor="text1"/>
          <w:sz w:val="24"/>
          <w:lang w:val="et-EE"/>
        </w:rPr>
        <w:tab/>
      </w:r>
      <w:r w:rsidRPr="009F4878">
        <w:rPr>
          <w:color w:val="000000" w:themeColor="text1"/>
          <w:sz w:val="24"/>
          <w:lang w:val="et-EE"/>
        </w:rPr>
        <w:t>Parlament võttis</w:t>
      </w:r>
      <w:r w:rsidR="00CA62C6">
        <w:rPr>
          <w:color w:val="000000" w:themeColor="text1"/>
          <w:sz w:val="24"/>
          <w:lang w:val="et-EE"/>
        </w:rPr>
        <w:t xml:space="preserve"> kaheksandal ametiajal vastu 36 </w:t>
      </w:r>
      <w:r w:rsidRPr="009F4878">
        <w:rPr>
          <w:color w:val="000000" w:themeColor="text1"/>
          <w:sz w:val="24"/>
          <w:lang w:val="et-EE"/>
        </w:rPr>
        <w:t>resolutsi</w:t>
      </w:r>
      <w:r w:rsidR="00CA62C6">
        <w:rPr>
          <w:color w:val="000000" w:themeColor="text1"/>
          <w:sz w:val="24"/>
          <w:lang w:val="et-EE"/>
        </w:rPr>
        <w:t>ooni ja üheksandal ametiajal 38 </w:t>
      </w:r>
      <w:r w:rsidRPr="009F4878">
        <w:rPr>
          <w:color w:val="000000" w:themeColor="text1"/>
          <w:sz w:val="24"/>
          <w:lang w:val="et-EE"/>
        </w:rPr>
        <w:t xml:space="preserve">resolutsiooni, milles väljendatakse </w:t>
      </w:r>
      <w:proofErr w:type="spellStart"/>
      <w:r w:rsidRPr="009F4878">
        <w:rPr>
          <w:color w:val="000000" w:themeColor="text1"/>
          <w:sz w:val="24"/>
          <w:lang w:val="et-EE"/>
        </w:rPr>
        <w:t>GMOde</w:t>
      </w:r>
      <w:proofErr w:type="spellEnd"/>
      <w:r w:rsidRPr="009F4878">
        <w:rPr>
          <w:color w:val="000000" w:themeColor="text1"/>
          <w:sz w:val="24"/>
          <w:lang w:val="et-EE"/>
        </w:rPr>
        <w:t xml:space="preserve"> lubamisele vastuseisu.</w:t>
      </w:r>
    </w:p>
  </w:footnote>
  <w:footnote w:id="6">
    <w:p w:rsidR="00762952" w:rsidRPr="009F4878" w:rsidRDefault="00762952" w:rsidP="009F4878">
      <w:pPr>
        <w:pStyle w:val="FootnoteText"/>
        <w:ind w:left="567" w:hanging="567"/>
        <w:rPr>
          <w:sz w:val="24"/>
          <w:lang w:val="et-EE"/>
        </w:rPr>
      </w:pPr>
      <w:r w:rsidRPr="009F4878">
        <w:rPr>
          <w:rStyle w:val="FootnoteReference"/>
          <w:sz w:val="24"/>
          <w:szCs w:val="22"/>
          <w:lang w:val="et-EE"/>
        </w:rPr>
        <w:footnoteRef/>
      </w:r>
      <w:r w:rsidR="009F4878" w:rsidRPr="009F4878">
        <w:rPr>
          <w:sz w:val="24"/>
          <w:lang w:val="et-EE"/>
        </w:rPr>
        <w:t xml:space="preserve"> </w:t>
      </w:r>
      <w:r w:rsidR="009F4878" w:rsidRPr="009F4878">
        <w:rPr>
          <w:sz w:val="24"/>
          <w:lang w:val="et-EE"/>
        </w:rPr>
        <w:tab/>
      </w:r>
      <w:r w:rsidR="00CA62C6">
        <w:rPr>
          <w:sz w:val="24"/>
          <w:lang w:val="et-EE"/>
        </w:rPr>
        <w:t>Komisjoni 3. aprilli 2013. aasta rakendusmäärus (EL) nr </w:t>
      </w:r>
      <w:r w:rsidRPr="009F4878">
        <w:rPr>
          <w:sz w:val="24"/>
          <w:lang w:val="et-EE"/>
        </w:rPr>
        <w:t>503/2013, mis käsitleb loa taotlemist geneetiliselt muundatud toidule ja söödale Euroopa Parlam</w:t>
      </w:r>
      <w:r w:rsidR="00CA62C6">
        <w:rPr>
          <w:sz w:val="24"/>
          <w:lang w:val="et-EE"/>
        </w:rPr>
        <w:t>endi ja nõukogu määruse (EÜ) nr </w:t>
      </w:r>
      <w:r w:rsidRPr="009F4878">
        <w:rPr>
          <w:sz w:val="24"/>
          <w:lang w:val="et-EE"/>
        </w:rPr>
        <w:t>1829/2003 kohaselt ning mil</w:t>
      </w:r>
      <w:r w:rsidR="00CA62C6">
        <w:rPr>
          <w:sz w:val="24"/>
          <w:lang w:val="et-EE"/>
        </w:rPr>
        <w:t>lega muudetakse määrusi (EÜ) nr 641/2004 ja (EÜ) nr </w:t>
      </w:r>
      <w:r w:rsidRPr="009F4878">
        <w:rPr>
          <w:sz w:val="24"/>
          <w:lang w:val="et-EE"/>
        </w:rPr>
        <w:t>1981/2006 (ELT L 157, 8.6.2013, lk 1, ELI:</w:t>
      </w:r>
      <w:r w:rsidR="00CA62C6">
        <w:rPr>
          <w:sz w:val="24"/>
          <w:lang w:val="et-EE"/>
        </w:rPr>
        <w:t> </w:t>
      </w:r>
      <w:hyperlink r:id="rId5" w:tooltip="Juurdepääs dokumendile ELI URI kaudu." w:history="1">
        <w:r w:rsidRPr="009F4878">
          <w:rPr>
            <w:rStyle w:val="Hyperlink"/>
            <w:sz w:val="24"/>
            <w:lang w:val="et-EE"/>
          </w:rPr>
          <w:t>http://data.europa.eu/eli/reg_impl/2013/503/oj</w:t>
        </w:r>
      </w:hyperlink>
      <w:r w:rsidRPr="009F4878">
        <w:rPr>
          <w:sz w:val="24"/>
          <w:lang w:val="et-EE"/>
        </w:rPr>
        <w:t>).</w:t>
      </w:r>
    </w:p>
  </w:footnote>
  <w:footnote w:id="7">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r w:rsidRPr="009F4878">
        <w:rPr>
          <w:sz w:val="24"/>
          <w:lang w:val="et-EE"/>
        </w:rPr>
        <w:t xml:space="preserve">Vt näiteks </w:t>
      </w:r>
      <w:proofErr w:type="spellStart"/>
      <w:r w:rsidRPr="009F4878">
        <w:rPr>
          <w:sz w:val="24"/>
          <w:lang w:val="et-EE"/>
        </w:rPr>
        <w:t>Schulz</w:t>
      </w:r>
      <w:proofErr w:type="spellEnd"/>
      <w:r w:rsidRPr="009F4878">
        <w:rPr>
          <w:sz w:val="24"/>
          <w:lang w:val="et-EE"/>
        </w:rPr>
        <w:t xml:space="preserve">, R., </w:t>
      </w:r>
      <w:proofErr w:type="spellStart"/>
      <w:r w:rsidRPr="009F4878">
        <w:rPr>
          <w:sz w:val="24"/>
          <w:lang w:val="et-EE"/>
        </w:rPr>
        <w:t>Bub</w:t>
      </w:r>
      <w:proofErr w:type="spellEnd"/>
      <w:r w:rsidRPr="009F4878">
        <w:rPr>
          <w:sz w:val="24"/>
          <w:lang w:val="et-EE"/>
        </w:rPr>
        <w:t xml:space="preserve">, S., </w:t>
      </w:r>
      <w:proofErr w:type="spellStart"/>
      <w:r w:rsidRPr="009F4878">
        <w:rPr>
          <w:sz w:val="24"/>
          <w:lang w:val="et-EE"/>
        </w:rPr>
        <w:t>Petschick</w:t>
      </w:r>
      <w:proofErr w:type="spellEnd"/>
      <w:r w:rsidRPr="009F4878">
        <w:rPr>
          <w:sz w:val="24"/>
          <w:lang w:val="et-EE"/>
        </w:rPr>
        <w:t xml:space="preserve">, L. L., </w:t>
      </w:r>
      <w:proofErr w:type="spellStart"/>
      <w:r w:rsidRPr="009F4878">
        <w:rPr>
          <w:sz w:val="24"/>
          <w:lang w:val="et-EE"/>
        </w:rPr>
        <w:t>Stehle</w:t>
      </w:r>
      <w:proofErr w:type="spellEnd"/>
      <w:r w:rsidRPr="009F4878">
        <w:rPr>
          <w:sz w:val="24"/>
          <w:lang w:val="et-EE"/>
        </w:rPr>
        <w:t>, S., Wolfram, J. (2021) „</w:t>
      </w:r>
      <w:proofErr w:type="spellStart"/>
      <w:r w:rsidRPr="009F4878">
        <w:rPr>
          <w:sz w:val="24"/>
          <w:lang w:val="et-EE"/>
        </w:rPr>
        <w:t>Applied</w:t>
      </w:r>
      <w:proofErr w:type="spellEnd"/>
      <w:r w:rsidRPr="009F4878">
        <w:rPr>
          <w:sz w:val="24"/>
          <w:lang w:val="et-EE"/>
        </w:rPr>
        <w:t xml:space="preserve"> </w:t>
      </w:r>
      <w:proofErr w:type="spellStart"/>
      <w:r w:rsidRPr="009F4878">
        <w:rPr>
          <w:sz w:val="24"/>
          <w:lang w:val="et-EE"/>
        </w:rPr>
        <w:t>pesticide</w:t>
      </w:r>
      <w:proofErr w:type="spellEnd"/>
      <w:r w:rsidRPr="009F4878">
        <w:rPr>
          <w:sz w:val="24"/>
          <w:lang w:val="et-EE"/>
        </w:rPr>
        <w:t xml:space="preserve"> </w:t>
      </w:r>
      <w:proofErr w:type="spellStart"/>
      <w:r w:rsidRPr="009F4878">
        <w:rPr>
          <w:sz w:val="24"/>
          <w:lang w:val="et-EE"/>
        </w:rPr>
        <w:t>toxicity</w:t>
      </w:r>
      <w:proofErr w:type="spellEnd"/>
      <w:r w:rsidRPr="009F4878">
        <w:rPr>
          <w:sz w:val="24"/>
          <w:lang w:val="et-EE"/>
        </w:rPr>
        <w:t xml:space="preserve"> </w:t>
      </w:r>
      <w:proofErr w:type="spellStart"/>
      <w:r w:rsidRPr="009F4878">
        <w:rPr>
          <w:sz w:val="24"/>
          <w:lang w:val="et-EE"/>
        </w:rPr>
        <w:t>shifts</w:t>
      </w:r>
      <w:proofErr w:type="spellEnd"/>
      <w:r w:rsidRPr="009F4878">
        <w:rPr>
          <w:sz w:val="24"/>
          <w:lang w:val="et-EE"/>
        </w:rPr>
        <w:t xml:space="preserve"> </w:t>
      </w:r>
      <w:proofErr w:type="spellStart"/>
      <w:r w:rsidRPr="009F4878">
        <w:rPr>
          <w:sz w:val="24"/>
          <w:lang w:val="et-EE"/>
        </w:rPr>
        <w:t>toward</w:t>
      </w:r>
      <w:proofErr w:type="spellEnd"/>
      <w:r w:rsidRPr="009F4878">
        <w:rPr>
          <w:sz w:val="24"/>
          <w:lang w:val="et-EE"/>
        </w:rPr>
        <w:t xml:space="preserve"> </w:t>
      </w:r>
      <w:proofErr w:type="spellStart"/>
      <w:r w:rsidRPr="009F4878">
        <w:rPr>
          <w:sz w:val="24"/>
          <w:lang w:val="et-EE"/>
        </w:rPr>
        <w:t>plant</w:t>
      </w:r>
      <w:proofErr w:type="spellEnd"/>
      <w:r w:rsidRPr="009F4878">
        <w:rPr>
          <w:sz w:val="24"/>
          <w:lang w:val="et-EE"/>
        </w:rPr>
        <w:t xml:space="preserve"> and </w:t>
      </w:r>
      <w:proofErr w:type="spellStart"/>
      <w:r w:rsidRPr="009F4878">
        <w:rPr>
          <w:sz w:val="24"/>
          <w:lang w:val="et-EE"/>
        </w:rPr>
        <w:t>invertebrates</w:t>
      </w:r>
      <w:proofErr w:type="spellEnd"/>
      <w:r w:rsidRPr="009F4878">
        <w:rPr>
          <w:sz w:val="24"/>
          <w:lang w:val="et-EE"/>
        </w:rPr>
        <w:t xml:space="preserve">, </w:t>
      </w:r>
      <w:proofErr w:type="spellStart"/>
      <w:r w:rsidRPr="009F4878">
        <w:rPr>
          <w:sz w:val="24"/>
          <w:lang w:val="et-EE"/>
        </w:rPr>
        <w:t>even</w:t>
      </w:r>
      <w:proofErr w:type="spellEnd"/>
      <w:r w:rsidRPr="009F4878">
        <w:rPr>
          <w:sz w:val="24"/>
          <w:lang w:val="et-EE"/>
        </w:rPr>
        <w:t xml:space="preserve"> in GM </w:t>
      </w:r>
      <w:proofErr w:type="spellStart"/>
      <w:r w:rsidRPr="009F4878">
        <w:rPr>
          <w:sz w:val="24"/>
          <w:lang w:val="et-EE"/>
        </w:rPr>
        <w:t>crops</w:t>
      </w:r>
      <w:proofErr w:type="spellEnd"/>
      <w:r w:rsidRPr="009F4878">
        <w:rPr>
          <w:sz w:val="24"/>
          <w:lang w:val="et-EE"/>
        </w:rPr>
        <w:t xml:space="preserve">“, </w:t>
      </w:r>
      <w:proofErr w:type="spellStart"/>
      <w:r w:rsidRPr="009F4878">
        <w:rPr>
          <w:sz w:val="24"/>
          <w:lang w:val="et-EE"/>
        </w:rPr>
        <w:t>Science</w:t>
      </w:r>
      <w:proofErr w:type="spellEnd"/>
      <w:r w:rsidRPr="009F4878">
        <w:rPr>
          <w:sz w:val="24"/>
          <w:lang w:val="et-EE"/>
        </w:rPr>
        <w:t xml:space="preserve"> 372(6537), lk 81–84, </w:t>
      </w:r>
      <w:hyperlink r:id="rId6" w:history="1">
        <w:r w:rsidRPr="009F4878">
          <w:rPr>
            <w:rStyle w:val="Hyperlink"/>
            <w:sz w:val="24"/>
            <w:lang w:val="et-EE"/>
          </w:rPr>
          <w:t>https://doi.org/10.1126/science.abe1148</w:t>
        </w:r>
      </w:hyperlink>
      <w:r w:rsidRPr="009F4878">
        <w:rPr>
          <w:rStyle w:val="Hyperlink"/>
          <w:sz w:val="24"/>
          <w:lang w:val="et-EE"/>
        </w:rPr>
        <w:t>;</w:t>
      </w:r>
      <w:r w:rsidRPr="009F4878">
        <w:rPr>
          <w:sz w:val="24"/>
          <w:lang w:val="et-EE"/>
        </w:rPr>
        <w:t xml:space="preserve"> </w:t>
      </w:r>
      <w:proofErr w:type="spellStart"/>
      <w:r w:rsidRPr="009F4878">
        <w:rPr>
          <w:sz w:val="24"/>
          <w:lang w:val="et-EE"/>
        </w:rPr>
        <w:t>Bonny</w:t>
      </w:r>
      <w:proofErr w:type="spellEnd"/>
      <w:r w:rsidRPr="009F4878">
        <w:rPr>
          <w:sz w:val="24"/>
          <w:lang w:val="et-EE"/>
        </w:rPr>
        <w:t>, S., „</w:t>
      </w:r>
      <w:proofErr w:type="spellStart"/>
      <w:r w:rsidRPr="009F4878">
        <w:rPr>
          <w:sz w:val="24"/>
          <w:lang w:val="et-EE"/>
        </w:rPr>
        <w:t>Genetically</w:t>
      </w:r>
      <w:proofErr w:type="spellEnd"/>
      <w:r w:rsidRPr="009F4878">
        <w:rPr>
          <w:sz w:val="24"/>
          <w:lang w:val="et-EE"/>
        </w:rPr>
        <w:t xml:space="preserve"> </w:t>
      </w:r>
      <w:proofErr w:type="spellStart"/>
      <w:r w:rsidRPr="009F4878">
        <w:rPr>
          <w:sz w:val="24"/>
          <w:lang w:val="et-EE"/>
        </w:rPr>
        <w:t>Modified</w:t>
      </w:r>
      <w:proofErr w:type="spellEnd"/>
      <w:r w:rsidRPr="009F4878">
        <w:rPr>
          <w:sz w:val="24"/>
          <w:lang w:val="et-EE"/>
        </w:rPr>
        <w:t xml:space="preserve"> </w:t>
      </w:r>
      <w:proofErr w:type="spellStart"/>
      <w:r w:rsidRPr="009F4878">
        <w:rPr>
          <w:sz w:val="24"/>
          <w:lang w:val="et-EE"/>
        </w:rPr>
        <w:t>Herbicide</w:t>
      </w:r>
      <w:proofErr w:type="spellEnd"/>
      <w:r w:rsidRPr="009F4878">
        <w:rPr>
          <w:sz w:val="24"/>
          <w:lang w:val="et-EE"/>
        </w:rPr>
        <w:t xml:space="preserve">-Tolerant </w:t>
      </w:r>
      <w:proofErr w:type="spellStart"/>
      <w:r w:rsidRPr="009F4878">
        <w:rPr>
          <w:sz w:val="24"/>
          <w:lang w:val="et-EE"/>
        </w:rPr>
        <w:t>Crops</w:t>
      </w:r>
      <w:proofErr w:type="spellEnd"/>
      <w:r w:rsidRPr="009F4878">
        <w:rPr>
          <w:sz w:val="24"/>
          <w:lang w:val="et-EE"/>
        </w:rPr>
        <w:t xml:space="preserve">, </w:t>
      </w:r>
      <w:proofErr w:type="spellStart"/>
      <w:r w:rsidRPr="009F4878">
        <w:rPr>
          <w:sz w:val="24"/>
          <w:lang w:val="et-EE"/>
        </w:rPr>
        <w:t>Weeds</w:t>
      </w:r>
      <w:proofErr w:type="spellEnd"/>
      <w:r w:rsidRPr="009F4878">
        <w:rPr>
          <w:sz w:val="24"/>
          <w:lang w:val="et-EE"/>
        </w:rPr>
        <w:t xml:space="preserve">, and </w:t>
      </w:r>
      <w:proofErr w:type="spellStart"/>
      <w:r w:rsidRPr="009F4878">
        <w:rPr>
          <w:sz w:val="24"/>
          <w:lang w:val="et-EE"/>
        </w:rPr>
        <w:t>Herbicides</w:t>
      </w:r>
      <w:proofErr w:type="spellEnd"/>
      <w:r w:rsidRPr="009F4878">
        <w:rPr>
          <w:sz w:val="24"/>
          <w:lang w:val="et-EE"/>
        </w:rPr>
        <w:t xml:space="preserve">: </w:t>
      </w:r>
      <w:proofErr w:type="spellStart"/>
      <w:r w:rsidRPr="009F4878">
        <w:rPr>
          <w:sz w:val="24"/>
          <w:lang w:val="et-EE"/>
        </w:rPr>
        <w:t>Overview</w:t>
      </w:r>
      <w:proofErr w:type="spellEnd"/>
      <w:r w:rsidRPr="009F4878">
        <w:rPr>
          <w:sz w:val="24"/>
          <w:lang w:val="et-EE"/>
        </w:rPr>
        <w:t xml:space="preserve"> and </w:t>
      </w:r>
      <w:proofErr w:type="spellStart"/>
      <w:r w:rsidRPr="009F4878">
        <w:rPr>
          <w:sz w:val="24"/>
          <w:lang w:val="et-EE"/>
        </w:rPr>
        <w:t>Impact</w:t>
      </w:r>
      <w:proofErr w:type="spellEnd"/>
      <w:r w:rsidRPr="009F4878">
        <w:rPr>
          <w:sz w:val="24"/>
          <w:lang w:val="et-EE"/>
        </w:rPr>
        <w:t xml:space="preserve">“, </w:t>
      </w:r>
      <w:proofErr w:type="spellStart"/>
      <w:r w:rsidRPr="009F4878">
        <w:rPr>
          <w:sz w:val="24"/>
          <w:lang w:val="et-EE"/>
        </w:rPr>
        <w:t>Environmental</w:t>
      </w:r>
      <w:proofErr w:type="spellEnd"/>
      <w:r w:rsidRPr="009F4878">
        <w:rPr>
          <w:sz w:val="24"/>
          <w:lang w:val="et-EE"/>
        </w:rPr>
        <w:t xml:space="preserve"> </w:t>
      </w:r>
      <w:proofErr w:type="spellStart"/>
      <w:r w:rsidRPr="009F4878">
        <w:rPr>
          <w:sz w:val="24"/>
          <w:lang w:val="et-EE"/>
        </w:rPr>
        <w:t>Management</w:t>
      </w:r>
      <w:proofErr w:type="spellEnd"/>
      <w:r w:rsidRPr="009F4878">
        <w:rPr>
          <w:sz w:val="24"/>
          <w:lang w:val="et-EE"/>
        </w:rPr>
        <w:t xml:space="preserve">, jaanuar 2016; 57(1), lk 31–48, </w:t>
      </w:r>
      <w:hyperlink r:id="rId7" w:history="1">
        <w:r w:rsidRPr="009F4878">
          <w:rPr>
            <w:rStyle w:val="Hyperlink"/>
            <w:sz w:val="24"/>
            <w:lang w:val="et-EE"/>
          </w:rPr>
          <w:t>https://www.ncbi.nlm.nih.gov/pubmed/26296738</w:t>
        </w:r>
      </w:hyperlink>
      <w:r w:rsidRPr="009F4878">
        <w:rPr>
          <w:sz w:val="24"/>
          <w:lang w:val="et-EE"/>
        </w:rPr>
        <w:t xml:space="preserve">; ja </w:t>
      </w:r>
      <w:proofErr w:type="spellStart"/>
      <w:r w:rsidRPr="009F4878">
        <w:rPr>
          <w:sz w:val="24"/>
          <w:lang w:val="et-EE"/>
        </w:rPr>
        <w:t>Benbrook</w:t>
      </w:r>
      <w:proofErr w:type="spellEnd"/>
      <w:r w:rsidRPr="009F4878">
        <w:rPr>
          <w:sz w:val="24"/>
          <w:lang w:val="et-EE"/>
        </w:rPr>
        <w:t>, C.M. „</w:t>
      </w:r>
      <w:proofErr w:type="spellStart"/>
      <w:r w:rsidRPr="009F4878">
        <w:rPr>
          <w:sz w:val="24"/>
          <w:lang w:val="et-EE"/>
        </w:rPr>
        <w:t>Impacts</w:t>
      </w:r>
      <w:proofErr w:type="spellEnd"/>
      <w:r w:rsidRPr="009F4878">
        <w:rPr>
          <w:sz w:val="24"/>
          <w:lang w:val="et-EE"/>
        </w:rPr>
        <w:t xml:space="preserve"> of </w:t>
      </w:r>
      <w:proofErr w:type="spellStart"/>
      <w:r w:rsidRPr="009F4878">
        <w:rPr>
          <w:sz w:val="24"/>
          <w:lang w:val="et-EE"/>
        </w:rPr>
        <w:t>genetically</w:t>
      </w:r>
      <w:proofErr w:type="spellEnd"/>
      <w:r w:rsidRPr="009F4878">
        <w:rPr>
          <w:sz w:val="24"/>
          <w:lang w:val="et-EE"/>
        </w:rPr>
        <w:t xml:space="preserve"> </w:t>
      </w:r>
      <w:proofErr w:type="spellStart"/>
      <w:r w:rsidRPr="009F4878">
        <w:rPr>
          <w:sz w:val="24"/>
          <w:lang w:val="et-EE"/>
        </w:rPr>
        <w:t>engineered</w:t>
      </w:r>
      <w:proofErr w:type="spellEnd"/>
      <w:r w:rsidRPr="009F4878">
        <w:rPr>
          <w:sz w:val="24"/>
          <w:lang w:val="et-EE"/>
        </w:rPr>
        <w:t xml:space="preserve"> </w:t>
      </w:r>
      <w:proofErr w:type="spellStart"/>
      <w:r w:rsidRPr="009F4878">
        <w:rPr>
          <w:sz w:val="24"/>
          <w:lang w:val="et-EE"/>
        </w:rPr>
        <w:t>crops</w:t>
      </w:r>
      <w:proofErr w:type="spellEnd"/>
      <w:r w:rsidRPr="009F4878">
        <w:rPr>
          <w:sz w:val="24"/>
          <w:lang w:val="et-EE"/>
        </w:rPr>
        <w:t xml:space="preserve"> on </w:t>
      </w:r>
      <w:proofErr w:type="spellStart"/>
      <w:r w:rsidRPr="009F4878">
        <w:rPr>
          <w:sz w:val="24"/>
          <w:lang w:val="et-EE"/>
        </w:rPr>
        <w:t>pesticide</w:t>
      </w:r>
      <w:proofErr w:type="spellEnd"/>
      <w:r w:rsidRPr="009F4878">
        <w:rPr>
          <w:sz w:val="24"/>
          <w:lang w:val="et-EE"/>
        </w:rPr>
        <w:t xml:space="preserve"> </w:t>
      </w:r>
      <w:proofErr w:type="spellStart"/>
      <w:r w:rsidRPr="009F4878">
        <w:rPr>
          <w:sz w:val="24"/>
          <w:lang w:val="et-EE"/>
        </w:rPr>
        <w:t>use</w:t>
      </w:r>
      <w:proofErr w:type="spellEnd"/>
      <w:r w:rsidRPr="009F4878">
        <w:rPr>
          <w:sz w:val="24"/>
          <w:lang w:val="et-EE"/>
        </w:rPr>
        <w:t xml:space="preserve"> in </w:t>
      </w:r>
      <w:proofErr w:type="spellStart"/>
      <w:r w:rsidRPr="009F4878">
        <w:rPr>
          <w:sz w:val="24"/>
          <w:lang w:val="et-EE"/>
        </w:rPr>
        <w:t>the</w:t>
      </w:r>
      <w:proofErr w:type="spellEnd"/>
      <w:r w:rsidRPr="009F4878">
        <w:rPr>
          <w:sz w:val="24"/>
          <w:lang w:val="et-EE"/>
        </w:rPr>
        <w:t xml:space="preserve"> U.S. – </w:t>
      </w:r>
      <w:proofErr w:type="spellStart"/>
      <w:r w:rsidRPr="009F4878">
        <w:rPr>
          <w:sz w:val="24"/>
          <w:lang w:val="et-EE"/>
        </w:rPr>
        <w:t>the</w:t>
      </w:r>
      <w:proofErr w:type="spellEnd"/>
      <w:r w:rsidRPr="009F4878">
        <w:rPr>
          <w:sz w:val="24"/>
          <w:lang w:val="et-EE"/>
        </w:rPr>
        <w:t xml:space="preserve"> </w:t>
      </w:r>
      <w:proofErr w:type="spellStart"/>
      <w:r w:rsidRPr="009F4878">
        <w:rPr>
          <w:sz w:val="24"/>
          <w:lang w:val="et-EE"/>
        </w:rPr>
        <w:t>first</w:t>
      </w:r>
      <w:proofErr w:type="spellEnd"/>
      <w:r w:rsidRPr="009F4878">
        <w:rPr>
          <w:sz w:val="24"/>
          <w:lang w:val="et-EE"/>
        </w:rPr>
        <w:t xml:space="preserve"> </w:t>
      </w:r>
      <w:proofErr w:type="spellStart"/>
      <w:r w:rsidRPr="009F4878">
        <w:rPr>
          <w:sz w:val="24"/>
          <w:lang w:val="et-EE"/>
        </w:rPr>
        <w:t>sixteen</w:t>
      </w:r>
      <w:proofErr w:type="spellEnd"/>
      <w:r w:rsidRPr="009F4878">
        <w:rPr>
          <w:sz w:val="24"/>
          <w:lang w:val="et-EE"/>
        </w:rPr>
        <w:t xml:space="preserve"> </w:t>
      </w:r>
      <w:proofErr w:type="spellStart"/>
      <w:r w:rsidRPr="009F4878">
        <w:rPr>
          <w:sz w:val="24"/>
          <w:lang w:val="et-EE"/>
        </w:rPr>
        <w:t>years</w:t>
      </w:r>
      <w:proofErr w:type="spellEnd"/>
      <w:r w:rsidRPr="009F4878">
        <w:rPr>
          <w:sz w:val="24"/>
          <w:lang w:val="et-EE"/>
        </w:rPr>
        <w:t xml:space="preserve">“, </w:t>
      </w:r>
      <w:proofErr w:type="spellStart"/>
      <w:r w:rsidRPr="009F4878">
        <w:rPr>
          <w:sz w:val="24"/>
          <w:lang w:val="et-EE"/>
        </w:rPr>
        <w:t>Environmental</w:t>
      </w:r>
      <w:proofErr w:type="spellEnd"/>
      <w:r w:rsidRPr="009F4878">
        <w:rPr>
          <w:sz w:val="24"/>
          <w:lang w:val="et-EE"/>
        </w:rPr>
        <w:t xml:space="preserve"> </w:t>
      </w:r>
      <w:proofErr w:type="spellStart"/>
      <w:r w:rsidRPr="009F4878">
        <w:rPr>
          <w:sz w:val="24"/>
          <w:lang w:val="et-EE"/>
        </w:rPr>
        <w:t>Sciences</w:t>
      </w:r>
      <w:proofErr w:type="spellEnd"/>
      <w:r w:rsidR="00CA62C6">
        <w:rPr>
          <w:sz w:val="24"/>
          <w:lang w:val="et-EE"/>
        </w:rPr>
        <w:t xml:space="preserve"> </w:t>
      </w:r>
      <w:proofErr w:type="spellStart"/>
      <w:r w:rsidR="00CA62C6">
        <w:rPr>
          <w:sz w:val="24"/>
          <w:lang w:val="et-EE"/>
        </w:rPr>
        <w:t>Europe</w:t>
      </w:r>
      <w:proofErr w:type="spellEnd"/>
      <w:r w:rsidR="00CA62C6">
        <w:rPr>
          <w:sz w:val="24"/>
          <w:lang w:val="et-EE"/>
        </w:rPr>
        <w:t>, 28. september 2012, kd </w:t>
      </w:r>
      <w:r w:rsidRPr="009F4878">
        <w:rPr>
          <w:sz w:val="24"/>
          <w:lang w:val="et-EE"/>
        </w:rPr>
        <w:t xml:space="preserve">24(1), </w:t>
      </w:r>
      <w:hyperlink r:id="rId8" w:history="1">
        <w:r w:rsidRPr="009F4878">
          <w:rPr>
            <w:rStyle w:val="Hyperlink"/>
            <w:sz w:val="24"/>
            <w:lang w:val="et-EE"/>
          </w:rPr>
          <w:t>https://enveurope.springeropen.com/articles/10.1186/2190-4715-24-24</w:t>
        </w:r>
      </w:hyperlink>
      <w:r w:rsidRPr="009F4878">
        <w:rPr>
          <w:sz w:val="24"/>
          <w:lang w:val="et-EE"/>
        </w:rPr>
        <w:t>.</w:t>
      </w:r>
    </w:p>
  </w:footnote>
  <w:footnote w:id="8">
    <w:p w:rsidR="00762952" w:rsidRPr="009F4878" w:rsidRDefault="00762952" w:rsidP="009F4878">
      <w:pPr>
        <w:pStyle w:val="FootnoteText"/>
        <w:ind w:left="567" w:hanging="567"/>
        <w:rPr>
          <w:sz w:val="24"/>
          <w:lang w:val="et-EE"/>
        </w:rPr>
      </w:pPr>
      <w:r w:rsidRPr="009F4878">
        <w:rPr>
          <w:rStyle w:val="FootnoteReference"/>
          <w:sz w:val="24"/>
          <w:szCs w:val="22"/>
          <w:lang w:val="et-EE"/>
        </w:rPr>
        <w:footnoteRef/>
      </w:r>
      <w:r w:rsidR="009F4878" w:rsidRPr="009F4878">
        <w:rPr>
          <w:sz w:val="24"/>
          <w:lang w:val="et-EE"/>
        </w:rPr>
        <w:t xml:space="preserve"> </w:t>
      </w:r>
      <w:r w:rsidR="009F4878" w:rsidRPr="009F4878">
        <w:rPr>
          <w:sz w:val="24"/>
          <w:lang w:val="et-EE"/>
        </w:rPr>
        <w:tab/>
      </w:r>
      <w:r w:rsidRPr="009F4878">
        <w:rPr>
          <w:sz w:val="24"/>
          <w:lang w:val="et-EE"/>
        </w:rPr>
        <w:t>Euroopa Parlamendi ja nõukogu 21. oktoobri 2009. aasta määrus (EÜ) nr 1107/2009 taimekaitsevahendite turulelaskmise ja nõukogu direktiivide 79/117/EMÜ ja 91/414/EMÜ kehtetuks tunnistamise kohta, ELT L 309, 24.11.2009, lk 1, ELI:</w:t>
      </w:r>
      <w:r w:rsidR="00CA62C6">
        <w:rPr>
          <w:sz w:val="24"/>
          <w:lang w:val="et-EE"/>
        </w:rPr>
        <w:t> </w:t>
      </w:r>
      <w:hyperlink r:id="rId9" w:tooltip="Juurdepääs dokumendile ELI URI kaudu." w:history="1">
        <w:r w:rsidRPr="009F4878">
          <w:rPr>
            <w:rStyle w:val="Hyperlink"/>
            <w:sz w:val="24"/>
            <w:lang w:val="et-EE"/>
          </w:rPr>
          <w:t>http://data.europa.eu/eli/reg/2009/1107/oj</w:t>
        </w:r>
      </w:hyperlink>
      <w:r w:rsidRPr="009F4878">
        <w:rPr>
          <w:sz w:val="24"/>
          <w:lang w:val="et-EE"/>
        </w:rPr>
        <w:t>).</w:t>
      </w:r>
    </w:p>
  </w:footnote>
  <w:footnote w:id="9">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r w:rsidRPr="009F4878">
        <w:rPr>
          <w:sz w:val="24"/>
          <w:lang w:val="et-EE"/>
        </w:rPr>
        <w:t xml:space="preserve">Vt näiteks </w:t>
      </w:r>
      <w:hyperlink r:id="rId10" w:history="1">
        <w:r w:rsidRPr="009F4878">
          <w:rPr>
            <w:rStyle w:val="Hyperlink"/>
            <w:sz w:val="24"/>
            <w:lang w:val="et-EE"/>
          </w:rPr>
          <w:t>https://www.sciencedirect.com/science/article/pii/S1383574218300887</w:t>
        </w:r>
      </w:hyperlink>
      <w:r w:rsidRPr="009F4878">
        <w:rPr>
          <w:sz w:val="24"/>
          <w:lang w:val="et-EE"/>
        </w:rPr>
        <w:t xml:space="preserve">, </w:t>
      </w:r>
      <w:hyperlink r:id="rId11" w:history="1">
        <w:r w:rsidRPr="009F4878">
          <w:rPr>
            <w:rStyle w:val="Hyperlink"/>
            <w:sz w:val="24"/>
            <w:lang w:val="et-EE"/>
          </w:rPr>
          <w:t>https://academic.oup.com/ije/advance-article/doi/10.1093/ije/dyz017/5382278</w:t>
        </w:r>
      </w:hyperlink>
      <w:r w:rsidRPr="009F4878">
        <w:rPr>
          <w:sz w:val="24"/>
          <w:lang w:val="et-EE"/>
        </w:rPr>
        <w:t xml:space="preserve">, </w:t>
      </w:r>
      <w:hyperlink r:id="rId12" w:history="1">
        <w:r w:rsidRPr="009F4878">
          <w:rPr>
            <w:rStyle w:val="Hyperlink"/>
            <w:sz w:val="24"/>
            <w:lang w:val="et-EE"/>
          </w:rPr>
          <w:t>https://journals.plos.org/plosone/article?id=10.1371/journal.pone.0219610</w:t>
        </w:r>
      </w:hyperlink>
      <w:r w:rsidRPr="009F4878">
        <w:rPr>
          <w:sz w:val="24"/>
          <w:lang w:val="et-EE"/>
        </w:rPr>
        <w:t xml:space="preserve"> </w:t>
      </w:r>
      <w:r w:rsidR="00CA62C6">
        <w:rPr>
          <w:sz w:val="24"/>
          <w:lang w:val="et-EE"/>
        </w:rPr>
        <w:t>ja</w:t>
      </w:r>
      <w:r w:rsidRPr="009F4878">
        <w:rPr>
          <w:sz w:val="24"/>
          <w:lang w:val="et-EE"/>
        </w:rPr>
        <w:t xml:space="preserve"> </w:t>
      </w:r>
      <w:hyperlink r:id="rId13" w:history="1">
        <w:r w:rsidRPr="009F4878">
          <w:rPr>
            <w:rStyle w:val="Hyperlink"/>
            <w:sz w:val="24"/>
            <w:lang w:val="et-EE"/>
          </w:rPr>
          <w:t>https://www.ncbi.nlm.nih.gov/pmc/articles/PMC6612199/</w:t>
        </w:r>
      </w:hyperlink>
      <w:r w:rsidRPr="009F4878">
        <w:rPr>
          <w:rStyle w:val="Hyperlink"/>
          <w:sz w:val="24"/>
          <w:lang w:val="et-EE"/>
        </w:rPr>
        <w:t>.</w:t>
      </w:r>
    </w:p>
  </w:footnote>
  <w:footnote w:id="10">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r w:rsidRPr="009F4878">
        <w:rPr>
          <w:sz w:val="24"/>
          <w:lang w:val="et-EE"/>
        </w:rPr>
        <w:t xml:space="preserve">Ülevaate saamiseks vt </w:t>
      </w:r>
      <w:proofErr w:type="spellStart"/>
      <w:r w:rsidRPr="009F4878">
        <w:rPr>
          <w:sz w:val="24"/>
          <w:lang w:val="et-EE"/>
        </w:rPr>
        <w:t>Rubio</w:t>
      </w:r>
      <w:proofErr w:type="spellEnd"/>
      <w:r w:rsidRPr="009F4878">
        <w:rPr>
          <w:sz w:val="24"/>
          <w:lang w:val="et-EE"/>
        </w:rPr>
        <w:t>-Infante, N., Moreno-</w:t>
      </w:r>
      <w:proofErr w:type="spellStart"/>
      <w:r w:rsidRPr="009F4878">
        <w:rPr>
          <w:sz w:val="24"/>
          <w:lang w:val="et-EE"/>
        </w:rPr>
        <w:t>Fierros</w:t>
      </w:r>
      <w:proofErr w:type="spellEnd"/>
      <w:r w:rsidRPr="009F4878">
        <w:rPr>
          <w:sz w:val="24"/>
          <w:lang w:val="et-EE"/>
        </w:rPr>
        <w:t>, L. „</w:t>
      </w:r>
      <w:proofErr w:type="spellStart"/>
      <w:r w:rsidRPr="009F4878">
        <w:rPr>
          <w:sz w:val="24"/>
          <w:lang w:val="et-EE"/>
        </w:rPr>
        <w:t>An</w:t>
      </w:r>
      <w:proofErr w:type="spellEnd"/>
      <w:r w:rsidRPr="009F4878">
        <w:rPr>
          <w:sz w:val="24"/>
          <w:lang w:val="et-EE"/>
        </w:rPr>
        <w:t xml:space="preserve"> </w:t>
      </w:r>
      <w:proofErr w:type="spellStart"/>
      <w:r w:rsidRPr="009F4878">
        <w:rPr>
          <w:sz w:val="24"/>
          <w:lang w:val="et-EE"/>
        </w:rPr>
        <w:t>overview</w:t>
      </w:r>
      <w:proofErr w:type="spellEnd"/>
      <w:r w:rsidRPr="009F4878">
        <w:rPr>
          <w:sz w:val="24"/>
          <w:lang w:val="et-EE"/>
        </w:rPr>
        <w:t xml:space="preserve"> of </w:t>
      </w:r>
      <w:proofErr w:type="spellStart"/>
      <w:r w:rsidRPr="009F4878">
        <w:rPr>
          <w:sz w:val="24"/>
          <w:lang w:val="et-EE"/>
        </w:rPr>
        <w:t>the</w:t>
      </w:r>
      <w:proofErr w:type="spellEnd"/>
      <w:r w:rsidRPr="009F4878">
        <w:rPr>
          <w:sz w:val="24"/>
          <w:lang w:val="et-EE"/>
        </w:rPr>
        <w:t xml:space="preserve"> </w:t>
      </w:r>
      <w:proofErr w:type="spellStart"/>
      <w:r w:rsidRPr="009F4878">
        <w:rPr>
          <w:sz w:val="24"/>
          <w:lang w:val="et-EE"/>
        </w:rPr>
        <w:t>safety</w:t>
      </w:r>
      <w:proofErr w:type="spellEnd"/>
      <w:r w:rsidRPr="009F4878">
        <w:rPr>
          <w:sz w:val="24"/>
          <w:lang w:val="et-EE"/>
        </w:rPr>
        <w:t xml:space="preserve"> and </w:t>
      </w:r>
      <w:proofErr w:type="spellStart"/>
      <w:r w:rsidRPr="009F4878">
        <w:rPr>
          <w:sz w:val="24"/>
          <w:lang w:val="et-EE"/>
        </w:rPr>
        <w:t>biological</w:t>
      </w:r>
      <w:proofErr w:type="spellEnd"/>
      <w:r w:rsidRPr="009F4878">
        <w:rPr>
          <w:sz w:val="24"/>
          <w:lang w:val="et-EE"/>
        </w:rPr>
        <w:t xml:space="preserve"> </w:t>
      </w:r>
      <w:proofErr w:type="spellStart"/>
      <w:r w:rsidRPr="009F4878">
        <w:rPr>
          <w:sz w:val="24"/>
          <w:lang w:val="et-EE"/>
        </w:rPr>
        <w:t>effects</w:t>
      </w:r>
      <w:proofErr w:type="spellEnd"/>
      <w:r w:rsidRPr="009F4878">
        <w:rPr>
          <w:sz w:val="24"/>
          <w:lang w:val="et-EE"/>
        </w:rPr>
        <w:t xml:space="preserve"> of </w:t>
      </w:r>
      <w:proofErr w:type="spellStart"/>
      <w:r w:rsidRPr="009F4878">
        <w:rPr>
          <w:i/>
          <w:sz w:val="24"/>
          <w:lang w:val="et-EE"/>
        </w:rPr>
        <w:t>Bacillus</w:t>
      </w:r>
      <w:proofErr w:type="spellEnd"/>
      <w:r w:rsidRPr="009F4878">
        <w:rPr>
          <w:i/>
          <w:sz w:val="24"/>
          <w:lang w:val="et-EE"/>
        </w:rPr>
        <w:t xml:space="preserve"> </w:t>
      </w:r>
      <w:proofErr w:type="spellStart"/>
      <w:r w:rsidRPr="009F4878">
        <w:rPr>
          <w:i/>
          <w:sz w:val="24"/>
          <w:lang w:val="et-EE"/>
        </w:rPr>
        <w:t>thuringiensis</w:t>
      </w:r>
      <w:proofErr w:type="spellEnd"/>
      <w:r w:rsidRPr="009F4878">
        <w:rPr>
          <w:sz w:val="24"/>
          <w:lang w:val="et-EE"/>
        </w:rPr>
        <w:t xml:space="preserve"> </w:t>
      </w:r>
      <w:proofErr w:type="spellStart"/>
      <w:r w:rsidRPr="009F4878">
        <w:rPr>
          <w:sz w:val="24"/>
          <w:lang w:val="et-EE"/>
        </w:rPr>
        <w:t>Cry</w:t>
      </w:r>
      <w:proofErr w:type="spellEnd"/>
      <w:r w:rsidRPr="009F4878">
        <w:rPr>
          <w:sz w:val="24"/>
          <w:lang w:val="et-EE"/>
        </w:rPr>
        <w:t xml:space="preserve"> </w:t>
      </w:r>
      <w:proofErr w:type="spellStart"/>
      <w:r w:rsidRPr="009F4878">
        <w:rPr>
          <w:sz w:val="24"/>
          <w:lang w:val="et-EE"/>
        </w:rPr>
        <w:t>toxins</w:t>
      </w:r>
      <w:proofErr w:type="spellEnd"/>
      <w:r w:rsidRPr="009F4878">
        <w:rPr>
          <w:sz w:val="24"/>
          <w:lang w:val="et-EE"/>
        </w:rPr>
        <w:t xml:space="preserve"> in </w:t>
      </w:r>
      <w:proofErr w:type="spellStart"/>
      <w:r w:rsidRPr="009F4878">
        <w:rPr>
          <w:sz w:val="24"/>
          <w:lang w:val="et-EE"/>
        </w:rPr>
        <w:t>mammals</w:t>
      </w:r>
      <w:proofErr w:type="spellEnd"/>
      <w:r w:rsidRPr="009F4878">
        <w:rPr>
          <w:sz w:val="24"/>
          <w:lang w:val="et-EE"/>
        </w:rPr>
        <w:t xml:space="preserve">“ (Ülevaade </w:t>
      </w:r>
      <w:proofErr w:type="spellStart"/>
      <w:r w:rsidRPr="009F4878">
        <w:rPr>
          <w:i/>
          <w:sz w:val="24"/>
          <w:lang w:val="et-EE"/>
        </w:rPr>
        <w:t>Bacillus</w:t>
      </w:r>
      <w:proofErr w:type="spellEnd"/>
      <w:r w:rsidRPr="009F4878">
        <w:rPr>
          <w:i/>
          <w:sz w:val="24"/>
          <w:lang w:val="et-EE"/>
        </w:rPr>
        <w:t xml:space="preserve"> </w:t>
      </w:r>
      <w:proofErr w:type="spellStart"/>
      <w:r w:rsidRPr="009F4878">
        <w:rPr>
          <w:i/>
          <w:sz w:val="24"/>
          <w:lang w:val="et-EE"/>
        </w:rPr>
        <w:t>thuringiensis</w:t>
      </w:r>
      <w:r w:rsidR="00CA62C6">
        <w:rPr>
          <w:sz w:val="24"/>
          <w:lang w:val="et-EE"/>
        </w:rPr>
        <w:t>’e</w:t>
      </w:r>
      <w:proofErr w:type="spellEnd"/>
      <w:r w:rsidR="00CA62C6">
        <w:rPr>
          <w:sz w:val="24"/>
          <w:lang w:val="et-EE"/>
        </w:rPr>
        <w:t xml:space="preserve"> </w:t>
      </w:r>
      <w:proofErr w:type="spellStart"/>
      <w:r w:rsidR="00CA62C6">
        <w:rPr>
          <w:sz w:val="24"/>
          <w:lang w:val="et-EE"/>
        </w:rPr>
        <w:t>Cry</w:t>
      </w:r>
      <w:proofErr w:type="spellEnd"/>
      <w:r w:rsidR="00CA62C6">
        <w:rPr>
          <w:sz w:val="24"/>
          <w:lang w:val="et-EE"/>
        </w:rPr>
        <w:noBreakHyphen/>
      </w:r>
      <w:r w:rsidRPr="009F4878">
        <w:rPr>
          <w:sz w:val="24"/>
          <w:lang w:val="et-EE"/>
        </w:rPr>
        <w:t xml:space="preserve">toksiinide ohutusest ja bioloogilisest mõjust imetajatel), </w:t>
      </w:r>
      <w:proofErr w:type="spellStart"/>
      <w:r w:rsidRPr="009F4878">
        <w:rPr>
          <w:sz w:val="24"/>
          <w:lang w:val="et-EE"/>
        </w:rPr>
        <w:t>Journal</w:t>
      </w:r>
      <w:proofErr w:type="spellEnd"/>
      <w:r w:rsidRPr="009F4878">
        <w:rPr>
          <w:sz w:val="24"/>
          <w:lang w:val="et-EE"/>
        </w:rPr>
        <w:t xml:space="preserve"> of </w:t>
      </w:r>
      <w:proofErr w:type="spellStart"/>
      <w:r w:rsidRPr="009F4878">
        <w:rPr>
          <w:sz w:val="24"/>
          <w:lang w:val="et-EE"/>
        </w:rPr>
        <w:t>Applied</w:t>
      </w:r>
      <w:proofErr w:type="spellEnd"/>
      <w:r w:rsidRPr="009F4878">
        <w:rPr>
          <w:sz w:val="24"/>
          <w:lang w:val="et-EE"/>
        </w:rPr>
        <w:t xml:space="preserve"> </w:t>
      </w:r>
      <w:proofErr w:type="spellStart"/>
      <w:r w:rsidRPr="009F4878">
        <w:rPr>
          <w:sz w:val="24"/>
          <w:lang w:val="et-EE"/>
        </w:rPr>
        <w:t>Toxicology</w:t>
      </w:r>
      <w:proofErr w:type="spellEnd"/>
      <w:r w:rsidRPr="009F4878">
        <w:rPr>
          <w:sz w:val="24"/>
          <w:lang w:val="et-EE"/>
        </w:rPr>
        <w:t xml:space="preserve">, mai 2016, 36,5, lk 630–648, </w:t>
      </w:r>
      <w:hyperlink r:id="rId14" w:history="1">
        <w:r w:rsidRPr="009F4878">
          <w:rPr>
            <w:rStyle w:val="Hyperlink"/>
            <w:sz w:val="24"/>
            <w:lang w:val="et-EE"/>
          </w:rPr>
          <w:t>https://onlinelibrary.wiley.com/doi/full/10.1002/jat.3252</w:t>
        </w:r>
      </w:hyperlink>
      <w:r w:rsidRPr="009F4878">
        <w:rPr>
          <w:sz w:val="24"/>
          <w:lang w:val="et-EE"/>
        </w:rPr>
        <w:t>.</w:t>
      </w:r>
    </w:p>
  </w:footnote>
  <w:footnote w:id="11">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hyperlink r:id="rId15" w:history="1">
        <w:r w:rsidRPr="009F4878">
          <w:rPr>
            <w:rStyle w:val="Hyperlink"/>
            <w:sz w:val="24"/>
            <w:lang w:val="et-EE"/>
          </w:rPr>
          <w:t>https://www.sciencedirect.com/science/article/pii/S0278691516300722?via%3Dihub</w:t>
        </w:r>
      </w:hyperlink>
    </w:p>
  </w:footnote>
  <w:footnote w:id="12">
    <w:p w:rsidR="00762952" w:rsidRPr="009F4878" w:rsidRDefault="00762952" w:rsidP="009F4878">
      <w:pPr>
        <w:pStyle w:val="FootnoteText"/>
        <w:ind w:left="567" w:hanging="567"/>
        <w:rPr>
          <w:sz w:val="24"/>
          <w:lang w:val="et-EE"/>
        </w:rPr>
      </w:pPr>
      <w:r w:rsidRPr="009F4878">
        <w:rPr>
          <w:rStyle w:val="FootnoteReference"/>
          <w:sz w:val="24"/>
          <w:szCs w:val="22"/>
          <w:lang w:val="et-EE"/>
        </w:rPr>
        <w:footnoteRef/>
      </w:r>
      <w:r w:rsidR="009F4878" w:rsidRPr="009F4878">
        <w:rPr>
          <w:sz w:val="24"/>
          <w:lang w:val="et-EE"/>
        </w:rPr>
        <w:t xml:space="preserve"> </w:t>
      </w:r>
      <w:r w:rsidR="009F4878" w:rsidRPr="009F4878">
        <w:rPr>
          <w:sz w:val="24"/>
          <w:lang w:val="et-EE"/>
        </w:rPr>
        <w:tab/>
      </w:r>
      <w:proofErr w:type="spellStart"/>
      <w:r w:rsidRPr="009F4878">
        <w:rPr>
          <w:sz w:val="24"/>
          <w:lang w:val="et-EE"/>
        </w:rPr>
        <w:t>Hilbeck</w:t>
      </w:r>
      <w:proofErr w:type="spellEnd"/>
      <w:r w:rsidRPr="009F4878">
        <w:rPr>
          <w:sz w:val="24"/>
          <w:lang w:val="et-EE"/>
        </w:rPr>
        <w:t xml:space="preserve">, A., </w:t>
      </w:r>
      <w:proofErr w:type="spellStart"/>
      <w:r w:rsidRPr="009F4878">
        <w:rPr>
          <w:sz w:val="24"/>
          <w:lang w:val="et-EE"/>
        </w:rPr>
        <w:t>Defarge</w:t>
      </w:r>
      <w:proofErr w:type="spellEnd"/>
      <w:r w:rsidRPr="009F4878">
        <w:rPr>
          <w:sz w:val="24"/>
          <w:lang w:val="et-EE"/>
        </w:rPr>
        <w:t xml:space="preserve">, N., </w:t>
      </w:r>
      <w:proofErr w:type="spellStart"/>
      <w:r w:rsidRPr="009F4878">
        <w:rPr>
          <w:sz w:val="24"/>
          <w:lang w:val="et-EE"/>
        </w:rPr>
        <w:t>Lebrecht</w:t>
      </w:r>
      <w:proofErr w:type="spellEnd"/>
      <w:r w:rsidRPr="009F4878">
        <w:rPr>
          <w:sz w:val="24"/>
          <w:lang w:val="et-EE"/>
        </w:rPr>
        <w:t xml:space="preserve">, T., </w:t>
      </w:r>
      <w:proofErr w:type="spellStart"/>
      <w:r w:rsidRPr="009F4878">
        <w:rPr>
          <w:sz w:val="24"/>
          <w:lang w:val="et-EE"/>
        </w:rPr>
        <w:t>Bøhn</w:t>
      </w:r>
      <w:proofErr w:type="spellEnd"/>
      <w:r w:rsidRPr="009F4878">
        <w:rPr>
          <w:sz w:val="24"/>
          <w:lang w:val="et-EE"/>
        </w:rPr>
        <w:t>, T., ‘</w:t>
      </w:r>
      <w:proofErr w:type="spellStart"/>
      <w:r w:rsidRPr="009F4878">
        <w:rPr>
          <w:sz w:val="24"/>
          <w:lang w:val="et-EE"/>
        </w:rPr>
        <w:t>Insecticidal</w:t>
      </w:r>
      <w:proofErr w:type="spellEnd"/>
      <w:r w:rsidRPr="009F4878">
        <w:rPr>
          <w:sz w:val="24"/>
          <w:lang w:val="et-EE"/>
        </w:rPr>
        <w:t xml:space="preserve"> </w:t>
      </w:r>
      <w:proofErr w:type="spellStart"/>
      <w:r w:rsidRPr="009F4878">
        <w:rPr>
          <w:sz w:val="24"/>
          <w:lang w:val="et-EE"/>
        </w:rPr>
        <w:t>Bt</w:t>
      </w:r>
      <w:proofErr w:type="spellEnd"/>
      <w:r w:rsidRPr="009F4878">
        <w:rPr>
          <w:sz w:val="24"/>
          <w:lang w:val="et-EE"/>
        </w:rPr>
        <w:t xml:space="preserve"> </w:t>
      </w:r>
      <w:proofErr w:type="spellStart"/>
      <w:r w:rsidRPr="009F4878">
        <w:rPr>
          <w:sz w:val="24"/>
          <w:lang w:val="et-EE"/>
        </w:rPr>
        <w:t>crops</w:t>
      </w:r>
      <w:proofErr w:type="spellEnd"/>
      <w:r w:rsidRPr="009F4878">
        <w:rPr>
          <w:sz w:val="24"/>
          <w:lang w:val="et-EE"/>
        </w:rPr>
        <w:t xml:space="preserve">. </w:t>
      </w:r>
      <w:proofErr w:type="spellStart"/>
      <w:r w:rsidRPr="009F4878">
        <w:rPr>
          <w:sz w:val="24"/>
          <w:lang w:val="et-EE"/>
        </w:rPr>
        <w:t>EFSA’s</w:t>
      </w:r>
      <w:proofErr w:type="spellEnd"/>
      <w:r w:rsidRPr="009F4878">
        <w:rPr>
          <w:sz w:val="24"/>
          <w:lang w:val="et-EE"/>
        </w:rPr>
        <w:t xml:space="preserve"> risk </w:t>
      </w:r>
      <w:proofErr w:type="spellStart"/>
      <w:r w:rsidRPr="009F4878">
        <w:rPr>
          <w:sz w:val="24"/>
          <w:lang w:val="et-EE"/>
        </w:rPr>
        <w:t>assessment</w:t>
      </w:r>
      <w:proofErr w:type="spellEnd"/>
      <w:r w:rsidRPr="009F4878">
        <w:rPr>
          <w:sz w:val="24"/>
          <w:lang w:val="et-EE"/>
        </w:rPr>
        <w:t xml:space="preserve"> </w:t>
      </w:r>
      <w:proofErr w:type="spellStart"/>
      <w:r w:rsidRPr="009F4878">
        <w:rPr>
          <w:sz w:val="24"/>
          <w:lang w:val="et-EE"/>
        </w:rPr>
        <w:t>approach</w:t>
      </w:r>
      <w:proofErr w:type="spellEnd"/>
      <w:r w:rsidRPr="009F4878">
        <w:rPr>
          <w:sz w:val="24"/>
          <w:lang w:val="et-EE"/>
        </w:rPr>
        <w:t xml:space="preserve"> </w:t>
      </w:r>
      <w:proofErr w:type="spellStart"/>
      <w:r w:rsidRPr="009F4878">
        <w:rPr>
          <w:sz w:val="24"/>
          <w:lang w:val="et-EE"/>
        </w:rPr>
        <w:t>for</w:t>
      </w:r>
      <w:proofErr w:type="spellEnd"/>
      <w:r w:rsidRPr="009F4878">
        <w:rPr>
          <w:sz w:val="24"/>
          <w:lang w:val="et-EE"/>
        </w:rPr>
        <w:t xml:space="preserve"> GM </w:t>
      </w:r>
      <w:proofErr w:type="spellStart"/>
      <w:r w:rsidRPr="009F4878">
        <w:rPr>
          <w:sz w:val="24"/>
          <w:lang w:val="et-EE"/>
        </w:rPr>
        <w:t>Bt</w:t>
      </w:r>
      <w:proofErr w:type="spellEnd"/>
      <w:r w:rsidRPr="009F4878">
        <w:rPr>
          <w:sz w:val="24"/>
          <w:lang w:val="et-EE"/>
        </w:rPr>
        <w:t xml:space="preserve"> </w:t>
      </w:r>
      <w:proofErr w:type="spellStart"/>
      <w:r w:rsidRPr="009F4878">
        <w:rPr>
          <w:sz w:val="24"/>
          <w:lang w:val="et-EE"/>
        </w:rPr>
        <w:t>plants</w:t>
      </w:r>
      <w:proofErr w:type="spellEnd"/>
      <w:r w:rsidRPr="009F4878">
        <w:rPr>
          <w:sz w:val="24"/>
          <w:lang w:val="et-EE"/>
        </w:rPr>
        <w:t xml:space="preserve"> </w:t>
      </w:r>
      <w:proofErr w:type="spellStart"/>
      <w:r w:rsidRPr="009F4878">
        <w:rPr>
          <w:sz w:val="24"/>
          <w:lang w:val="et-EE"/>
        </w:rPr>
        <w:t>fails</w:t>
      </w:r>
      <w:proofErr w:type="spellEnd"/>
      <w:r w:rsidRPr="009F4878">
        <w:rPr>
          <w:sz w:val="24"/>
          <w:lang w:val="et-EE"/>
        </w:rPr>
        <w:t xml:space="preserve"> </w:t>
      </w:r>
      <w:proofErr w:type="spellStart"/>
      <w:r w:rsidRPr="009F4878">
        <w:rPr>
          <w:sz w:val="24"/>
          <w:lang w:val="et-EE"/>
        </w:rPr>
        <w:t>by</w:t>
      </w:r>
      <w:proofErr w:type="spellEnd"/>
      <w:r w:rsidRPr="009F4878">
        <w:rPr>
          <w:sz w:val="24"/>
          <w:lang w:val="et-EE"/>
        </w:rPr>
        <w:t xml:space="preserve"> </w:t>
      </w:r>
      <w:proofErr w:type="spellStart"/>
      <w:r w:rsidRPr="009F4878">
        <w:rPr>
          <w:sz w:val="24"/>
          <w:lang w:val="et-EE"/>
        </w:rPr>
        <w:t>design</w:t>
      </w:r>
      <w:proofErr w:type="spellEnd"/>
      <w:r w:rsidRPr="009F4878">
        <w:rPr>
          <w:sz w:val="24"/>
          <w:lang w:val="et-EE"/>
        </w:rPr>
        <w:t>“ (</w:t>
      </w:r>
      <w:proofErr w:type="spellStart"/>
      <w:r w:rsidRPr="009F4878">
        <w:rPr>
          <w:sz w:val="24"/>
          <w:lang w:val="et-EE"/>
        </w:rPr>
        <w:t>Insektitsiidsed</w:t>
      </w:r>
      <w:proofErr w:type="spellEnd"/>
      <w:r w:rsidRPr="009F4878">
        <w:rPr>
          <w:sz w:val="24"/>
          <w:lang w:val="et-EE"/>
        </w:rPr>
        <w:t xml:space="preserve"> </w:t>
      </w:r>
      <w:proofErr w:type="spellStart"/>
      <w:r w:rsidR="00CA62C6">
        <w:rPr>
          <w:sz w:val="24"/>
          <w:lang w:val="et-EE"/>
        </w:rPr>
        <w:t>Bt</w:t>
      </w:r>
      <w:proofErr w:type="spellEnd"/>
      <w:r w:rsidR="00CA62C6">
        <w:rPr>
          <w:sz w:val="24"/>
          <w:lang w:val="et-EE"/>
        </w:rPr>
        <w:noBreakHyphen/>
      </w:r>
      <w:r w:rsidRPr="009F4878">
        <w:rPr>
          <w:sz w:val="24"/>
          <w:lang w:val="et-EE"/>
        </w:rPr>
        <w:t>kultuurid. EFSA riskihindamise lähenemis</w:t>
      </w:r>
      <w:r w:rsidR="00CA62C6">
        <w:rPr>
          <w:sz w:val="24"/>
          <w:lang w:val="et-EE"/>
        </w:rPr>
        <w:t xml:space="preserve">viis geneetiliselt muundatud </w:t>
      </w:r>
      <w:proofErr w:type="spellStart"/>
      <w:r w:rsidR="00CA62C6">
        <w:rPr>
          <w:sz w:val="24"/>
          <w:lang w:val="et-EE"/>
        </w:rPr>
        <w:t>Bt</w:t>
      </w:r>
      <w:proofErr w:type="spellEnd"/>
      <w:r w:rsidR="00CA62C6">
        <w:rPr>
          <w:sz w:val="24"/>
          <w:lang w:val="et-EE"/>
        </w:rPr>
        <w:noBreakHyphen/>
      </w:r>
      <w:r w:rsidRPr="009F4878">
        <w:rPr>
          <w:sz w:val="24"/>
          <w:lang w:val="et-EE"/>
        </w:rPr>
        <w:t xml:space="preserve">taimedele on ülesehituslikust aspektist ebaõnnestunud), RAGES 2020, lk 4, </w:t>
      </w:r>
      <w:hyperlink r:id="rId16" w:history="1">
        <w:r w:rsidRPr="009F4878">
          <w:rPr>
            <w:rStyle w:val="Hyperlink"/>
            <w:sz w:val="24"/>
            <w:lang w:val="et-EE"/>
          </w:rPr>
          <w:t>https://www.testbiotech.org/wp-content/uploads/2023/12/RAGES_report-Insecticidal-Bt-plants.pdf</w:t>
        </w:r>
      </w:hyperlink>
      <w:r w:rsidRPr="009F4878">
        <w:rPr>
          <w:sz w:val="24"/>
          <w:lang w:val="et-EE"/>
        </w:rPr>
        <w:t>.</w:t>
      </w:r>
    </w:p>
  </w:footnote>
  <w:footnote w:id="13">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r w:rsidRPr="009F4878">
        <w:rPr>
          <w:sz w:val="24"/>
          <w:lang w:val="et-EE"/>
        </w:rPr>
        <w:t xml:space="preserve">„Strateegiline dialoog ELi põllumajanduse tuleviku üle – põllumajanduse ja toidu ühine </w:t>
      </w:r>
      <w:r w:rsidR="00CA62C6">
        <w:rPr>
          <w:sz w:val="24"/>
          <w:lang w:val="et-EE"/>
        </w:rPr>
        <w:t>väljavaade Euroopas“, september </w:t>
      </w:r>
      <w:r w:rsidRPr="009F4878">
        <w:rPr>
          <w:sz w:val="24"/>
          <w:lang w:val="et-EE"/>
        </w:rPr>
        <w:t xml:space="preserve">2024, </w:t>
      </w:r>
      <w:hyperlink r:id="rId17" w:history="1">
        <w:r w:rsidRPr="009F4878">
          <w:rPr>
            <w:rStyle w:val="Hyperlink"/>
            <w:sz w:val="24"/>
            <w:lang w:val="et-EE"/>
          </w:rPr>
          <w:t>https://agriculture.ec.europa.eu/document/download/171329ff-0f50-4fa5-946f-aea11032172e_en?filename=strategic-dialogue-report-2024_en.pdf</w:t>
        </w:r>
      </w:hyperlink>
      <w:r w:rsidRPr="009F4878">
        <w:rPr>
          <w:sz w:val="24"/>
          <w:lang w:val="et-EE"/>
        </w:rPr>
        <w:t>.</w:t>
      </w:r>
    </w:p>
  </w:footnote>
  <w:footnote w:id="14">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hyperlink r:id="rId18" w:history="1">
        <w:r w:rsidRPr="009F4878">
          <w:rPr>
            <w:rStyle w:val="Hyperlink"/>
            <w:sz w:val="24"/>
            <w:lang w:val="et-EE"/>
          </w:rPr>
          <w:t>https://www.ohchr.org/en/documents/thematic-reports/ahrc3448-report-special-rapporteur-right-food</w:t>
        </w:r>
      </w:hyperlink>
      <w:r w:rsidRPr="009F4878">
        <w:rPr>
          <w:sz w:val="24"/>
          <w:lang w:val="et-EE"/>
        </w:rPr>
        <w:t>.</w:t>
      </w:r>
    </w:p>
  </w:footnote>
  <w:footnote w:id="15">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hyperlink r:id="rId19" w:history="1">
        <w:r w:rsidRPr="009F4878">
          <w:rPr>
            <w:rStyle w:val="Hyperlink"/>
            <w:sz w:val="24"/>
            <w:lang w:val="et-EE"/>
          </w:rPr>
          <w:t>https://indicators.report/targets/3-9/</w:t>
        </w:r>
      </w:hyperlink>
      <w:r w:rsidRPr="009F4878">
        <w:rPr>
          <w:sz w:val="24"/>
          <w:lang w:val="et-EE"/>
        </w:rPr>
        <w:t>.</w:t>
      </w:r>
    </w:p>
  </w:footnote>
  <w:footnote w:id="16">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hyperlink r:id="rId20" w:history="1">
        <w:r w:rsidRPr="009F4878">
          <w:rPr>
            <w:rStyle w:val="Hyperlink"/>
            <w:sz w:val="24"/>
            <w:lang w:val="et-EE"/>
          </w:rPr>
          <w:t>https://ec.europa.eu/commission/presscorner/detail/et/ip_22_7834</w:t>
        </w:r>
      </w:hyperlink>
      <w:r w:rsidRPr="009F4878">
        <w:rPr>
          <w:sz w:val="24"/>
          <w:lang w:val="et-EE"/>
        </w:rPr>
        <w:t>.</w:t>
      </w:r>
    </w:p>
  </w:footnote>
  <w:footnote w:id="17">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hyperlink r:id="rId21" w:history="1">
        <w:r w:rsidRPr="009F4878">
          <w:rPr>
            <w:rStyle w:val="Hyperlink"/>
            <w:sz w:val="24"/>
            <w:lang w:val="et-EE"/>
          </w:rPr>
          <w:t>https://commission.europa.eu/document/2c64e540-c07a-4376-a1da-368d289f4afe_en</w:t>
        </w:r>
      </w:hyperlink>
    </w:p>
  </w:footnote>
  <w:footnote w:id="18">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r w:rsidRPr="009F4878">
        <w:rPr>
          <w:sz w:val="24"/>
          <w:lang w:val="et-EE"/>
        </w:rPr>
        <w:t>Määruse (EL) </w:t>
      </w:r>
      <w:r w:rsidR="000F0A3E">
        <w:rPr>
          <w:sz w:val="24"/>
          <w:lang w:val="et-EE"/>
        </w:rPr>
        <w:t xml:space="preserve">nr </w:t>
      </w:r>
      <w:r w:rsidRPr="009F4878">
        <w:rPr>
          <w:sz w:val="24"/>
          <w:lang w:val="et-EE"/>
        </w:rPr>
        <w:t>182/2011 artikli 6 lõike 3 kohaselt võib komisjon loa anda, kuid ei pea seda tegema, kui apellatsioonikomitees ei ole selle toetuseks saavutatud liikmesriikide kvalifitseeritud häälteenamust.</w:t>
      </w:r>
    </w:p>
  </w:footnote>
  <w:footnote w:id="19">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r w:rsidRPr="009F4878">
        <w:rPr>
          <w:sz w:val="24"/>
          <w:lang w:val="et-EE"/>
        </w:rPr>
        <w:t>Euroopa Parlamend</w:t>
      </w:r>
      <w:r w:rsidR="00CA62C6">
        <w:rPr>
          <w:sz w:val="24"/>
          <w:lang w:val="et-EE"/>
        </w:rPr>
        <w:t>i ja nõukogu 28. jaanuari 2002. </w:t>
      </w:r>
      <w:r w:rsidRPr="009F4878">
        <w:rPr>
          <w:sz w:val="24"/>
          <w:lang w:val="et-EE"/>
        </w:rPr>
        <w:t xml:space="preserve">aasta määrus (EÜ) nr 178/2002, millega sätestatakse toidualaste õigusnormide üldised põhimõtted ja nõuded, asutatakse Euroopa Toiduohutusamet ja kehtestatakse toidu ohutusega seotud menetlused (EÜT L 31, 1.2.2002, lk 1, ELI: </w:t>
      </w:r>
      <w:hyperlink r:id="rId22" w:tooltip="Juurdepääs dokumendile ELI URI kaudu." w:history="1">
        <w:r w:rsidRPr="009F4878">
          <w:rPr>
            <w:rStyle w:val="Hyperlink"/>
            <w:sz w:val="24"/>
            <w:lang w:val="et-EE"/>
          </w:rPr>
          <w:t>http://data.eu</w:t>
        </w:r>
        <w:bookmarkStart w:id="7" w:name="_GoBack"/>
        <w:bookmarkEnd w:id="7"/>
        <w:r w:rsidRPr="009F4878">
          <w:rPr>
            <w:rStyle w:val="Hyperlink"/>
            <w:sz w:val="24"/>
            <w:lang w:val="et-EE"/>
          </w:rPr>
          <w:t>ropa.eu/eli/reg/2002/178/oj</w:t>
        </w:r>
      </w:hyperlink>
      <w:r w:rsidRPr="009F4878">
        <w:rPr>
          <w:sz w:val="24"/>
          <w:lang w:val="et-EE"/>
        </w:rPr>
        <w:t>).</w:t>
      </w:r>
    </w:p>
  </w:footnote>
  <w:footnote w:id="20">
    <w:p w:rsidR="00762952" w:rsidRPr="009F4878" w:rsidRDefault="00762952" w:rsidP="009F4878">
      <w:pPr>
        <w:pStyle w:val="FootnoteText"/>
        <w:ind w:left="567" w:hanging="567"/>
        <w:rPr>
          <w:sz w:val="24"/>
          <w:lang w:val="et-EE"/>
        </w:rPr>
      </w:pPr>
      <w:r w:rsidRPr="009F4878">
        <w:rPr>
          <w:rStyle w:val="FootnoteReference"/>
          <w:sz w:val="24"/>
          <w:szCs w:val="22"/>
          <w:lang w:val="et-EE"/>
        </w:rPr>
        <w:footnoteRef/>
      </w:r>
      <w:r w:rsidR="009F4878" w:rsidRPr="009F4878">
        <w:rPr>
          <w:sz w:val="24"/>
          <w:lang w:val="et-EE"/>
        </w:rPr>
        <w:t xml:space="preserve"> </w:t>
      </w:r>
      <w:r w:rsidR="009F4878" w:rsidRPr="009F4878">
        <w:rPr>
          <w:sz w:val="24"/>
          <w:lang w:val="et-EE"/>
        </w:rPr>
        <w:tab/>
      </w:r>
      <w:r w:rsidRPr="009F4878">
        <w:rPr>
          <w:sz w:val="24"/>
          <w:lang w:val="et-EE"/>
        </w:rPr>
        <w:t xml:space="preserve">ÜRO bioloogilise mitmekesisuse konventsiooni osaliste konverentsi 15. istungjärgul 2022. aasta detsembris lepiti kokku ülemaailmses elurikkuse raamistikus, mis sisaldab üleilmset eesmärki vähendada taimekaitsevahenditest tulenevaid ohte 2030. aastaks vähemalt 50 % (vt: </w:t>
      </w:r>
      <w:hyperlink r:id="rId23" w:history="1">
        <w:r w:rsidRPr="009F4878">
          <w:rPr>
            <w:rStyle w:val="Hyperlink"/>
            <w:sz w:val="24"/>
            <w:lang w:val="et-EE"/>
          </w:rPr>
          <w:t>https://ec.europa.eu/commission/presscorner/detail/et/ip_22_7834</w:t>
        </w:r>
      </w:hyperlink>
      <w:r w:rsidRPr="009F4878">
        <w:rPr>
          <w:sz w:val="24"/>
          <w:lang w:val="et-EE"/>
        </w:rPr>
        <w:t>).</w:t>
      </w:r>
    </w:p>
  </w:footnote>
  <w:footnote w:id="21">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hyperlink r:id="rId24" w:history="1">
        <w:r w:rsidRPr="009F4878">
          <w:rPr>
            <w:rStyle w:val="Hyperlink"/>
            <w:sz w:val="24"/>
            <w:lang w:val="et-EE"/>
          </w:rPr>
          <w:t>https://tillymetz.lu/wp-content/uploads/2020/09/Co-signed-letter-MEP-Metz.pdf</w:t>
        </w:r>
      </w:hyperlink>
      <w:r w:rsidRPr="009F4878">
        <w:rPr>
          <w:sz w:val="24"/>
          <w:lang w:val="et-EE"/>
        </w:rPr>
        <w:t>.</w:t>
      </w:r>
    </w:p>
  </w:footnote>
  <w:footnote w:id="22">
    <w:p w:rsidR="00762952" w:rsidRPr="009F4878" w:rsidRDefault="00762952" w:rsidP="009F4878">
      <w:pPr>
        <w:pStyle w:val="FootnoteText"/>
        <w:ind w:left="567" w:hanging="567"/>
        <w:rPr>
          <w:sz w:val="24"/>
          <w:lang w:val="et-EE"/>
        </w:rPr>
      </w:pPr>
      <w:r w:rsidRPr="009F4878">
        <w:rPr>
          <w:rStyle w:val="FootnoteReference"/>
          <w:sz w:val="24"/>
          <w:lang w:val="et-EE"/>
        </w:rPr>
        <w:footnoteRef/>
      </w:r>
      <w:r w:rsidR="009F4878" w:rsidRPr="009F4878">
        <w:rPr>
          <w:sz w:val="24"/>
          <w:lang w:val="et-EE"/>
        </w:rPr>
        <w:t xml:space="preserve"> </w:t>
      </w:r>
      <w:r w:rsidR="009F4878" w:rsidRPr="009F4878">
        <w:rPr>
          <w:sz w:val="24"/>
          <w:lang w:val="et-EE"/>
        </w:rPr>
        <w:tab/>
      </w:r>
      <w:r w:rsidRPr="009F4878">
        <w:rPr>
          <w:sz w:val="24"/>
          <w:lang w:val="et-EE"/>
        </w:rPr>
        <w:t>Euroopa Parlamendi 15. jaanuari 2020. aasta resolutsioon Euroopa rohelise kokkuleppe kohta (ELT C 270, 7.7.2021, lk 2), punkt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ET"/>
    <w:docVar w:name="dvnumam" w:val="0"/>
    <w:docVar w:name="dvpe" w:val="763.291"/>
    <w:docVar w:name="dvtitre" w:val="Euroopa Parlamendi .... 2024. aasta resolutsioon komisjoni rakendusotsuse eelnõu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D098493/04 – 2024/2834(RSP))"/>
  </w:docVars>
  <w:rsids>
    <w:rsidRoot w:val="00287618"/>
    <w:rsid w:val="00002272"/>
    <w:rsid w:val="00064002"/>
    <w:rsid w:val="000677B9"/>
    <w:rsid w:val="000831BA"/>
    <w:rsid w:val="00087049"/>
    <w:rsid w:val="000A42CC"/>
    <w:rsid w:val="000D7EB3"/>
    <w:rsid w:val="000E7DD9"/>
    <w:rsid w:val="000F0A3E"/>
    <w:rsid w:val="0010095E"/>
    <w:rsid w:val="00125B37"/>
    <w:rsid w:val="00187494"/>
    <w:rsid w:val="001F32AE"/>
    <w:rsid w:val="002767FF"/>
    <w:rsid w:val="00287618"/>
    <w:rsid w:val="002B18FE"/>
    <w:rsid w:val="002B5493"/>
    <w:rsid w:val="002B727C"/>
    <w:rsid w:val="00343214"/>
    <w:rsid w:val="00361C00"/>
    <w:rsid w:val="00395FA1"/>
    <w:rsid w:val="003E15D4"/>
    <w:rsid w:val="00411CCE"/>
    <w:rsid w:val="0041666E"/>
    <w:rsid w:val="00421060"/>
    <w:rsid w:val="0042559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95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878"/>
    <w:rsid w:val="00A1687D"/>
    <w:rsid w:val="00A361A7"/>
    <w:rsid w:val="00A43E52"/>
    <w:rsid w:val="00A4678D"/>
    <w:rsid w:val="00A778C7"/>
    <w:rsid w:val="00A9645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2C6"/>
    <w:rsid w:val="00CC2357"/>
    <w:rsid w:val="00CF071A"/>
    <w:rsid w:val="00D058B8"/>
    <w:rsid w:val="00D5597C"/>
    <w:rsid w:val="00D56C11"/>
    <w:rsid w:val="00D834A0"/>
    <w:rsid w:val="00D872DF"/>
    <w:rsid w:val="00D91E21"/>
    <w:rsid w:val="00DA7FCD"/>
    <w:rsid w:val="00DB5CE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8F898"/>
  <w15:chartTrackingRefBased/>
  <w15:docId w15:val="{B4EEB517-E58F-4CD1-B545-5F027863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2952"/>
    <w:pPr>
      <w:spacing w:before="480" w:after="240"/>
    </w:pPr>
  </w:style>
  <w:style w:type="paragraph" w:customStyle="1" w:styleId="NormalHanging12a">
    <w:name w:val="NormalHanging12a"/>
    <w:basedOn w:val="Normal"/>
    <w:rsid w:val="00762952"/>
    <w:pPr>
      <w:spacing w:after="240"/>
      <w:ind w:left="567" w:hanging="567"/>
    </w:pPr>
  </w:style>
  <w:style w:type="character" w:styleId="Hyperlink">
    <w:name w:val="Hyperlink"/>
    <w:basedOn w:val="DefaultParagraphFont"/>
    <w:uiPriority w:val="99"/>
    <w:rsid w:val="00762952"/>
    <w:rPr>
      <w:color w:val="0563C1" w:themeColor="hyperlink"/>
      <w:u w:val="single"/>
    </w:rPr>
  </w:style>
  <w:style w:type="paragraph" w:styleId="BalloonText">
    <w:name w:val="Balloon Text"/>
    <w:basedOn w:val="Normal"/>
    <w:link w:val="BalloonTextChar"/>
    <w:rsid w:val="00CA62C6"/>
    <w:rPr>
      <w:rFonts w:ascii="Segoe UI" w:hAnsi="Segoe UI" w:cs="Segoe UI"/>
      <w:sz w:val="18"/>
      <w:szCs w:val="18"/>
    </w:rPr>
  </w:style>
  <w:style w:type="character" w:customStyle="1" w:styleId="BalloonTextChar">
    <w:name w:val="Balloon Text Char"/>
    <w:basedOn w:val="DefaultParagraphFont"/>
    <w:link w:val="BalloonText"/>
    <w:rsid w:val="00CA62C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ncbi.nlm.nih.gov/pmc/articles/PMC6612199/"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commission.europa.eu/document/2c64e540-c07a-4376-a1da-368d289f4afe_en" TargetMode="External"/><Relationship Id="rId7" Type="http://schemas.openxmlformats.org/officeDocument/2006/relationships/hyperlink" Target="https://www.ncbi.nlm.nih.gov/pubmed/26296738%20" TargetMode="External"/><Relationship Id="rId12" Type="http://schemas.openxmlformats.org/officeDocument/2006/relationships/hyperlink" Target="https://journals.plos.org/plosone/article?id=10.1371/journal.pone.0219610"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3/12/RAGES_report-Insecticidal-Bt-plants.pdf" TargetMode="External"/><Relationship Id="rId20" Type="http://schemas.openxmlformats.org/officeDocument/2006/relationships/hyperlink" Target="https://ec.europa.eu/commission/presscorner/detail/et/ip_22_7834" TargetMode="External"/><Relationship Id="rId1" Type="http://schemas.openxmlformats.org/officeDocument/2006/relationships/hyperlink" Target="http://data.europa.eu/eli/dec_impl/2024/2629/oj" TargetMode="External"/><Relationship Id="rId6" Type="http://schemas.openxmlformats.org/officeDocument/2006/relationships/hyperlink" Target="https://doi.org/10.1126/science.abe1148" TargetMode="External"/><Relationship Id="rId11" Type="http://schemas.openxmlformats.org/officeDocument/2006/relationships/hyperlink" Target="https://academic.oup.com/ije/advance-article/doi/10.1093/ije/dyz017/5382278" TargetMode="External"/><Relationship Id="rId24" Type="http://schemas.openxmlformats.org/officeDocument/2006/relationships/hyperlink" Target="https://tillymetz.lu/wp-content/uploads/2020/09/Co-signed-letter-MEP-Metz.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www.sciencedirect.com/science/article/pii/S0278691516300722?via=ihub" TargetMode="External"/><Relationship Id="rId23" Type="http://schemas.openxmlformats.org/officeDocument/2006/relationships/hyperlink" Target="https://ec.europa.eu/commission/presscorner/detail/et/ip_22_7834" TargetMode="External"/><Relationship Id="rId10" Type="http://schemas.openxmlformats.org/officeDocument/2006/relationships/hyperlink" Target="https://www.sciencedirect.com/science/article/pii/S1383574218300887"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5" TargetMode="External"/><Relationship Id="rId9" Type="http://schemas.openxmlformats.org/officeDocument/2006/relationships/hyperlink" Target="http://data.europa.eu/eli/reg/2009/1107/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2714B-BDC3-43CC-BD1D-F6CB5564F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12114</Characters>
  <Application>Microsoft Office Word</Application>
  <DocSecurity>0</DocSecurity>
  <Lines>242</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2024-12-17T10:34:00Z</dcterms:created>
  <dcterms:modified xsi:type="dcterms:W3CDTF">2024-12-17T10:34:00Z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B10-0147/2024</vt:lpwstr>
  </property>
  <property fmtid="{D5CDD505-2E9C-101B-9397-08002B2CF9AE}" pid="4" name="&lt;Type&gt;">
    <vt:lpwstr>RR</vt:lpwstr>
  </property>
</Properties>
</file>