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00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C00A3" w:rsidRDefault="00C259F5" w:rsidP="0010095E">
            <w:pPr>
              <w:pStyle w:val="EPName"/>
            </w:pPr>
            <w:r w:rsidRPr="00DC00A3">
              <w:t>Parlament Europejski</w:t>
            </w:r>
          </w:p>
          <w:p w:rsidR="00751A4A" w:rsidRPr="00DC00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00A3">
              <w:t>2024</w:t>
            </w:r>
            <w:r w:rsidR="00817416" w:rsidRPr="00DC00A3">
              <w:t>-202</w:t>
            </w:r>
            <w:r w:rsidRPr="00DC00A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C00A3" w:rsidRDefault="00187494" w:rsidP="0010095E">
            <w:pPr>
              <w:pStyle w:val="EPLogo"/>
            </w:pPr>
            <w:r w:rsidRPr="00DC00A3">
              <w:rPr>
                <w:noProof/>
                <w:lang w:val="fr-FR" w:eastAsia="fr-FR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C00A3" w:rsidRDefault="00D058B8" w:rsidP="004C5D52">
      <w:pPr>
        <w:pStyle w:val="LineTop"/>
      </w:pPr>
    </w:p>
    <w:p w:rsidR="00680577" w:rsidRPr="00DC00A3" w:rsidRDefault="00C259F5" w:rsidP="00680577">
      <w:pPr>
        <w:pStyle w:val="EPBodyTA1"/>
      </w:pPr>
      <w:r w:rsidRPr="00DC00A3">
        <w:t>TEKSTY PRZYJĘTE</w:t>
      </w:r>
    </w:p>
    <w:p w:rsidR="00D058B8" w:rsidRPr="00DC00A3" w:rsidRDefault="00D058B8" w:rsidP="00D058B8">
      <w:pPr>
        <w:pStyle w:val="LineBottom"/>
      </w:pPr>
    </w:p>
    <w:p w:rsidR="00C259F5" w:rsidRPr="00DC00A3" w:rsidRDefault="00C259F5" w:rsidP="00C259F5">
      <w:pPr>
        <w:pStyle w:val="ATHeading1"/>
      </w:pPr>
      <w:bookmarkStart w:id="0" w:name="TANumber"/>
      <w:r w:rsidRPr="00DC00A3">
        <w:t>P10_TA(2024)00</w:t>
      </w:r>
      <w:bookmarkEnd w:id="0"/>
      <w:r w:rsidR="00BF42ED">
        <w:t>40</w:t>
      </w:r>
    </w:p>
    <w:p w:rsidR="00C259F5" w:rsidRPr="00DC00A3" w:rsidRDefault="005826F7" w:rsidP="005826F7">
      <w:pPr>
        <w:pStyle w:val="ATHeading2"/>
      </w:pPr>
      <w:r>
        <w:rPr>
          <w:bCs/>
        </w:rPr>
        <w:t>G</w:t>
      </w:r>
      <w:r w:rsidRPr="005826F7">
        <w:rPr>
          <w:bCs/>
        </w:rPr>
        <w:t>enetycznie zmodyfikowana kukurydza MON</w:t>
      </w:r>
      <w:r>
        <w:rPr>
          <w:bCs/>
        </w:rPr>
        <w:t xml:space="preserve"> </w:t>
      </w:r>
      <w:r w:rsidRPr="005826F7">
        <w:rPr>
          <w:bCs/>
        </w:rPr>
        <w:t xml:space="preserve">89034 × 1507 × MON 88017 x 59122 i osiem </w:t>
      </w:r>
      <w:proofErr w:type="spellStart"/>
      <w:r w:rsidRPr="005826F7">
        <w:rPr>
          <w:bCs/>
        </w:rPr>
        <w:t>subkombinacji</w:t>
      </w:r>
      <w:proofErr w:type="spellEnd"/>
    </w:p>
    <w:p w:rsidR="00C259F5" w:rsidRPr="00DC00A3" w:rsidRDefault="00C259F5" w:rsidP="00C259F5">
      <w:pPr>
        <w:rPr>
          <w:i/>
          <w:vanish/>
        </w:rPr>
      </w:pPr>
      <w:r w:rsidRPr="00DC00A3">
        <w:rPr>
          <w:i/>
        </w:rPr>
        <w:fldChar w:fldCharType="begin"/>
      </w:r>
      <w:r w:rsidRPr="00DC00A3">
        <w:rPr>
          <w:i/>
        </w:rPr>
        <w:instrText xml:space="preserve"> TC"(</w:instrText>
      </w:r>
      <w:bookmarkStart w:id="1" w:name="DocNumber"/>
      <w:r w:rsidRPr="00DC00A3">
        <w:rPr>
          <w:i/>
        </w:rPr>
        <w:instrText>B10-0147/2024</w:instrText>
      </w:r>
      <w:bookmarkEnd w:id="1"/>
      <w:r w:rsidRPr="00DC00A3">
        <w:rPr>
          <w:i/>
        </w:rPr>
        <w:instrText xml:space="preserve">)"\l3 \n&gt; \* MERGEFORMAT </w:instrText>
      </w:r>
      <w:r w:rsidRPr="00DC00A3">
        <w:rPr>
          <w:i/>
        </w:rPr>
        <w:fldChar w:fldCharType="end"/>
      </w:r>
    </w:p>
    <w:p w:rsidR="00C259F5" w:rsidRPr="00DC00A3" w:rsidRDefault="00C259F5" w:rsidP="00C259F5">
      <w:pPr>
        <w:rPr>
          <w:vanish/>
        </w:rPr>
      </w:pPr>
      <w:bookmarkStart w:id="2" w:name="PE"/>
      <w:r w:rsidRPr="00DC00A3">
        <w:rPr>
          <w:vanish/>
        </w:rPr>
        <w:t>PE763.291</w:t>
      </w:r>
      <w:bookmarkEnd w:id="2"/>
    </w:p>
    <w:p w:rsidR="00C259F5" w:rsidRPr="00DC00A3" w:rsidRDefault="00C259F5" w:rsidP="00C259F5">
      <w:pPr>
        <w:pStyle w:val="ATHeading3"/>
      </w:pPr>
      <w:bookmarkStart w:id="3" w:name="Sujet"/>
      <w:r w:rsidRPr="00DC00A3">
        <w:t xml:space="preserve">Rezolucja Parlamentu Europejskiego z dnia </w:t>
      </w:r>
      <w:r w:rsidR="005826F7">
        <w:t xml:space="preserve">26 listopada 2024 r. w sprawie </w:t>
      </w:r>
      <w:r w:rsidRPr="00DC00A3">
        <w:t xml:space="preserve">decyzji wykonawczej Komisji </w:t>
      </w:r>
      <w:r w:rsidR="005826F7">
        <w:t xml:space="preserve">(UE) 2024/2629 </w:t>
      </w:r>
      <w:r w:rsidRPr="00DC00A3">
        <w:t xml:space="preserve">dotyczącej odnowienia zezwolenia na wprowadzenie do obrotu, na podstawie rozporządzenia (WE) nr 1829/2003 Parlamentu Europejskiego i Rady, produktów zawierających genetycznie zmodyfikowaną kukurydzę MON 89034 × 1507 × MON 88017 × 59122 i osiem jej </w:t>
      </w:r>
      <w:proofErr w:type="spellStart"/>
      <w:r w:rsidRPr="00DC00A3">
        <w:t>subkombinacji</w:t>
      </w:r>
      <w:proofErr w:type="spellEnd"/>
      <w:r w:rsidRPr="00DC00A3">
        <w:t xml:space="preserve"> oraz produktów składających się z wymienionych rodzajów zmodyfikowanej genetycznie kukurydzy lub z niej wyprodukowanych</w:t>
      </w:r>
      <w:bookmarkEnd w:id="3"/>
      <w:r w:rsidRPr="00DC00A3">
        <w:t xml:space="preserve"> </w:t>
      </w:r>
      <w:bookmarkStart w:id="4" w:name="References"/>
      <w:r w:rsidR="005826F7">
        <w:t>(</w:t>
      </w:r>
      <w:r w:rsidRPr="00DC00A3">
        <w:t>2024/2834(RSP))</w:t>
      </w:r>
      <w:bookmarkEnd w:id="4"/>
    </w:p>
    <w:p w:rsidR="00C259F5" w:rsidRPr="00DC00A3" w:rsidRDefault="00C259F5" w:rsidP="00C259F5"/>
    <w:p w:rsidR="00DF79C6" w:rsidRPr="00DC00A3" w:rsidRDefault="00DF79C6" w:rsidP="00DF79C6">
      <w:pPr>
        <w:pStyle w:val="EPComma"/>
      </w:pPr>
      <w:bookmarkStart w:id="5" w:name="TextBodyBegin"/>
      <w:bookmarkEnd w:id="5"/>
      <w:r w:rsidRPr="00DC00A3">
        <w:rPr>
          <w:i/>
        </w:rPr>
        <w:t>Parlament Europejski</w:t>
      </w:r>
      <w:r w:rsidRPr="00DC00A3">
        <w:t>,</w:t>
      </w:r>
    </w:p>
    <w:p w:rsidR="00DF79C6" w:rsidRPr="00DC00A3" w:rsidRDefault="005826F7" w:rsidP="00DF79C6">
      <w:pPr>
        <w:pStyle w:val="NormalHanging12a"/>
      </w:pPr>
      <w:r>
        <w:t>–</w:t>
      </w:r>
      <w:r>
        <w:tab/>
        <w:t>uwzględniając decyzję wykonawczą Komisji (UE) 2024/2629dotyczącą</w:t>
      </w:r>
      <w:r w:rsidR="00DF79C6" w:rsidRPr="00DC00A3">
        <w:t xml:space="preserve"> odnowienia zezwolenia na wprowadzenie do obrotu, na podstawie rozporządzenia (WE) nr 1829/2003 Parlamentu Europejskiego i Rady, produktów zawierających genetycznie zmodyfikowaną kukurydzę MON 89034 × 1507 × MON 88017 × 59122 i osiem jej </w:t>
      </w:r>
      <w:proofErr w:type="spellStart"/>
      <w:r w:rsidR="00DF79C6" w:rsidRPr="00DC00A3">
        <w:t>subkombinacji</w:t>
      </w:r>
      <w:proofErr w:type="spellEnd"/>
      <w:r w:rsidR="00DF79C6" w:rsidRPr="00DC00A3">
        <w:t xml:space="preserve"> oraz produktów składających się z wymienionych rodzajów zmodyfikowanej genetycznie kukurydzy lub z n</w:t>
      </w:r>
      <w:r>
        <w:t>iej wyprodukowanych</w:t>
      </w:r>
      <w:r w:rsidRPr="005826F7">
        <w:rPr>
          <w:vertAlign w:val="superscript"/>
          <w:lang w:val="en-GB"/>
        </w:rPr>
        <w:footnoteReference w:id="1"/>
      </w:r>
      <w:r w:rsidR="00DF79C6" w:rsidRPr="00DC00A3">
        <w:t>,</w:t>
      </w:r>
    </w:p>
    <w:p w:rsidR="00DF79C6" w:rsidRPr="00DC00A3" w:rsidRDefault="00DF79C6" w:rsidP="00DF79C6">
      <w:pPr>
        <w:pStyle w:val="NormalHanging12a"/>
        <w:rPr>
          <w:rFonts w:eastAsia="Calibri"/>
        </w:rPr>
      </w:pPr>
      <w:r w:rsidRPr="00DC00A3">
        <w:t>–</w:t>
      </w:r>
      <w:r w:rsidRPr="00DC00A3">
        <w:tab/>
        <w:t>uwzględniając rozporządzenie (WE) nr 1829/2003 Parlamentu Europejskiego i Rady z 22 września 2003 r. w sprawie genetycznie zmodyfikowanej żywności i paszy</w:t>
      </w:r>
      <w:r w:rsidRPr="00DC00A3">
        <w:rPr>
          <w:rStyle w:val="FootnoteReference"/>
        </w:rPr>
        <w:footnoteReference w:id="2"/>
      </w:r>
      <w:r w:rsidRPr="00DC00A3">
        <w:t>, w szczególności jego art. 11 ust. 3 i art. 23 ust. 3,</w:t>
      </w:r>
    </w:p>
    <w:p w:rsidR="00DF79C6" w:rsidRPr="00DC00A3" w:rsidRDefault="00DF79C6" w:rsidP="00DF79C6">
      <w:pPr>
        <w:pStyle w:val="NormalHanging12a"/>
      </w:pPr>
      <w:r w:rsidRPr="00DC00A3">
        <w:t>–</w:t>
      </w:r>
      <w:r w:rsidRPr="00DC00A3">
        <w:tab/>
        <w:t xml:space="preserve">uwzględniając </w:t>
      </w:r>
      <w:r w:rsidRPr="00DC00A3">
        <w:rPr>
          <w:shd w:val="clear" w:color="auto" w:fill="FFFFFF"/>
        </w:rPr>
        <w:t>głosowanie – bez wydania opinii – przeprowadzone 8 lipca 2024 r. przez Stały Komitet ds. Roślin, Zwierząt, Żywności i Pasz, o którym mowa w art. 35 rozporządzenia (WE) nr 1829/2003, oraz głosowanie komitetu odwoławczego 3 września 2024 r., w wyniku którego również nie</w:t>
      </w:r>
      <w:r w:rsidRPr="00DC00A3">
        <w:t xml:space="preserve"> wydano opinii,</w:t>
      </w:r>
    </w:p>
    <w:p w:rsidR="00DF79C6" w:rsidRPr="00DC00A3" w:rsidRDefault="00DF79C6" w:rsidP="00DF79C6">
      <w:pPr>
        <w:pStyle w:val="NormalHanging12a"/>
      </w:pPr>
      <w:r w:rsidRPr="00DC00A3">
        <w:t>–</w:t>
      </w:r>
      <w:r w:rsidRPr="00DC00A3">
        <w:tab/>
        <w:t xml:space="preserve">uwzględniając art. 11 rozporządzenia Parlamentu Europejskiego i Rady (UE) nr 182/2011 z dnia 16 lutego 2011 r. ustanawiającego przepisy i zasady ogólne dotyczące trybu kontroli przez państwa członkowskie wykonywania uprawnień wykonawczych </w:t>
      </w:r>
      <w:r w:rsidRPr="00DC00A3">
        <w:lastRenderedPageBreak/>
        <w:t>przez Komisję</w:t>
      </w:r>
      <w:r w:rsidRPr="00DC00A3">
        <w:rPr>
          <w:rStyle w:val="FootnoteReference"/>
        </w:rPr>
        <w:footnoteReference w:id="3"/>
      </w:r>
      <w:r w:rsidRPr="00DC00A3">
        <w:t>,</w:t>
      </w:r>
    </w:p>
    <w:p w:rsidR="00DF79C6" w:rsidRPr="00DC00A3" w:rsidRDefault="00DF79C6" w:rsidP="00DF79C6">
      <w:pPr>
        <w:pStyle w:val="NormalHanging12a"/>
      </w:pPr>
      <w:r w:rsidRPr="00DC00A3">
        <w:t>–</w:t>
      </w:r>
      <w:r w:rsidRPr="00DC00A3">
        <w:tab/>
        <w:t>uwzględniając opinię Europejskiego Urzędu ds. Bezpieczeństwa Żywności (EFSA) z 13 marca 2024 r. opublikowaną 29 kwietnia 2024 r.</w:t>
      </w:r>
      <w:r w:rsidRPr="00DC00A3">
        <w:rPr>
          <w:rStyle w:val="FootnoteReference"/>
        </w:rPr>
        <w:footnoteReference w:id="4"/>
      </w:r>
      <w:r w:rsidRPr="00DC00A3">
        <w:t>,</w:t>
      </w:r>
    </w:p>
    <w:p w:rsidR="00DF79C6" w:rsidRPr="00DC00A3" w:rsidRDefault="00DF79C6" w:rsidP="00DF79C6">
      <w:pPr>
        <w:pStyle w:val="NormalHanging12a"/>
        <w:rPr>
          <w:szCs w:val="24"/>
          <w:shd w:val="clear" w:color="auto" w:fill="FFFFFF"/>
        </w:rPr>
      </w:pPr>
      <w:r w:rsidRPr="00DC00A3">
        <w:t>–</w:t>
      </w:r>
      <w:r w:rsidRPr="00DC00A3">
        <w:rPr>
          <w:shd w:val="clear" w:color="auto" w:fill="FFFFFF"/>
        </w:rPr>
        <w:tab/>
        <w:t>uwzględniając swoje wcześniejsze rezolucje zawierające sprzeciw wobec zatwierdzania organizmów zmodyfikowanych genetycznie (GMO)</w:t>
      </w:r>
      <w:r w:rsidRPr="00DC00A3">
        <w:rPr>
          <w:szCs w:val="24"/>
          <w:shd w:val="clear" w:color="auto" w:fill="FFFFFF"/>
          <w:vertAlign w:val="superscript"/>
        </w:rPr>
        <w:footnoteReference w:id="5"/>
      </w:r>
      <w:r w:rsidRPr="00DC00A3">
        <w:rPr>
          <w:shd w:val="clear" w:color="auto" w:fill="FFFFFF"/>
        </w:rPr>
        <w:t>,</w:t>
      </w:r>
    </w:p>
    <w:p w:rsidR="00DF79C6" w:rsidRPr="00DC00A3" w:rsidRDefault="00DF79C6" w:rsidP="00DF79C6">
      <w:pPr>
        <w:pStyle w:val="NormalHanging12a"/>
      </w:pPr>
      <w:r w:rsidRPr="00DC00A3">
        <w:t>–</w:t>
      </w:r>
      <w:r w:rsidRPr="00DC00A3">
        <w:tab/>
        <w:t>uwzględniając art. 115 ust. 2 i 3 Regulaminu,</w:t>
      </w:r>
    </w:p>
    <w:p w:rsidR="00DF79C6" w:rsidRPr="00DC00A3" w:rsidRDefault="00DF79C6" w:rsidP="00DF79C6">
      <w:pPr>
        <w:pStyle w:val="NormalHanging12a"/>
      </w:pPr>
      <w:r w:rsidRPr="00DC00A3">
        <w:t>–</w:t>
      </w:r>
      <w:r w:rsidRPr="00DC00A3">
        <w:tab/>
        <w:t>uwzględniając projekt rezolucji Komisji Ochrony Środowiska Naturalnego, Zdrowia Publicznego i Bezpieczeństwa Żywności,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A.</w:t>
      </w:r>
      <w:r w:rsidRPr="00DC00A3">
        <w:tab/>
        <w:t xml:space="preserve">mając na uwadze, że 7 października 2022 r. </w:t>
      </w:r>
      <w:proofErr w:type="spellStart"/>
      <w:r w:rsidRPr="00DC00A3">
        <w:t>Corteva</w:t>
      </w:r>
      <w:proofErr w:type="spellEnd"/>
      <w:r w:rsidRPr="00DC00A3">
        <w:t xml:space="preserve"> </w:t>
      </w:r>
      <w:proofErr w:type="spellStart"/>
      <w:r w:rsidRPr="00DC00A3">
        <w:t>Agriscience</w:t>
      </w:r>
      <w:proofErr w:type="spellEnd"/>
      <w:r w:rsidRPr="00DC00A3">
        <w:t xml:space="preserve"> </w:t>
      </w:r>
      <w:proofErr w:type="spellStart"/>
      <w:r w:rsidRPr="00DC00A3">
        <w:t>Belgium</w:t>
      </w:r>
      <w:proofErr w:type="spellEnd"/>
      <w:r w:rsidRPr="00DC00A3">
        <w:t xml:space="preserve"> BV z siedzibą w Belgii, w imieniu </w:t>
      </w:r>
      <w:proofErr w:type="spellStart"/>
      <w:r w:rsidRPr="00DC00A3">
        <w:t>Corteva</w:t>
      </w:r>
      <w:proofErr w:type="spellEnd"/>
      <w:r w:rsidRPr="00DC00A3">
        <w:t xml:space="preserve"> </w:t>
      </w:r>
      <w:proofErr w:type="spellStart"/>
      <w:r w:rsidRPr="00DC00A3">
        <w:t>Agriscience</w:t>
      </w:r>
      <w:proofErr w:type="spellEnd"/>
      <w:r w:rsidRPr="00DC00A3">
        <w:t xml:space="preserve"> LLC z siedzibą w Stanach Zjednoczonych, oraz Bayer </w:t>
      </w:r>
      <w:proofErr w:type="spellStart"/>
      <w:r w:rsidRPr="00DC00A3">
        <w:t>Agriculture</w:t>
      </w:r>
      <w:proofErr w:type="spellEnd"/>
      <w:r w:rsidRPr="00DC00A3">
        <w:t xml:space="preserve"> BV z siedzibą w Belgii, w imieniu Bayer </w:t>
      </w:r>
      <w:proofErr w:type="spellStart"/>
      <w:r w:rsidRPr="00DC00A3">
        <w:t>CropScience</w:t>
      </w:r>
      <w:proofErr w:type="spellEnd"/>
      <w:r w:rsidRPr="00DC00A3">
        <w:t xml:space="preserve"> LP z siedzibą w Stanach Zjednoczonych, wspólnie złożyły do Komisji wniosek o odnowienie zezwolenia na genetycznie zmodyfikowaną kukurydzę MON 89034 × 1507 × MON 88017 × 59122 i jej osiem </w:t>
      </w:r>
      <w:proofErr w:type="spellStart"/>
      <w:r w:rsidRPr="00DC00A3">
        <w:t>subkombinacji</w:t>
      </w:r>
      <w:proofErr w:type="spellEnd"/>
      <w:r w:rsidRPr="00DC00A3">
        <w:t xml:space="preserve"> („kukurydza zmodyfikowana genetycznie”);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B.</w:t>
      </w:r>
      <w:r w:rsidRPr="00DC00A3">
        <w:tab/>
        <w:t>mając na uwadze, że 13 marca 2024 r. EFSA wydał pozytywną opinię, którą opublikowano 29 kwietnia 2024 r.;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C.</w:t>
      </w:r>
      <w:r w:rsidRPr="00DC00A3">
        <w:tab/>
        <w:t xml:space="preserve">mając na uwadze, że kukurydza zmodyfikowana genetycznie została zmodyfikowana tak, aby była odporna na </w:t>
      </w:r>
      <w:proofErr w:type="spellStart"/>
      <w:r w:rsidRPr="00DC00A3">
        <w:t>glufosynat</w:t>
      </w:r>
      <w:proofErr w:type="spellEnd"/>
      <w:r w:rsidRPr="00DC00A3">
        <w:t xml:space="preserve">, </w:t>
      </w:r>
      <w:proofErr w:type="spellStart"/>
      <w:r w:rsidRPr="00DC00A3">
        <w:t>glifosat</w:t>
      </w:r>
      <w:proofErr w:type="spellEnd"/>
      <w:r w:rsidRPr="00DC00A3">
        <w:t xml:space="preserve"> i wytwarzała środki owadobójcze („toksyny </w:t>
      </w:r>
      <w:proofErr w:type="spellStart"/>
      <w:r w:rsidRPr="00DC00A3">
        <w:t>Bt</w:t>
      </w:r>
      <w:proofErr w:type="spellEnd"/>
      <w:r w:rsidRPr="00DC00A3">
        <w:t xml:space="preserve">”); </w:t>
      </w:r>
    </w:p>
    <w:p w:rsidR="00DF79C6" w:rsidRPr="00DC00A3" w:rsidRDefault="00DF79C6" w:rsidP="00DF79C6">
      <w:pPr>
        <w:pStyle w:val="NormalHanging12a"/>
        <w:ind w:left="0" w:firstLine="0"/>
        <w:rPr>
          <w:b/>
        </w:rPr>
      </w:pPr>
      <w:r w:rsidRPr="00DC00A3">
        <w:rPr>
          <w:b/>
        </w:rPr>
        <w:t>Brak oceny herbicydów uzupełniających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D.</w:t>
      </w:r>
      <w:r w:rsidRPr="00DC00A3">
        <w:tab/>
        <w:t>mając na uwadze, że na mocy rozporządzenia wykonawczego Komisji (UE) nr 503/2013</w:t>
      </w:r>
      <w:r w:rsidRPr="00DC00A3">
        <w:rPr>
          <w:rStyle w:val="FootnoteReference"/>
        </w:rPr>
        <w:footnoteReference w:id="6"/>
      </w:r>
      <w:r w:rsidRPr="00DC00A3">
        <w:t xml:space="preserve"> wymagana jest ocena, czy oczekiwane praktyki rolnicze mają wpływ na wyniki badanych punktów końcowych; mając na uwadze, że zgodnie z tym rozporządzeniem wykonawczym ma to szczególne znaczenie w przypadku roślin tolerujących herbicydy;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E.</w:t>
      </w:r>
      <w:r w:rsidRPr="00DC00A3">
        <w:tab/>
        <w:t xml:space="preserve">mając na uwadze, że zdecydowaną większość upraw zmodyfikowanych genetycznie poddano modyfikacji genetycznej, aby osiągnąć tolerancję na co najmniej jeden </w:t>
      </w:r>
      <w:r w:rsidRPr="00DC00A3">
        <w:lastRenderedPageBreak/>
        <w:t>herbicyd uzupełniający spośród herbicydów, które mogą być stosowane w trakcie całej uprawy roślin zmodyfikowanych genetycznie bez powodowania zamierania upraw, jak miałoby to miejsce w przypadku upraw nietolerujących herbicydów; mając na uwadze, że według licznych badań uprawa genetycznie zmodyfikowanych roślin tolerujących herbicydy prowadzi do większego zużycia herbicydów uzupełniających, co w dużej mierze spowodowane jest pojawieniem się chwastów odpornych na herbicydy</w:t>
      </w:r>
      <w:r w:rsidRPr="00DC00A3">
        <w:rPr>
          <w:rStyle w:val="FootnoteReference"/>
        </w:rPr>
        <w:footnoteReference w:id="7"/>
      </w:r>
      <w:r w:rsidRPr="00DC00A3">
        <w:t>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F.</w:t>
      </w:r>
      <w:r w:rsidRPr="00DC00A3">
        <w:tab/>
        <w:t>mając na uwadze, że genetycznie zmodyfikowane uprawy odporne na herbicydy zmuszają rolników do stosowania systemu zwalczania chwastów, który jest w dużej mierze lub całkowicie uzależniony od herbicydów, ponieważ wyższa cena nasion zmodyfikowanych genetycznie ma uzasadnienie tylko wtedy, gdy rolnicy kupujący takie nasiona rozpylają również herbicydy uzupełniające; mając na uwadze, że zwiększone uzależnienie od herbicydów uzupełniających w gospodarstwach, w których prowadzi się genetycznie zmodyfikowane uprawy, przyspiesza pojawianie się i rozprzestrzenianie chwastów odpornych na te herbicydy, co sprawia, że konieczne staje się coraz szersze stosowanie herbicydów, prowadzące do powstania błędnego koła;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G.</w:t>
      </w:r>
      <w:r w:rsidRPr="00DC00A3">
        <w:tab/>
        <w:t>mając na uwadze, że nadmierne uzależnienie od herbicydów przyniesie takie negatywne skutki jak pogorszenie zdrowia gleby, jakości wody oraz różnorodności biologicznej na powierzchni ziemi i pod ziemią, a także większe narażenie ludzi i zwierząt, potencjalnie również w wyniku większych pozostałości herbicydów w żywności i paszy;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H.</w:t>
      </w:r>
      <w:r w:rsidRPr="00DC00A3">
        <w:tab/>
        <w:t xml:space="preserve">mając na uwadze, że </w:t>
      </w:r>
      <w:proofErr w:type="spellStart"/>
      <w:r w:rsidRPr="00DC00A3">
        <w:t>glufosynat</w:t>
      </w:r>
      <w:proofErr w:type="spellEnd"/>
      <w:r w:rsidRPr="00DC00A3">
        <w:t xml:space="preserve"> zaliczono do substancji działających szkodliwie na rozrodczość (1B), spełnia on zatem kryteria graniczne określone w rozporządzeniu Parlamentu Europejskiego i Rady (WE) nr 1107/2009</w:t>
      </w:r>
      <w:r w:rsidRPr="00DC00A3">
        <w:rPr>
          <w:rStyle w:val="FootnoteReference"/>
        </w:rPr>
        <w:footnoteReference w:id="8"/>
      </w:r>
      <w:r w:rsidRPr="00DC00A3">
        <w:t xml:space="preserve">; mając na uwadze, że zezwolenie na stosowanie </w:t>
      </w:r>
      <w:proofErr w:type="spellStart"/>
      <w:r w:rsidRPr="00DC00A3">
        <w:t>glufosynatu</w:t>
      </w:r>
      <w:proofErr w:type="spellEnd"/>
      <w:r w:rsidRPr="00DC00A3">
        <w:t xml:space="preserve"> w Unii wygasło 31 lipca 2018 r.; 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I.</w:t>
      </w:r>
      <w:r w:rsidRPr="00DC00A3">
        <w:tab/>
        <w:t xml:space="preserve">mając na uwadze, że EFSA stwierdził w listopadzie 2015 r., iż jest mało prawdopodobne, aby </w:t>
      </w:r>
      <w:proofErr w:type="spellStart"/>
      <w:r w:rsidRPr="00DC00A3">
        <w:t>glifosat</w:t>
      </w:r>
      <w:proofErr w:type="spellEnd"/>
      <w:r w:rsidRPr="00DC00A3">
        <w:t xml:space="preserve"> był rakotwórczy, a Europejska Agencja Chemikaliów uznała w marcu 2017 r., że nie ma podstaw, by zaliczyć go do substancji rakotwórczych; mając na uwadze, że z kolei Międzynarodowa Agencja Badań nad </w:t>
      </w:r>
      <w:r w:rsidRPr="00DC00A3">
        <w:lastRenderedPageBreak/>
        <w:t xml:space="preserve">Rakiem, tj. wyspecjalizowana agencja Światowej Organizacji Zdrowia ds. badań nad rakiem, w 2015 r. zaliczyła </w:t>
      </w:r>
      <w:proofErr w:type="spellStart"/>
      <w:r w:rsidRPr="00DC00A3">
        <w:t>glifosat</w:t>
      </w:r>
      <w:proofErr w:type="spellEnd"/>
      <w:r w:rsidRPr="00DC00A3">
        <w:t xml:space="preserve"> do substancji prawdopodobnie rakotwórczych dla ludzi; mając na uwadze, że szereg najnowszych recenzowanych badań naukowych potwierdza możliwe działanie rakotwórcze </w:t>
      </w:r>
      <w:proofErr w:type="spellStart"/>
      <w:r w:rsidRPr="00DC00A3">
        <w:t>glifosatu</w:t>
      </w:r>
      <w:proofErr w:type="spellEnd"/>
      <w:r w:rsidRPr="00DC00A3">
        <w:rPr>
          <w:rStyle w:val="FootnoteReference"/>
        </w:rPr>
        <w:footnoteReference w:id="9"/>
      </w:r>
      <w:r w:rsidRPr="00DC00A3">
        <w:t xml:space="preserve">; 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J.</w:t>
      </w:r>
      <w:r w:rsidRPr="00DC00A3">
        <w:tab/>
        <w:t>mając na uwadze, że ocenę pozostałości herbicydów i metabolitów znalezionych na roślinach zmodyfikowanych genetycznie uznaje się za niewchodzącą w zakres kompetencji panelu EFSA ds. organizmów modyfikowanych genetycznie, w związku z czym nie dokonuje się jej w ramach procedury zatwierdzania GMO;</w:t>
      </w:r>
    </w:p>
    <w:p w:rsidR="00DF79C6" w:rsidRPr="00DC00A3" w:rsidRDefault="00DF79C6" w:rsidP="00DF79C6">
      <w:pPr>
        <w:pStyle w:val="NormalHanging12a"/>
        <w:rPr>
          <w:b/>
          <w:i/>
        </w:rPr>
      </w:pPr>
      <w:r w:rsidRPr="00DC00A3">
        <w:rPr>
          <w:b/>
          <w:i/>
        </w:rPr>
        <w:t xml:space="preserve">Nierozstrzygnięte kwestie dotyczące toksyn </w:t>
      </w:r>
      <w:proofErr w:type="spellStart"/>
      <w:r w:rsidRPr="00DC00A3">
        <w:rPr>
          <w:b/>
          <w:i/>
        </w:rPr>
        <w:t>Bt</w:t>
      </w:r>
      <w:proofErr w:type="spellEnd"/>
    </w:p>
    <w:p w:rsidR="00DF79C6" w:rsidRPr="00DC00A3" w:rsidRDefault="00DF79C6" w:rsidP="00DF79C6">
      <w:pPr>
        <w:pStyle w:val="NormalHanging12a"/>
        <w:ind w:left="709" w:hanging="709"/>
      </w:pPr>
      <w:r w:rsidRPr="00DC00A3">
        <w:t>K.</w:t>
      </w:r>
      <w:r w:rsidRPr="00DC00A3">
        <w:tab/>
        <w:t xml:space="preserve">mając na uwadze, że w szeregu badań zaobserwowano, iż skutki uboczne powstałe w wyniku narażenia na toksyny </w:t>
      </w:r>
      <w:proofErr w:type="spellStart"/>
      <w:r w:rsidRPr="00DC00A3">
        <w:t>Bt</w:t>
      </w:r>
      <w:proofErr w:type="spellEnd"/>
      <w:r w:rsidRPr="00DC00A3">
        <w:t xml:space="preserve"> mogą wpływać na układ odpornościowy, oraz zauważono, że niektóre toksyny </w:t>
      </w:r>
      <w:proofErr w:type="spellStart"/>
      <w:r w:rsidRPr="00DC00A3">
        <w:t>Bt</w:t>
      </w:r>
      <w:proofErr w:type="spellEnd"/>
      <w:r w:rsidRPr="00DC00A3">
        <w:t xml:space="preserve"> mogą wykazywać właściwości adiuwantów</w:t>
      </w:r>
      <w:r w:rsidRPr="00DC00A3">
        <w:rPr>
          <w:rStyle w:val="FootnoteReference"/>
        </w:rPr>
        <w:footnoteReference w:id="10"/>
      </w:r>
      <w:r w:rsidRPr="00DC00A3">
        <w:t>, co oznacza, że mogą nasilać alergenność innych białek, z którymi wchodzą w styczność;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L.</w:t>
      </w:r>
      <w:r w:rsidRPr="00DC00A3">
        <w:tab/>
        <w:t xml:space="preserve">mając na uwadze, że w jednym z badań naukowych wykazano, iż toksyczność toksyn </w:t>
      </w:r>
      <w:proofErr w:type="spellStart"/>
      <w:r w:rsidRPr="00DC00A3">
        <w:t>Bt</w:t>
      </w:r>
      <w:proofErr w:type="spellEnd"/>
      <w:r w:rsidRPr="00DC00A3">
        <w:t xml:space="preserve"> może również wzrosnąć wskutek interakcji z pozostałościami po opryskach herbicydami oraz że potrzebne są dalsze badania nad efektami skojarzonymi złożonych modyfikacji genetycznych (uprawy GMO, które zostały zmodyfikowane tak, aby były odporne na herbicydy i wytwarzały insektycydy w postaci toksyn </w:t>
      </w:r>
      <w:proofErr w:type="spellStart"/>
      <w:r w:rsidRPr="00DC00A3">
        <w:t>Bt</w:t>
      </w:r>
      <w:proofErr w:type="spellEnd"/>
      <w:r w:rsidRPr="00DC00A3">
        <w:t>)</w:t>
      </w:r>
      <w:r w:rsidRPr="00DC00A3">
        <w:rPr>
          <w:rStyle w:val="FootnoteReference"/>
        </w:rPr>
        <w:footnoteReference w:id="11"/>
      </w:r>
      <w:r w:rsidRPr="00DC00A3">
        <w:t xml:space="preserve">; mając jednak na uwadze, że uznaje się, iż ocena ewentualnych interakcji pozostałości herbicydów i ich metabolitów z toksynami </w:t>
      </w:r>
      <w:proofErr w:type="spellStart"/>
      <w:r w:rsidRPr="00DC00A3">
        <w:t>Bt</w:t>
      </w:r>
      <w:proofErr w:type="spellEnd"/>
      <w:r w:rsidRPr="00DC00A3">
        <w:t xml:space="preserve"> nie wchodzi w zakres kompetencji panelu EFSA ds. GMO, w związku z czym nie dokonuje się jej podczas oceny ryzyka;</w:t>
      </w:r>
    </w:p>
    <w:p w:rsidR="00DF79C6" w:rsidRPr="00DC00A3" w:rsidRDefault="00DF79C6" w:rsidP="00DF79C6">
      <w:pPr>
        <w:pStyle w:val="NormalHanging12a"/>
        <w:rPr>
          <w:b/>
          <w:i/>
        </w:rPr>
      </w:pPr>
      <w:r w:rsidRPr="00DC00A3">
        <w:rPr>
          <w:b/>
          <w:i/>
        </w:rPr>
        <w:t xml:space="preserve">Uprawy </w:t>
      </w:r>
      <w:proofErr w:type="spellStart"/>
      <w:r w:rsidRPr="00DC00A3">
        <w:rPr>
          <w:b/>
          <w:i/>
        </w:rPr>
        <w:t>Bt</w:t>
      </w:r>
      <w:proofErr w:type="spellEnd"/>
      <w:r w:rsidRPr="00DC00A3">
        <w:rPr>
          <w:b/>
          <w:i/>
        </w:rPr>
        <w:t>: wpływ na organizmy niebędące przedmiotem zwalczania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M.</w:t>
      </w:r>
      <w:r w:rsidRPr="00DC00A3">
        <w:tab/>
        <w:t xml:space="preserve">mając na uwadze, że w przeciwieństwie do środków owadobójczych, których stosowanie powoduje narażenie w czasie oprysku i przez ograniczony czas po oprysku, uprawa zmodyfikowanych genetycznie roślin </w:t>
      </w:r>
      <w:proofErr w:type="spellStart"/>
      <w:r w:rsidRPr="00DC00A3">
        <w:t>Bt</w:t>
      </w:r>
      <w:proofErr w:type="spellEnd"/>
      <w:r w:rsidRPr="00DC00A3">
        <w:t xml:space="preserve"> oznacza ciągłe narażenie organizmów zwalczanych i innych niż zwalczane na toksyny </w:t>
      </w:r>
      <w:proofErr w:type="spellStart"/>
      <w:r w:rsidRPr="00DC00A3">
        <w:t>Bt</w:t>
      </w:r>
      <w:proofErr w:type="spellEnd"/>
      <w:r w:rsidRPr="00DC00A3">
        <w:t>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N.</w:t>
      </w:r>
      <w:r w:rsidRPr="00DC00A3">
        <w:tab/>
        <w:t xml:space="preserve">mając na uwadze, że nie można już uznawać za prawidłowe założenia, iż toksyny </w:t>
      </w:r>
      <w:proofErr w:type="spellStart"/>
      <w:r w:rsidRPr="00DC00A3">
        <w:t>Bt</w:t>
      </w:r>
      <w:proofErr w:type="spellEnd"/>
      <w:r w:rsidRPr="00DC00A3">
        <w:t xml:space="preserve"> wykazują jeden specyficzny dla danego celu zwalczania sposób działania, i nie można wykluczyć wpływu na organizmy inne niż zwalczane; mając na uwadze doniesienia o różnorodnych skutkach dotykających coraz większą liczbę organizmów innych niż zwalczane; mając na uwadze, że w niedawnym przeglądzie</w:t>
      </w:r>
      <w:r w:rsidRPr="00DC00A3">
        <w:rPr>
          <w:rStyle w:val="FootnoteReference"/>
        </w:rPr>
        <w:footnoteReference w:id="12"/>
      </w:r>
      <w:r w:rsidRPr="00DC00A3">
        <w:t xml:space="preserve"> wymieniono 39 recenzowanych publikacji, w których odnotowano istotny niekorzystny wpływ toksyn </w:t>
      </w:r>
      <w:proofErr w:type="spellStart"/>
      <w:r w:rsidRPr="00DC00A3">
        <w:t>Bt</w:t>
      </w:r>
      <w:proofErr w:type="spellEnd"/>
      <w:r w:rsidRPr="00DC00A3">
        <w:t xml:space="preserve"> na wiele gatunków „spoza obszaru działania”;</w:t>
      </w:r>
    </w:p>
    <w:p w:rsidR="00DF79C6" w:rsidRPr="00DC00A3" w:rsidRDefault="00DF79C6" w:rsidP="00DF79C6">
      <w:pPr>
        <w:pStyle w:val="NormalHanging12a"/>
        <w:rPr>
          <w:b/>
          <w:i/>
        </w:rPr>
      </w:pPr>
      <w:r w:rsidRPr="00DC00A3">
        <w:rPr>
          <w:b/>
          <w:i/>
        </w:rPr>
        <w:t>Zapewnienie równych warunków działania na całym świecie i realizacja międzynarodowych zobowiązań Unii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O.</w:t>
      </w:r>
      <w:r w:rsidRPr="00DC00A3">
        <w:tab/>
        <w:t>mając na uwadze, że w konkluzjach Strategicznego dialogu na temat przyszłości rolnictwa UE</w:t>
      </w:r>
      <w:r w:rsidRPr="00DC00A3">
        <w:rPr>
          <w:rStyle w:val="FootnoteReference"/>
        </w:rPr>
        <w:footnoteReference w:id="13"/>
      </w:r>
      <w:r w:rsidRPr="00DC00A3">
        <w:t xml:space="preserve"> wzywa się Komisję do ponownej oceny jej podejścia do dostępu do rynku dla importu i eksportu produktów rolno-spożywczych, biorąc pod uwagę wyzwanie, jakim są rozbieżne standardy Unii i jej partnerów handlowych; mając na uwadze, że sprawiedliwsze stosunki handlowe na poziomie globalnym, spójne z celami na rzecz zdrowego środowiska, były jednym z głównych postulatów rolników podczas demonstracji w 2023 i 2024 roku;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P.</w:t>
      </w:r>
      <w:r w:rsidRPr="00DC00A3">
        <w:tab/>
        <w:t>mając na uwadze, że w sprawozdaniu specjalnego sprawozdawcy Organizacji Narodów Zjednoczonych (ONZ) ds. prawa do żywności z 2017 r. stwierdzono, iż szczególnie w krajach rozwijających się niebezpieczne pestycydy mają katastrofalne skutki dla zdrowia</w:t>
      </w:r>
      <w:r w:rsidRPr="00DC00A3">
        <w:rPr>
          <w:rStyle w:val="FootnoteReference"/>
        </w:rPr>
        <w:footnoteReference w:id="14"/>
      </w:r>
      <w:r w:rsidRPr="00DC00A3">
        <w:t>; mając na uwadze, że zadanie nr 3.9 w celach zrównoważonego rozwoju ONZ zakłada znaczne obniżenie do 2030 r. liczby zgonów i chorób powodowanych przez niebezpieczne substancje chemiczne oraz zanieczyszczenie i skażenie powietrza, wody i gleby</w:t>
      </w:r>
      <w:r w:rsidRPr="00DC00A3">
        <w:rPr>
          <w:rStyle w:val="FootnoteReference"/>
        </w:rPr>
        <w:footnoteReference w:id="15"/>
      </w:r>
      <w:r w:rsidRPr="00DC00A3">
        <w:t>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Q.</w:t>
      </w:r>
      <w:r w:rsidRPr="00DC00A3">
        <w:tab/>
        <w:t>mając na uwadze, że w grudniu 2022 r. podczas COP15 Konwencji ONZ o różnorodności biologicznej uzgodniono globalne ramy różnorodności biologicznej z Kunmingu/Montrealu, które obejmują globalny cel zmniejszenia ryzyka związanego z pestycydami o co najmniej 50% do 2030 r.</w:t>
      </w:r>
      <w:r w:rsidRPr="00DC00A3">
        <w:rPr>
          <w:rStyle w:val="FootnoteReference"/>
        </w:rPr>
        <w:footnoteReference w:id="16"/>
      </w:r>
      <w:r w:rsidRPr="00DC00A3">
        <w:t>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R.</w:t>
      </w:r>
      <w:r w:rsidRPr="00DC00A3">
        <w:tab/>
        <w:t>mając na uwadze, że zgodnie z rozporządzeniem (WE) nr 1829/2003 genetycznie zmodyfikowana żywność lub pasza nie może wywierać szkodliwego wpływu na zdrowie ludzi i zwierząt ani na środowisko naturalne, a przy sporządzaniu decyzji Komisja musi brać pod uwagę wszelkie istotne przepisy prawa Unii oraz inne uzasadnione czynniki istotne dla sprawy; mając na uwadze, że takie uzasadnione czynniki powinny obejmować zobowiązania Unii wynikające z celów zrównoważonego rozwoju ONZ i z Konwencji ONZ o różnorodności biologicznej;</w:t>
      </w:r>
    </w:p>
    <w:p w:rsidR="00DF79C6" w:rsidRPr="00DC00A3" w:rsidRDefault="00DF79C6" w:rsidP="00DF79C6">
      <w:pPr>
        <w:pStyle w:val="NormalHanging12a"/>
        <w:rPr>
          <w:b/>
          <w:i/>
        </w:rPr>
      </w:pPr>
      <w:r w:rsidRPr="00DC00A3">
        <w:rPr>
          <w:b/>
          <w:i/>
        </w:rPr>
        <w:t>Zmniejszenie zależności od paszy z przywozu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S.</w:t>
      </w:r>
      <w:r w:rsidRPr="00DC00A3">
        <w:tab/>
        <w:t xml:space="preserve">mając na uwadze, że jednym z wniosków wyciągniętych z kryzysu związanego z COVID-19 i trwającej wojny w Ukrainie jest potrzeba uniezależnienia się Unii od niektórych materiałów krytycznych; mając na uwadze, że w piśmie określającym zadania kandydata na komisarza Christophe’a Hansena przewodnicząca Komisji </w:t>
      </w:r>
      <w:proofErr w:type="spellStart"/>
      <w:r w:rsidRPr="00DC00A3">
        <w:t>Ursula</w:t>
      </w:r>
      <w:proofErr w:type="spellEnd"/>
      <w:r w:rsidRPr="00DC00A3">
        <w:t xml:space="preserve"> von der </w:t>
      </w:r>
      <w:proofErr w:type="spellStart"/>
      <w:r w:rsidRPr="00DC00A3">
        <w:t>Leyen</w:t>
      </w:r>
      <w:proofErr w:type="spellEnd"/>
      <w:r w:rsidRPr="00DC00A3">
        <w:t xml:space="preserve"> zwraca się do niego, by przeanalizował sposoby ograniczenia przywozu kluczowych towarów</w:t>
      </w:r>
      <w:r w:rsidRPr="00DC00A3">
        <w:rPr>
          <w:rStyle w:val="FootnoteReference"/>
        </w:rPr>
        <w:footnoteReference w:id="17"/>
      </w:r>
      <w:r w:rsidRPr="00DC00A3">
        <w:t xml:space="preserve">; </w:t>
      </w:r>
    </w:p>
    <w:p w:rsidR="00DF79C6" w:rsidRPr="00DC00A3" w:rsidRDefault="00DF79C6" w:rsidP="00DF79C6">
      <w:pPr>
        <w:pStyle w:val="NormalHanging12a"/>
        <w:rPr>
          <w:b/>
          <w:i/>
        </w:rPr>
      </w:pPr>
      <w:r w:rsidRPr="00DC00A3">
        <w:rPr>
          <w:b/>
          <w:i/>
        </w:rPr>
        <w:t>Niedemokratyczny proces podejmowania decyzji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T.</w:t>
      </w:r>
      <w:r w:rsidRPr="00DC00A3">
        <w:tab/>
        <w:t>mając na uwadze, że w ósmej kadencji Parlament przyjął łącznie 36 rezolucji, w których sprzeciwił się wprowadzeniu do obrotu GMO do zastosowania w żywności i paszy (33 rezolucje) oraz uprawie GMO w Unii (trzy rezolucje); mając na uwadze, że w dziewiątej kadencji Parlament przyjął 38 sprzeciwów wobec wprowadzania GMO do obrotu;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U.</w:t>
      </w:r>
      <w:r w:rsidRPr="00DC00A3">
        <w:tab/>
        <w:t>mając na uwadze, że Komisja nadal wydaje zezwolenia na GMO, mimo że sama stwierdziła niedemokratyczność tego procesu, a także mimo braku poparcia ze strony państw członkowskich i mimo sprzeciwów Parlamentu;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V.</w:t>
      </w:r>
      <w:r w:rsidRPr="00DC00A3">
        <w:tab/>
        <w:t>mając na uwadze, że żadna zmiana w prawie nie jest konieczna, by Komisja mogła nie zatwierdzić GMO, jeżeli w komitecie odwoławczym kwalifikowana większość państw członkowskich nie opowie się za zatwierdzeniem</w:t>
      </w:r>
      <w:r w:rsidRPr="00DC00A3">
        <w:rPr>
          <w:rStyle w:val="FootnoteReference"/>
        </w:rPr>
        <w:footnoteReference w:id="18"/>
      </w:r>
      <w:r w:rsidRPr="00DC00A3">
        <w:t>;</w:t>
      </w:r>
    </w:p>
    <w:p w:rsidR="00DF79C6" w:rsidRPr="00DC00A3" w:rsidRDefault="00DF79C6" w:rsidP="00DF79C6">
      <w:pPr>
        <w:pStyle w:val="NormalHanging12a"/>
        <w:ind w:left="709" w:hanging="709"/>
      </w:pPr>
      <w:r w:rsidRPr="00DC00A3">
        <w:t>W.</w:t>
      </w:r>
      <w:r w:rsidRPr="00DC00A3">
        <w:tab/>
      </w:r>
      <w:r w:rsidRPr="00DC00A3">
        <w:rPr>
          <w:shd w:val="clear" w:color="auto" w:fill="FFFFFF"/>
        </w:rPr>
        <w:t>mając na uwadze, że 8 lipca 2024 r. Stały Komitet ds. Roślin, Zwierząt, Żywności i Pasz, o którym mowa w art. 35 rozporządzenia (WE) nr 1829/2003, nie wydał opinii w głosowaniu, co oznacza, że zatwierdzenia nie poparła kwalifikowana większość państw członkowskich; mając na uwadze, że w wyniku głosowania 3 września 2024 r. komitet odwoławczy po raz kolejny nie wydał opinii;</w:t>
      </w:r>
    </w:p>
    <w:p w:rsidR="00DF79C6" w:rsidRPr="00DC00A3" w:rsidRDefault="005826F7" w:rsidP="00DF79C6">
      <w:pPr>
        <w:pStyle w:val="NormalHanging12a"/>
        <w:ind w:left="709" w:hanging="709"/>
      </w:pPr>
      <w:r>
        <w:t>1.</w:t>
      </w:r>
      <w:r>
        <w:tab/>
        <w:t>uważa, że decyzja wykonawcza</w:t>
      </w:r>
      <w:r w:rsidR="00DF79C6" w:rsidRPr="00DC00A3">
        <w:t xml:space="preserve"> Komisji </w:t>
      </w:r>
      <w:r>
        <w:t xml:space="preserve">(UE) 2024/2629 </w:t>
      </w:r>
      <w:r w:rsidR="00DF79C6" w:rsidRPr="00DC00A3">
        <w:t>przekracza uprawnienia wykonawcze przewidziane w rozporządzeniu (WE) nr 1829/2003;</w:t>
      </w:r>
    </w:p>
    <w:p w:rsidR="00DF79C6" w:rsidRDefault="00DF79C6" w:rsidP="00DF79C6">
      <w:pPr>
        <w:pStyle w:val="NormalHanging12a"/>
        <w:ind w:left="709" w:hanging="709"/>
      </w:pPr>
      <w:r w:rsidRPr="00DC00A3">
        <w:t>2.</w:t>
      </w:r>
      <w:r w:rsidRPr="00DC00A3">
        <w:tab/>
        <w:t xml:space="preserve">uważa, że </w:t>
      </w:r>
      <w:r w:rsidR="005826F7">
        <w:t>decyzja wykonawcza</w:t>
      </w:r>
      <w:r w:rsidR="005826F7" w:rsidRPr="00DC00A3">
        <w:t xml:space="preserve"> Komisji </w:t>
      </w:r>
      <w:r w:rsidR="005826F7">
        <w:t>(UE) 2024/2629 jest niespójna</w:t>
      </w:r>
      <w:r w:rsidRPr="00DC00A3">
        <w:t xml:space="preserve"> z prawem Unii, gdyż nie odpowiada celowi rozporządzenia (WE) nr 1829/2003 zakładającemu – zgodnie z zasadami ogólnymi określonymi w rozporządzeniu Parlamentu Europejskiego i Rady (WE) nr 178/2002</w:t>
      </w:r>
      <w:r w:rsidRPr="00DC00A3">
        <w:rPr>
          <w:rStyle w:val="FootnoteReference"/>
        </w:rPr>
        <w:footnoteReference w:id="19"/>
      </w:r>
      <w:r w:rsidRPr="00DC00A3">
        <w:t> – stworzenie podstawy do zapewnienia wysokiego poziomu ochrony życia i zdrowia ludzkiego, zdrowia i dobrostanu zwierząt, środowiska naturalnego oraz interesów konsumentów w związku z genetycznie zmodyfikowaną żywnością i paszą, przy jednoczesnym zagwarantowaniu skutecznego funkcjonowania rynku wewnętrznego;</w:t>
      </w:r>
    </w:p>
    <w:p w:rsidR="00BF42ED" w:rsidRPr="00BF42ED" w:rsidRDefault="00143DDA" w:rsidP="00DF79C6">
      <w:pPr>
        <w:pStyle w:val="NormalHanging12a"/>
        <w:ind w:left="709" w:hanging="709"/>
      </w:pPr>
      <w:r>
        <w:t>3</w:t>
      </w:r>
      <w:r w:rsidR="00BF42ED" w:rsidRPr="00621A01">
        <w:t>.</w:t>
      </w:r>
      <w:r w:rsidR="00BF42ED" w:rsidRPr="00621A01">
        <w:tab/>
        <w:t>wzywa Komisję do zapewnienia zbieżności norm między Unią a jej partnerami w negocjacjach dotyczących umów o wolnym handlu w celu spełnienia unijnych norm bezpieczeństwa;</w:t>
      </w:r>
    </w:p>
    <w:p w:rsidR="00DF79C6" w:rsidRPr="00DC00A3" w:rsidRDefault="00143DDA" w:rsidP="00DF79C6">
      <w:pPr>
        <w:pStyle w:val="NormalHanging12a"/>
        <w:ind w:left="709" w:hanging="709"/>
      </w:pPr>
      <w:r>
        <w:t>4</w:t>
      </w:r>
      <w:r w:rsidR="00DF79C6" w:rsidRPr="00DC00A3">
        <w:t>.</w:t>
      </w:r>
      <w:r w:rsidR="00DF79C6" w:rsidRPr="00DC00A3">
        <w:tab/>
        <w:t>wzy</w:t>
      </w:r>
      <w:r w:rsidR="005826F7">
        <w:t>wa Komisję do uchylenia</w:t>
      </w:r>
      <w:r w:rsidR="00DF79C6" w:rsidRPr="00DC00A3">
        <w:t xml:space="preserve"> decyzji wykonawczej</w:t>
      </w:r>
      <w:r w:rsidR="005826F7">
        <w:t xml:space="preserve"> (UE) 2024/2629</w:t>
      </w:r>
      <w:r w:rsidR="00DF79C6" w:rsidRPr="00DC00A3">
        <w:t xml:space="preserve"> oraz do przedłożenia komitetowi nowego projektu;</w:t>
      </w:r>
    </w:p>
    <w:p w:rsidR="00DF79C6" w:rsidRPr="00DC00A3" w:rsidRDefault="00143DDA" w:rsidP="00DF79C6">
      <w:pPr>
        <w:pStyle w:val="NormalHanging12a"/>
        <w:ind w:left="709" w:hanging="709"/>
      </w:pPr>
      <w:r>
        <w:t>5</w:t>
      </w:r>
      <w:r w:rsidR="00DF79C6" w:rsidRPr="00DC00A3">
        <w:t>.</w:t>
      </w:r>
      <w:r w:rsidR="00DF79C6" w:rsidRPr="00DC00A3">
        <w:tab/>
        <w:t>apeluje do Komisji, aby nie zezwalała na uprawę zmodyfikowanych genetycznie roślin tolerujących herbicydy ze względu na związane z tym intensywniejsze stosowanie herbicydów uzupełniających, a tym samym większe ryzyko dla różnorodności biologicznej, bezpieczeństwa żywności i zdrowia pracowników;</w:t>
      </w:r>
    </w:p>
    <w:p w:rsidR="00DF79C6" w:rsidRPr="00DC00A3" w:rsidRDefault="00143DDA" w:rsidP="00DF79C6">
      <w:pPr>
        <w:pStyle w:val="NormalHanging12a"/>
        <w:ind w:left="709" w:hanging="709"/>
      </w:pPr>
      <w:r>
        <w:t>6</w:t>
      </w:r>
      <w:r w:rsidR="00DF79C6" w:rsidRPr="00DC00A3">
        <w:t>.</w:t>
      </w:r>
      <w:r w:rsidR="00DF79C6" w:rsidRPr="00DC00A3">
        <w:tab/>
        <w:t xml:space="preserve">podkreśla w związku z tym, że zezwalanie na import jako żywności lub paszy jakichkolwiek roślin zmodyfikowanych genetycznie, którym nadano tolerancję na herbicydy zakazane w Unii, takie jak </w:t>
      </w:r>
      <w:proofErr w:type="spellStart"/>
      <w:r w:rsidR="00DF79C6" w:rsidRPr="00DC00A3">
        <w:t>glufosynat</w:t>
      </w:r>
      <w:proofErr w:type="spellEnd"/>
      <w:r w:rsidR="00DF79C6" w:rsidRPr="00DC00A3">
        <w:t>, jest niezgodne z międzynarodowymi zobowiązaniami Unii wynikającymi m.in. z celów zrównoważonego rozwoju ONZ i Konwencji ONZ o różnorodności biologicznej, w tym z niedawno przyjętymi globalnymi ramami różnorodności biologicznej z Kunmingu/Montrealu</w:t>
      </w:r>
      <w:r w:rsidR="00DF79C6" w:rsidRPr="00DC00A3">
        <w:rPr>
          <w:rStyle w:val="FootnoteReference"/>
        </w:rPr>
        <w:footnoteReference w:id="20"/>
      </w:r>
      <w:r w:rsidR="00DF79C6" w:rsidRPr="00DC00A3">
        <w:t>;</w:t>
      </w:r>
    </w:p>
    <w:p w:rsidR="00DF79C6" w:rsidRPr="00DC00A3" w:rsidRDefault="00143DDA" w:rsidP="00DF79C6">
      <w:pPr>
        <w:pStyle w:val="NormalHanging12a"/>
        <w:ind w:left="709" w:hanging="709"/>
      </w:pPr>
      <w:r>
        <w:t>7</w:t>
      </w:r>
      <w:r w:rsidR="00DF79C6" w:rsidRPr="00DC00A3">
        <w:t>.</w:t>
      </w:r>
      <w:r w:rsidR="00DF79C6" w:rsidRPr="00DC00A3">
        <w:tab/>
        <w:t>oczekuje, że Komisja – w trybie pilnym – wywiąże się ze swojego zobowiązania do przedstawienia wniosku, który zagwarantuje, że niebezpieczne chemikalia zakazane w Unii nie będą produkowane na eksport;</w:t>
      </w:r>
    </w:p>
    <w:p w:rsidR="00DF79C6" w:rsidRPr="00DC00A3" w:rsidRDefault="00143DDA" w:rsidP="00DF79C6">
      <w:pPr>
        <w:pStyle w:val="NormalHanging12a"/>
        <w:ind w:left="709" w:hanging="709"/>
      </w:pPr>
      <w:r>
        <w:t>8</w:t>
      </w:r>
      <w:r w:rsidR="00DF79C6" w:rsidRPr="00DC00A3">
        <w:t>.</w:t>
      </w:r>
      <w:r w:rsidR="00DF79C6" w:rsidRPr="00DC00A3">
        <w:tab/>
        <w:t>wyraża zadowolenie, że w skierowanym do posłów piśmie z 11 września 2020 r. Komisja w końcu przyznała, że przy podejmowaniu decyzji o zezwoleniu na wprowadzenie GMO</w:t>
      </w:r>
      <w:r w:rsidR="00DF79C6" w:rsidRPr="00DC00A3">
        <w:rPr>
          <w:rStyle w:val="FootnoteReference"/>
        </w:rPr>
        <w:footnoteReference w:id="21"/>
      </w:r>
      <w:r w:rsidR="00DF79C6" w:rsidRPr="00DC00A3">
        <w:t xml:space="preserve"> należy uwzględniać zasady zrównoważonego rozwoju; wyraża jednak głębokie rozczarowanie faktem, że po tej dacie Komisja wciąż zezwalała na przywóz GMO do Unii mimo sprzeciwu Parlamentu i braku kwalifikowanej większości państw członkowskich opowiadających się za zatwierdzeniem;</w:t>
      </w:r>
    </w:p>
    <w:p w:rsidR="00DF79C6" w:rsidRPr="00DC00A3" w:rsidRDefault="00143DDA" w:rsidP="00DF79C6">
      <w:pPr>
        <w:pStyle w:val="NormalHanging12a"/>
        <w:ind w:left="709" w:hanging="709"/>
      </w:pPr>
      <w:r>
        <w:t>9</w:t>
      </w:r>
      <w:r w:rsidR="00DF79C6" w:rsidRPr="00DC00A3">
        <w:t>.</w:t>
      </w:r>
      <w:r w:rsidR="00DF79C6" w:rsidRPr="00DC00A3">
        <w:tab/>
        <w:t>ponownie apeluje do Komisji o uwzględnianie zobowiązań Unii wynikających z umów międzynarodowych, takich jak paryskie porozumienie klimatyczne, Konwencja ONZ o różnorodności biologicznej i cele zrównoważonego rozwoju ONZ; ponawia apel o to, by projektom aktów wykonawczych towarzyszyło uzasadnienie wyjaśniające, w jaki sposób zapewnia się w nich przestrzeganie zasady „nie szkodzić”</w:t>
      </w:r>
      <w:r w:rsidR="00DF79C6" w:rsidRPr="00DC00A3">
        <w:rPr>
          <w:rStyle w:val="FootnoteReference"/>
        </w:rPr>
        <w:footnoteReference w:id="22"/>
      </w:r>
      <w:r w:rsidR="00DF79C6" w:rsidRPr="00DC00A3">
        <w:t xml:space="preserve">; </w:t>
      </w:r>
    </w:p>
    <w:p w:rsidR="00DC00A3" w:rsidRPr="00DC00A3" w:rsidRDefault="00143DDA" w:rsidP="00DC00A3">
      <w:pPr>
        <w:pStyle w:val="NormalHanging12a"/>
        <w:ind w:left="709" w:hanging="709"/>
      </w:pPr>
      <w:r>
        <w:t>10</w:t>
      </w:r>
      <w:r w:rsidR="00DF79C6" w:rsidRPr="00DC00A3">
        <w:t>.</w:t>
      </w:r>
      <w:r w:rsidR="00DF79C6" w:rsidRPr="00DC00A3">
        <w:tab/>
        <w:t>zobowiązuje swoją przewodniczącą do przekazania niniejszej rezolucji Radzie i Komisji oraz rządom i parlamentom państw członkowskich.</w:t>
      </w:r>
    </w:p>
    <w:p w:rsidR="00E365E1" w:rsidRPr="00DC00A3" w:rsidRDefault="00E365E1" w:rsidP="00C259F5"/>
    <w:sectPr w:rsidR="00E365E1" w:rsidRPr="00DC00A3" w:rsidSect="00DC00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9F5" w:rsidRPr="00DC00A3" w:rsidRDefault="00C259F5">
      <w:r w:rsidRPr="00DC00A3">
        <w:separator/>
      </w:r>
    </w:p>
  </w:endnote>
  <w:endnote w:type="continuationSeparator" w:id="0">
    <w:p w:rsidR="00C259F5" w:rsidRPr="00DC00A3" w:rsidRDefault="00C259F5">
      <w:r w:rsidRPr="00DC00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00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00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00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9F5" w:rsidRPr="00DC00A3" w:rsidRDefault="00C259F5">
      <w:r w:rsidRPr="00DC00A3">
        <w:separator/>
      </w:r>
    </w:p>
  </w:footnote>
  <w:footnote w:type="continuationSeparator" w:id="0">
    <w:p w:rsidR="00C259F5" w:rsidRPr="00DC00A3" w:rsidRDefault="00C259F5">
      <w:r w:rsidRPr="00DC00A3">
        <w:continuationSeparator/>
      </w:r>
    </w:p>
  </w:footnote>
  <w:footnote w:id="1">
    <w:p w:rsidR="005826F7" w:rsidRPr="00D12689" w:rsidRDefault="005826F7" w:rsidP="005826F7">
      <w:pPr>
        <w:pStyle w:val="FootnoteText"/>
        <w:ind w:left="567" w:hanging="567"/>
        <w:rPr>
          <w:sz w:val="24"/>
          <w:szCs w:val="24"/>
          <w:lang w:val="fi-FI"/>
        </w:rPr>
      </w:pPr>
      <w:r w:rsidRPr="005826F7">
        <w:rPr>
          <w:rStyle w:val="FootnoteReference"/>
        </w:rPr>
        <w:footnoteRef/>
      </w:r>
      <w:r w:rsidRPr="005826F7">
        <w:rPr>
          <w:lang w:val="fi-FI"/>
        </w:rPr>
        <w:t xml:space="preserve"> </w:t>
      </w:r>
      <w:r w:rsidRPr="005826F7">
        <w:rPr>
          <w:lang w:val="fi-FI"/>
        </w:rPr>
        <w:tab/>
      </w:r>
      <w:proofErr w:type="spellStart"/>
      <w:r>
        <w:rPr>
          <w:sz w:val="24"/>
          <w:szCs w:val="24"/>
          <w:lang w:val="fi-FI"/>
        </w:rPr>
        <w:t>Dz.U</w:t>
      </w:r>
      <w:proofErr w:type="spellEnd"/>
      <w:r>
        <w:rPr>
          <w:sz w:val="24"/>
          <w:szCs w:val="24"/>
          <w:lang w:val="fi-FI"/>
        </w:rPr>
        <w:t>.</w:t>
      </w:r>
      <w:r w:rsidRPr="005826F7">
        <w:rPr>
          <w:sz w:val="24"/>
          <w:szCs w:val="24"/>
          <w:lang w:val="fi-FI"/>
        </w:rPr>
        <w:t xml:space="preserve"> L, 2024/2629, 10.10.2024, ELI: </w:t>
      </w:r>
      <w:hyperlink r:id="rId1" w:history="1">
        <w:r w:rsidRPr="00287FD5">
          <w:rPr>
            <w:rStyle w:val="Hyperlink"/>
            <w:sz w:val="24"/>
            <w:szCs w:val="24"/>
            <w:lang w:val="fi-FI"/>
          </w:rPr>
          <w:t>http://data.europa.eu/eli/dec_impl/2024/2629/oj</w:t>
        </w:r>
      </w:hyperlink>
      <w:r w:rsidRPr="005826F7">
        <w:rPr>
          <w:sz w:val="24"/>
          <w:szCs w:val="24"/>
          <w:lang w:val="fi-FI"/>
        </w:rPr>
        <w:t>.</w:t>
      </w:r>
    </w:p>
  </w:footnote>
  <w:footnote w:id="2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szCs w:val="22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 xml:space="preserve">Dz.U. L 268 z 18.10.2003, s. 1, ELI: </w:t>
      </w:r>
      <w:hyperlink r:id="rId2" w:tooltip="Dostęp do dokumentu przez ELI URI." w:history="1">
        <w:r w:rsidRPr="00DC00A3">
          <w:rPr>
            <w:rStyle w:val="Hyperlink"/>
            <w:color w:val="337AB7"/>
            <w:sz w:val="24"/>
            <w:shd w:val="clear" w:color="auto" w:fill="FFFFFF"/>
            <w:lang w:val="pl-PL"/>
          </w:rPr>
          <w:t>http://data.europa.eu/eli/reg/2003/1829/oj</w:t>
        </w:r>
      </w:hyperlink>
      <w:r w:rsidRPr="00DC00A3">
        <w:rPr>
          <w:sz w:val="24"/>
          <w:lang w:val="pl-PL"/>
        </w:rPr>
        <w:t xml:space="preserve">. </w:t>
      </w:r>
    </w:p>
  </w:footnote>
  <w:footnote w:id="3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 xml:space="preserve">Dz.U. L 55 z 28.2.2011, s. 13, ELI: </w:t>
      </w:r>
      <w:hyperlink r:id="rId3" w:tooltip="Dostęp do dokumentu przez ELI URI." w:history="1">
        <w:r w:rsidRPr="00DC00A3">
          <w:rPr>
            <w:rStyle w:val="Hyperlink"/>
            <w:color w:val="337AB7"/>
            <w:sz w:val="24"/>
            <w:shd w:val="clear" w:color="auto" w:fill="FFFFFF"/>
            <w:lang w:val="pl-PL"/>
          </w:rPr>
          <w:t>http://data.europa.eu/eli/reg/2011/182/oj</w:t>
        </w:r>
      </w:hyperlink>
      <w:r w:rsidRPr="00DC00A3">
        <w:rPr>
          <w:sz w:val="24"/>
          <w:lang w:val="pl-PL"/>
        </w:rPr>
        <w:t>.</w:t>
      </w:r>
    </w:p>
  </w:footnote>
  <w:footnote w:id="4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 xml:space="preserve">Opinia naukowa panelu EFSA ds. organizmów modyfikowanych genetycznie dotycząca oceny genetycznie zmodyfikowanej kukurydzy MON 89034 × 1507 × MON 88017 × 59122 i 8 z 10 jej </w:t>
      </w:r>
      <w:proofErr w:type="spellStart"/>
      <w:r w:rsidRPr="00DC00A3">
        <w:rPr>
          <w:sz w:val="24"/>
          <w:lang w:val="pl-PL"/>
        </w:rPr>
        <w:t>subkombinacji</w:t>
      </w:r>
      <w:proofErr w:type="spellEnd"/>
      <w:r w:rsidRPr="00DC00A3">
        <w:rPr>
          <w:sz w:val="24"/>
          <w:lang w:val="pl-PL"/>
        </w:rPr>
        <w:t xml:space="preserve"> w celu odnowienia zezwolenia na podstawie rozporządzenia (WE) nr 1829/2003 (dokumentacja GMFF-2022-9170), Dziennik EFSA, 2024;22(4):8715, </w:t>
      </w:r>
      <w:hyperlink r:id="rId4" w:history="1">
        <w:r w:rsidRPr="00DC00A3">
          <w:rPr>
            <w:rStyle w:val="Hyperlink"/>
            <w:sz w:val="24"/>
            <w:lang w:val="pl-PL"/>
          </w:rPr>
          <w:t>https://doi.org/10.2903/j.efsa.2024.8715</w:t>
        </w:r>
      </w:hyperlink>
      <w:r w:rsidRPr="00DC00A3">
        <w:rPr>
          <w:sz w:val="24"/>
          <w:lang w:val="pl-PL"/>
        </w:rPr>
        <w:t>.</w:t>
      </w:r>
    </w:p>
  </w:footnote>
  <w:footnote w:id="5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>W ósmej kadencji Parlament przyjął 36 rezolucji, a w dziewiątej – 38 rezolucji zawierających sprzeciw wobec zatwierdzania GMO.</w:t>
      </w:r>
    </w:p>
  </w:footnote>
  <w:footnote w:id="6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szCs w:val="22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 xml:space="preserve">Rozporządzenie wykonawcze Komisji (UE) nr 503/2013 z dnia 3 kwietnia 2013 r. w sprawie wniosków o zatwierdzenie genetycznie zmodyfikowanej żywności i paszy zgodnie z rozporządzeniem (WE) nr 1829/2003 Parlamentu Europejskiego i Rady oraz zmieniające rozporządzenia Komisji (WE) nr 641/2004 i (WE) nr 1981/2006 (Dz.U. L 157 z 8.6.2013, s. 1, ELI: </w:t>
      </w:r>
      <w:hyperlink r:id="rId5" w:tooltip="Dostęp do dokumentu przez ELI URI." w:history="1">
        <w:r w:rsidRPr="00DC00A3">
          <w:rPr>
            <w:rStyle w:val="Hyperlink"/>
            <w:sz w:val="24"/>
            <w:lang w:val="pl-PL"/>
          </w:rPr>
          <w:t>http://data.europa.eu/eli/reg_impl/2013/503/oj</w:t>
        </w:r>
      </w:hyperlink>
      <w:r w:rsidRPr="00DC00A3">
        <w:rPr>
          <w:sz w:val="24"/>
          <w:lang w:val="pl-PL"/>
        </w:rPr>
        <w:t>).</w:t>
      </w:r>
    </w:p>
  </w:footnote>
  <w:footnote w:id="7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 xml:space="preserve">Zob. na przykład Schulz, R., </w:t>
      </w:r>
      <w:proofErr w:type="spellStart"/>
      <w:r w:rsidRPr="00DC00A3">
        <w:rPr>
          <w:sz w:val="24"/>
          <w:lang w:val="pl-PL"/>
        </w:rPr>
        <w:t>Bub</w:t>
      </w:r>
      <w:proofErr w:type="spellEnd"/>
      <w:r w:rsidRPr="00DC00A3">
        <w:rPr>
          <w:sz w:val="24"/>
          <w:lang w:val="pl-PL"/>
        </w:rPr>
        <w:t xml:space="preserve">, S., </w:t>
      </w:r>
      <w:proofErr w:type="spellStart"/>
      <w:r w:rsidRPr="00DC00A3">
        <w:rPr>
          <w:sz w:val="24"/>
          <w:lang w:val="pl-PL"/>
        </w:rPr>
        <w:t>Petschick</w:t>
      </w:r>
      <w:proofErr w:type="spellEnd"/>
      <w:r w:rsidRPr="00DC00A3">
        <w:rPr>
          <w:sz w:val="24"/>
          <w:lang w:val="pl-PL"/>
        </w:rPr>
        <w:t xml:space="preserve">, L. L., </w:t>
      </w:r>
      <w:proofErr w:type="spellStart"/>
      <w:r w:rsidRPr="00DC00A3">
        <w:rPr>
          <w:sz w:val="24"/>
          <w:lang w:val="pl-PL"/>
        </w:rPr>
        <w:t>Stehle</w:t>
      </w:r>
      <w:proofErr w:type="spellEnd"/>
      <w:r w:rsidRPr="00DC00A3">
        <w:rPr>
          <w:sz w:val="24"/>
          <w:lang w:val="pl-PL"/>
        </w:rPr>
        <w:t xml:space="preserve">, S., Wolfram, J. (2021) „Applied </w:t>
      </w:r>
      <w:proofErr w:type="spellStart"/>
      <w:r w:rsidRPr="00DC00A3">
        <w:rPr>
          <w:sz w:val="24"/>
          <w:lang w:val="pl-PL"/>
        </w:rPr>
        <w:t>pesticide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toxicity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shifts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towards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plants</w:t>
      </w:r>
      <w:proofErr w:type="spellEnd"/>
      <w:r w:rsidRPr="00DC00A3">
        <w:rPr>
          <w:sz w:val="24"/>
          <w:lang w:val="pl-PL"/>
        </w:rPr>
        <w:t xml:space="preserve"> and </w:t>
      </w:r>
      <w:proofErr w:type="spellStart"/>
      <w:r w:rsidRPr="00DC00A3">
        <w:rPr>
          <w:sz w:val="24"/>
          <w:lang w:val="pl-PL"/>
        </w:rPr>
        <w:t>invertebrates</w:t>
      </w:r>
      <w:proofErr w:type="spellEnd"/>
      <w:r w:rsidRPr="00DC00A3">
        <w:rPr>
          <w:sz w:val="24"/>
          <w:lang w:val="pl-PL"/>
        </w:rPr>
        <w:t xml:space="preserve">, </w:t>
      </w:r>
      <w:proofErr w:type="spellStart"/>
      <w:r w:rsidRPr="00DC00A3">
        <w:rPr>
          <w:sz w:val="24"/>
          <w:lang w:val="pl-PL"/>
        </w:rPr>
        <w:t>even</w:t>
      </w:r>
      <w:proofErr w:type="spellEnd"/>
      <w:r w:rsidRPr="00DC00A3">
        <w:rPr>
          <w:sz w:val="24"/>
          <w:lang w:val="pl-PL"/>
        </w:rPr>
        <w:t xml:space="preserve"> in GM </w:t>
      </w:r>
      <w:proofErr w:type="spellStart"/>
      <w:r w:rsidRPr="00DC00A3">
        <w:rPr>
          <w:sz w:val="24"/>
          <w:lang w:val="pl-PL"/>
        </w:rPr>
        <w:t>crops</w:t>
      </w:r>
      <w:proofErr w:type="spellEnd"/>
      <w:r w:rsidRPr="00DC00A3">
        <w:rPr>
          <w:sz w:val="24"/>
          <w:lang w:val="pl-PL"/>
        </w:rPr>
        <w:t xml:space="preserve">” [Toksyczność stosowanych pestycydów przesuwa się na rośliny i bezkręgowce, nawet w uprawach modyfikowanych genetycznie], Science 372(6537), s. 81–84, </w:t>
      </w:r>
      <w:hyperlink r:id="rId6" w:history="1">
        <w:r w:rsidRPr="00DC00A3">
          <w:rPr>
            <w:rStyle w:val="Hyperlink"/>
            <w:sz w:val="24"/>
            <w:lang w:val="pl-PL"/>
          </w:rPr>
          <w:t>https://doi.org/10.1126/science.abe1148</w:t>
        </w:r>
      </w:hyperlink>
      <w:r w:rsidRPr="00DC00A3">
        <w:rPr>
          <w:rStyle w:val="Hyperlink"/>
          <w:sz w:val="24"/>
          <w:lang w:val="pl-PL"/>
        </w:rPr>
        <w:t>;</w:t>
      </w:r>
      <w:r w:rsidRPr="00DC00A3">
        <w:rPr>
          <w:sz w:val="24"/>
          <w:lang w:val="pl-PL"/>
        </w:rPr>
        <w:t xml:space="preserve"> Bonny, S., „</w:t>
      </w:r>
      <w:proofErr w:type="spellStart"/>
      <w:r w:rsidRPr="00DC00A3">
        <w:rPr>
          <w:sz w:val="24"/>
          <w:lang w:val="pl-PL"/>
        </w:rPr>
        <w:t>Genetically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Modified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Herbicide</w:t>
      </w:r>
      <w:proofErr w:type="spellEnd"/>
      <w:r w:rsidRPr="00DC00A3">
        <w:rPr>
          <w:sz w:val="24"/>
          <w:lang w:val="pl-PL"/>
        </w:rPr>
        <w:t xml:space="preserve">-Tolerant </w:t>
      </w:r>
      <w:proofErr w:type="spellStart"/>
      <w:r w:rsidRPr="00DC00A3">
        <w:rPr>
          <w:sz w:val="24"/>
          <w:lang w:val="pl-PL"/>
        </w:rPr>
        <w:t>Crops</w:t>
      </w:r>
      <w:proofErr w:type="spellEnd"/>
      <w:r w:rsidRPr="00DC00A3">
        <w:rPr>
          <w:sz w:val="24"/>
          <w:lang w:val="pl-PL"/>
        </w:rPr>
        <w:t xml:space="preserve">, </w:t>
      </w:r>
      <w:proofErr w:type="spellStart"/>
      <w:r w:rsidRPr="00DC00A3">
        <w:rPr>
          <w:sz w:val="24"/>
          <w:lang w:val="pl-PL"/>
        </w:rPr>
        <w:t>Weeds</w:t>
      </w:r>
      <w:proofErr w:type="spellEnd"/>
      <w:r w:rsidRPr="00DC00A3">
        <w:rPr>
          <w:sz w:val="24"/>
          <w:lang w:val="pl-PL"/>
        </w:rPr>
        <w:t xml:space="preserve">, and </w:t>
      </w:r>
      <w:proofErr w:type="spellStart"/>
      <w:r w:rsidRPr="00DC00A3">
        <w:rPr>
          <w:sz w:val="24"/>
          <w:lang w:val="pl-PL"/>
        </w:rPr>
        <w:t>Herbicides</w:t>
      </w:r>
      <w:proofErr w:type="spellEnd"/>
      <w:r w:rsidRPr="00DC00A3">
        <w:rPr>
          <w:sz w:val="24"/>
          <w:lang w:val="pl-PL"/>
        </w:rPr>
        <w:t xml:space="preserve">: </w:t>
      </w:r>
      <w:proofErr w:type="spellStart"/>
      <w:r w:rsidRPr="00DC00A3">
        <w:rPr>
          <w:sz w:val="24"/>
          <w:lang w:val="pl-PL"/>
        </w:rPr>
        <w:t>Overview</w:t>
      </w:r>
      <w:proofErr w:type="spellEnd"/>
      <w:r w:rsidRPr="00DC00A3">
        <w:rPr>
          <w:sz w:val="24"/>
          <w:lang w:val="pl-PL"/>
        </w:rPr>
        <w:t xml:space="preserve"> and </w:t>
      </w:r>
      <w:proofErr w:type="spellStart"/>
      <w:r w:rsidRPr="00DC00A3">
        <w:rPr>
          <w:sz w:val="24"/>
          <w:lang w:val="pl-PL"/>
        </w:rPr>
        <w:t>Impact</w:t>
      </w:r>
      <w:proofErr w:type="spellEnd"/>
      <w:r w:rsidRPr="00DC00A3">
        <w:rPr>
          <w:sz w:val="24"/>
          <w:lang w:val="pl-PL"/>
        </w:rPr>
        <w:t xml:space="preserve">” [Odporne na herbicydy genetycznie zmodyfikowane rośliny uprawne i chwasty a herbicydy: przegląd i wpływ], </w:t>
      </w:r>
      <w:proofErr w:type="spellStart"/>
      <w:r w:rsidRPr="00DC00A3">
        <w:rPr>
          <w:sz w:val="24"/>
          <w:lang w:val="pl-PL"/>
        </w:rPr>
        <w:t>Environmental</w:t>
      </w:r>
      <w:proofErr w:type="spellEnd"/>
      <w:r w:rsidRPr="00DC00A3">
        <w:rPr>
          <w:sz w:val="24"/>
          <w:lang w:val="pl-PL"/>
        </w:rPr>
        <w:t xml:space="preserve"> Management, styczeń 2016;57(1), s. 31–48, </w:t>
      </w:r>
      <w:hyperlink r:id="rId7" w:history="1">
        <w:r w:rsidRPr="00DC00A3">
          <w:rPr>
            <w:rStyle w:val="Hyperlink"/>
            <w:sz w:val="24"/>
            <w:lang w:val="pl-PL"/>
          </w:rPr>
          <w:t>https://www.ncbi.nlm.nih.gov/pubmed/26296738</w:t>
        </w:r>
      </w:hyperlink>
      <w:r w:rsidRPr="00DC00A3">
        <w:rPr>
          <w:rStyle w:val="Hyperlink"/>
          <w:sz w:val="24"/>
          <w:lang w:val="pl-PL"/>
        </w:rPr>
        <w:t>;</w:t>
      </w:r>
      <w:r w:rsidRPr="00DC00A3">
        <w:rPr>
          <w:sz w:val="24"/>
          <w:lang w:val="pl-PL"/>
        </w:rPr>
        <w:t xml:space="preserve"> oraz </w:t>
      </w:r>
      <w:proofErr w:type="spellStart"/>
      <w:r w:rsidRPr="00DC00A3">
        <w:rPr>
          <w:sz w:val="24"/>
          <w:lang w:val="pl-PL"/>
        </w:rPr>
        <w:t>Benbrook</w:t>
      </w:r>
      <w:proofErr w:type="spellEnd"/>
      <w:r w:rsidRPr="00DC00A3">
        <w:rPr>
          <w:sz w:val="24"/>
          <w:lang w:val="pl-PL"/>
        </w:rPr>
        <w:t>, C.M., „</w:t>
      </w:r>
      <w:proofErr w:type="spellStart"/>
      <w:r w:rsidRPr="00DC00A3">
        <w:rPr>
          <w:sz w:val="24"/>
          <w:lang w:val="pl-PL"/>
        </w:rPr>
        <w:t>Impacts</w:t>
      </w:r>
      <w:proofErr w:type="spellEnd"/>
      <w:r w:rsidRPr="00DC00A3">
        <w:rPr>
          <w:sz w:val="24"/>
          <w:lang w:val="pl-PL"/>
        </w:rPr>
        <w:t xml:space="preserve"> of </w:t>
      </w:r>
      <w:proofErr w:type="spellStart"/>
      <w:r w:rsidRPr="00DC00A3">
        <w:rPr>
          <w:sz w:val="24"/>
          <w:lang w:val="pl-PL"/>
        </w:rPr>
        <w:t>genetically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engineered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crops</w:t>
      </w:r>
      <w:proofErr w:type="spellEnd"/>
      <w:r w:rsidRPr="00DC00A3">
        <w:rPr>
          <w:sz w:val="24"/>
          <w:lang w:val="pl-PL"/>
        </w:rPr>
        <w:t xml:space="preserve"> on </w:t>
      </w:r>
      <w:proofErr w:type="spellStart"/>
      <w:r w:rsidRPr="00DC00A3">
        <w:rPr>
          <w:sz w:val="24"/>
          <w:lang w:val="pl-PL"/>
        </w:rPr>
        <w:t>pesticide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use</w:t>
      </w:r>
      <w:proofErr w:type="spellEnd"/>
      <w:r w:rsidRPr="00DC00A3">
        <w:rPr>
          <w:sz w:val="24"/>
          <w:lang w:val="pl-PL"/>
        </w:rPr>
        <w:t xml:space="preserve"> in the U.S. – the </w:t>
      </w:r>
      <w:proofErr w:type="spellStart"/>
      <w:r w:rsidRPr="00DC00A3">
        <w:rPr>
          <w:sz w:val="24"/>
          <w:lang w:val="pl-PL"/>
        </w:rPr>
        <w:t>first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sixteen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years</w:t>
      </w:r>
      <w:proofErr w:type="spellEnd"/>
      <w:r w:rsidRPr="00DC00A3">
        <w:rPr>
          <w:sz w:val="24"/>
          <w:lang w:val="pl-PL"/>
        </w:rPr>
        <w:t xml:space="preserve">” [Wpływ genetycznie modyfikowanych upraw na stosowanie pestycydów w USA – pierwsze szesnaście lat], </w:t>
      </w:r>
      <w:proofErr w:type="spellStart"/>
      <w:r w:rsidRPr="00DC00A3">
        <w:rPr>
          <w:sz w:val="24"/>
          <w:lang w:val="pl-PL"/>
        </w:rPr>
        <w:t>Environmental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Sciences</w:t>
      </w:r>
      <w:proofErr w:type="spellEnd"/>
      <w:r w:rsidRPr="00DC00A3">
        <w:rPr>
          <w:sz w:val="24"/>
          <w:lang w:val="pl-PL"/>
        </w:rPr>
        <w:t xml:space="preserve"> Europe, 28 września 2012</w:t>
      </w:r>
      <w:r w:rsidR="00D425D0">
        <w:rPr>
          <w:sz w:val="24"/>
          <w:lang w:val="pl-PL"/>
        </w:rPr>
        <w:t xml:space="preserve"> r.</w:t>
      </w:r>
      <w:bookmarkStart w:id="6" w:name="_GoBack"/>
      <w:bookmarkEnd w:id="6"/>
      <w:r w:rsidRPr="00DC00A3">
        <w:rPr>
          <w:sz w:val="24"/>
          <w:lang w:val="pl-PL"/>
        </w:rPr>
        <w:t xml:space="preserve">, tom 24(1), </w:t>
      </w:r>
      <w:hyperlink r:id="rId8" w:history="1">
        <w:r w:rsidRPr="00DC00A3">
          <w:rPr>
            <w:rStyle w:val="Hyperlink"/>
            <w:sz w:val="24"/>
            <w:lang w:val="pl-PL"/>
          </w:rPr>
          <w:t>https://enveurope.springeropen.com/articles/10.1186/2190-4715-24-24</w:t>
        </w:r>
      </w:hyperlink>
      <w:r w:rsidRPr="00DC00A3">
        <w:rPr>
          <w:rStyle w:val="Hyperlink"/>
          <w:sz w:val="24"/>
          <w:lang w:val="pl-PL"/>
        </w:rPr>
        <w:t>.</w:t>
      </w:r>
    </w:p>
  </w:footnote>
  <w:footnote w:id="8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szCs w:val="22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 xml:space="preserve">Rozporządzenie Parlamentu Europejskiego i Rady (WE) nr 1107/2009 z dnia 21 października 2009 r. dotyczące wprowadzania do obrotu środków ochrony roślin i uchylające dyrektywy Rady 79/117/EWG i 91/414/EWG (Dz.U. L 309 z 24.11.2009, s. 1, ELI: </w:t>
      </w:r>
      <w:hyperlink r:id="rId9" w:tooltip="Dostęp do dokumentu przez ELI URI." w:history="1">
        <w:r w:rsidRPr="00DC00A3">
          <w:rPr>
            <w:rStyle w:val="Hyperlink"/>
            <w:sz w:val="24"/>
            <w:lang w:val="pl-PL"/>
          </w:rPr>
          <w:t>http://data.europa.eu/eli/reg/2009/1107/oj</w:t>
        </w:r>
      </w:hyperlink>
      <w:r w:rsidRPr="00DC00A3">
        <w:rPr>
          <w:sz w:val="24"/>
          <w:lang w:val="pl-PL"/>
        </w:rPr>
        <w:t>).</w:t>
      </w:r>
    </w:p>
  </w:footnote>
  <w:footnote w:id="9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 xml:space="preserve">Zob. np. </w:t>
      </w:r>
      <w:hyperlink r:id="rId10" w:history="1">
        <w:r w:rsidRPr="00DC00A3">
          <w:rPr>
            <w:rStyle w:val="Hyperlink"/>
            <w:sz w:val="24"/>
            <w:lang w:val="pl-PL"/>
          </w:rPr>
          <w:t>https://www.sciencedirect.com/science/article/pii/S1383574218300887</w:t>
        </w:r>
      </w:hyperlink>
      <w:r w:rsidRPr="00DC00A3">
        <w:rPr>
          <w:sz w:val="24"/>
          <w:lang w:val="pl-PL"/>
        </w:rPr>
        <w:t xml:space="preserve">, </w:t>
      </w:r>
      <w:hyperlink r:id="rId11" w:history="1">
        <w:r w:rsidRPr="00DC00A3">
          <w:rPr>
            <w:rStyle w:val="Hyperlink"/>
            <w:sz w:val="24"/>
            <w:lang w:val="pl-PL"/>
          </w:rPr>
          <w:t>https://academic.oup.com/ije/advance-article/doi/10.1093/ije/dyz017/5382278</w:t>
        </w:r>
      </w:hyperlink>
      <w:r w:rsidRPr="00DC00A3">
        <w:rPr>
          <w:sz w:val="24"/>
          <w:lang w:val="pl-PL"/>
        </w:rPr>
        <w:t xml:space="preserve">, </w:t>
      </w:r>
      <w:hyperlink r:id="rId12" w:history="1">
        <w:r w:rsidRPr="00DC00A3">
          <w:rPr>
            <w:rStyle w:val="Hyperlink"/>
            <w:sz w:val="24"/>
            <w:lang w:val="pl-PL"/>
          </w:rPr>
          <w:t>https://journals.plos.org/plosone/article?id=10.1371/journal.pone.0219610</w:t>
        </w:r>
      </w:hyperlink>
      <w:r w:rsidRPr="00DC00A3">
        <w:rPr>
          <w:sz w:val="24"/>
          <w:lang w:val="pl-PL"/>
        </w:rPr>
        <w:t xml:space="preserve">, and </w:t>
      </w:r>
      <w:hyperlink r:id="rId13" w:history="1">
        <w:r w:rsidRPr="00DC00A3">
          <w:rPr>
            <w:rStyle w:val="Hyperlink"/>
            <w:sz w:val="24"/>
            <w:lang w:val="pl-PL"/>
          </w:rPr>
          <w:t>https://www.ncbi.nlm.nih.gov/pmc/articles/PMC6612199/</w:t>
        </w:r>
      </w:hyperlink>
      <w:r w:rsidRPr="00DC00A3">
        <w:rPr>
          <w:rStyle w:val="Hyperlink"/>
          <w:sz w:val="24"/>
          <w:lang w:val="pl-PL"/>
        </w:rPr>
        <w:t>.</w:t>
      </w:r>
    </w:p>
  </w:footnote>
  <w:footnote w:id="10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 xml:space="preserve">Zob. </w:t>
      </w:r>
      <w:proofErr w:type="spellStart"/>
      <w:r w:rsidRPr="00DC00A3">
        <w:rPr>
          <w:sz w:val="24"/>
          <w:lang w:val="pl-PL"/>
        </w:rPr>
        <w:t>Rubio-Infante</w:t>
      </w:r>
      <w:proofErr w:type="spellEnd"/>
      <w:r w:rsidRPr="00DC00A3">
        <w:rPr>
          <w:sz w:val="24"/>
          <w:lang w:val="pl-PL"/>
        </w:rPr>
        <w:t xml:space="preserve"> N., Moreno-</w:t>
      </w:r>
      <w:proofErr w:type="spellStart"/>
      <w:r w:rsidRPr="00DC00A3">
        <w:rPr>
          <w:sz w:val="24"/>
          <w:lang w:val="pl-PL"/>
        </w:rPr>
        <w:t>Fierros</w:t>
      </w:r>
      <w:proofErr w:type="spellEnd"/>
      <w:r w:rsidRPr="00DC00A3">
        <w:rPr>
          <w:sz w:val="24"/>
          <w:lang w:val="pl-PL"/>
        </w:rPr>
        <w:t xml:space="preserve"> L., „</w:t>
      </w:r>
      <w:proofErr w:type="spellStart"/>
      <w:r w:rsidRPr="00DC00A3">
        <w:rPr>
          <w:sz w:val="24"/>
          <w:lang w:val="pl-PL"/>
        </w:rPr>
        <w:t>An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overview</w:t>
      </w:r>
      <w:proofErr w:type="spellEnd"/>
      <w:r w:rsidRPr="00DC00A3">
        <w:rPr>
          <w:sz w:val="24"/>
          <w:lang w:val="pl-PL"/>
        </w:rPr>
        <w:t xml:space="preserve"> of the </w:t>
      </w:r>
      <w:proofErr w:type="spellStart"/>
      <w:r w:rsidRPr="00DC00A3">
        <w:rPr>
          <w:sz w:val="24"/>
          <w:lang w:val="pl-PL"/>
        </w:rPr>
        <w:t>safety</w:t>
      </w:r>
      <w:proofErr w:type="spellEnd"/>
      <w:r w:rsidRPr="00DC00A3">
        <w:rPr>
          <w:sz w:val="24"/>
          <w:lang w:val="pl-PL"/>
        </w:rPr>
        <w:t xml:space="preserve"> and </w:t>
      </w:r>
      <w:proofErr w:type="spellStart"/>
      <w:r w:rsidRPr="00DC00A3">
        <w:rPr>
          <w:sz w:val="24"/>
          <w:lang w:val="pl-PL"/>
        </w:rPr>
        <w:t>biological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effects</w:t>
      </w:r>
      <w:proofErr w:type="spellEnd"/>
      <w:r w:rsidRPr="00DC00A3">
        <w:rPr>
          <w:sz w:val="24"/>
          <w:lang w:val="pl-PL"/>
        </w:rPr>
        <w:t xml:space="preserve"> of </w:t>
      </w:r>
      <w:proofErr w:type="spellStart"/>
      <w:r w:rsidRPr="00DC00A3">
        <w:rPr>
          <w:i/>
          <w:iCs/>
          <w:sz w:val="24"/>
          <w:lang w:val="pl-PL"/>
        </w:rPr>
        <w:t>Bacillus</w:t>
      </w:r>
      <w:proofErr w:type="spellEnd"/>
      <w:r w:rsidRPr="00DC00A3">
        <w:rPr>
          <w:i/>
          <w:iCs/>
          <w:sz w:val="24"/>
          <w:lang w:val="pl-PL"/>
        </w:rPr>
        <w:t xml:space="preserve"> </w:t>
      </w:r>
      <w:proofErr w:type="spellStart"/>
      <w:r w:rsidRPr="00DC00A3">
        <w:rPr>
          <w:i/>
          <w:iCs/>
          <w:sz w:val="24"/>
          <w:lang w:val="pl-PL"/>
        </w:rPr>
        <w:t>thuringiensis</w:t>
      </w:r>
      <w:proofErr w:type="spellEnd"/>
      <w:r w:rsidRPr="00DC00A3">
        <w:rPr>
          <w:sz w:val="24"/>
          <w:lang w:val="pl-PL"/>
        </w:rPr>
        <w:t> </w:t>
      </w:r>
      <w:proofErr w:type="spellStart"/>
      <w:r w:rsidRPr="00DC00A3">
        <w:rPr>
          <w:sz w:val="24"/>
          <w:lang w:val="pl-PL"/>
        </w:rPr>
        <w:t>Cry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toxins</w:t>
      </w:r>
      <w:proofErr w:type="spellEnd"/>
      <w:r w:rsidRPr="00DC00A3">
        <w:rPr>
          <w:sz w:val="24"/>
          <w:lang w:val="pl-PL"/>
        </w:rPr>
        <w:t xml:space="preserve"> in </w:t>
      </w:r>
      <w:proofErr w:type="spellStart"/>
      <w:r w:rsidRPr="00DC00A3">
        <w:rPr>
          <w:sz w:val="24"/>
          <w:lang w:val="pl-PL"/>
        </w:rPr>
        <w:t>mammals</w:t>
      </w:r>
      <w:proofErr w:type="spellEnd"/>
      <w:r w:rsidRPr="00DC00A3">
        <w:rPr>
          <w:sz w:val="24"/>
          <w:lang w:val="pl-PL"/>
        </w:rPr>
        <w:t xml:space="preserve">” [Przegląd bezpieczeństwa i skutków biologicznych toksyn </w:t>
      </w:r>
      <w:proofErr w:type="spellStart"/>
      <w:r w:rsidRPr="00DC00A3">
        <w:rPr>
          <w:sz w:val="24"/>
          <w:lang w:val="pl-PL"/>
        </w:rPr>
        <w:t>Cry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Bacillus</w:t>
      </w:r>
      <w:proofErr w:type="spellEnd"/>
      <w:r w:rsidRPr="00DC00A3">
        <w:rPr>
          <w:sz w:val="24"/>
          <w:lang w:val="pl-PL"/>
        </w:rPr>
        <w:t xml:space="preserve"> </w:t>
      </w:r>
      <w:proofErr w:type="spellStart"/>
      <w:r w:rsidRPr="00DC00A3">
        <w:rPr>
          <w:sz w:val="24"/>
          <w:lang w:val="pl-PL"/>
        </w:rPr>
        <w:t>thuringiensis</w:t>
      </w:r>
      <w:proofErr w:type="spellEnd"/>
      <w:r w:rsidRPr="00DC00A3">
        <w:rPr>
          <w:sz w:val="24"/>
          <w:lang w:val="pl-PL"/>
        </w:rPr>
        <w:t xml:space="preserve"> u ssaków], </w:t>
      </w:r>
      <w:proofErr w:type="spellStart"/>
      <w:r w:rsidRPr="00DC00A3">
        <w:rPr>
          <w:sz w:val="24"/>
          <w:lang w:val="pl-PL"/>
        </w:rPr>
        <w:t>Journal</w:t>
      </w:r>
      <w:proofErr w:type="spellEnd"/>
      <w:r w:rsidRPr="00DC00A3">
        <w:rPr>
          <w:sz w:val="24"/>
          <w:lang w:val="pl-PL"/>
        </w:rPr>
        <w:t xml:space="preserve"> of Applied </w:t>
      </w:r>
      <w:proofErr w:type="spellStart"/>
      <w:r w:rsidRPr="00DC00A3">
        <w:rPr>
          <w:sz w:val="24"/>
          <w:lang w:val="pl-PL"/>
        </w:rPr>
        <w:t>Toxicology</w:t>
      </w:r>
      <w:proofErr w:type="spellEnd"/>
      <w:r w:rsidRPr="00DC00A3">
        <w:rPr>
          <w:sz w:val="24"/>
          <w:lang w:val="pl-PL"/>
        </w:rPr>
        <w:t xml:space="preserve">, maj 2016, (36,5), s. 630–648, </w:t>
      </w:r>
      <w:hyperlink r:id="rId14" w:history="1">
        <w:r w:rsidRPr="00DC00A3">
          <w:rPr>
            <w:rStyle w:val="Hyperlink"/>
            <w:sz w:val="24"/>
            <w:lang w:val="pl-PL"/>
          </w:rPr>
          <w:t>https://onlinelibrary.wiley.com/doi/full/10.1002/jat.3252</w:t>
        </w:r>
      </w:hyperlink>
      <w:r w:rsidRPr="00DC00A3">
        <w:rPr>
          <w:sz w:val="24"/>
          <w:lang w:val="pl-PL"/>
        </w:rPr>
        <w:t>.</w:t>
      </w:r>
    </w:p>
  </w:footnote>
  <w:footnote w:id="11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hyperlink r:id="rId15" w:history="1">
        <w:r w:rsidRPr="00DC00A3">
          <w:rPr>
            <w:rStyle w:val="Hyperlink"/>
            <w:sz w:val="24"/>
            <w:lang w:val="pl-PL"/>
          </w:rPr>
          <w:t>https://www.sciencedirect.com/science/article/pii/S0278691516300722?via%3Dihub</w:t>
        </w:r>
      </w:hyperlink>
    </w:p>
  </w:footnote>
  <w:footnote w:id="12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szCs w:val="22"/>
          <w:lang w:val="pl-PL"/>
        </w:rPr>
        <w:footnoteRef/>
      </w:r>
      <w:r w:rsidR="00DC00A3" w:rsidRPr="00BF42ED">
        <w:rPr>
          <w:sz w:val="24"/>
          <w:lang w:val="en-GB"/>
        </w:rPr>
        <w:t xml:space="preserve"> </w:t>
      </w:r>
      <w:r w:rsidR="00DC00A3" w:rsidRPr="00BF42ED">
        <w:rPr>
          <w:sz w:val="24"/>
          <w:lang w:val="en-GB"/>
        </w:rPr>
        <w:tab/>
      </w:r>
      <w:r w:rsidRPr="00BF42ED">
        <w:rPr>
          <w:sz w:val="24"/>
          <w:lang w:val="en-GB"/>
        </w:rPr>
        <w:t xml:space="preserve">Hilbeck, A., Defarge, N., Lebrecht, T., Bøhn, T., „Insecticidal Bt crops. EFSA’s risk assessment approach for GM Bt plants fails by design” [Rośliny owadobójcze Bt. </w:t>
      </w:r>
      <w:r w:rsidRPr="00DC00A3">
        <w:rPr>
          <w:sz w:val="24"/>
          <w:lang w:val="pl-PL"/>
        </w:rPr>
        <w:t xml:space="preserve">Podejście EFSA do oceny ryzyka związanego ze zmodyfikowanymi genetycznie roślinami </w:t>
      </w:r>
      <w:proofErr w:type="spellStart"/>
      <w:r w:rsidRPr="00DC00A3">
        <w:rPr>
          <w:sz w:val="24"/>
          <w:lang w:val="pl-PL"/>
        </w:rPr>
        <w:t>Bt</w:t>
      </w:r>
      <w:proofErr w:type="spellEnd"/>
      <w:r w:rsidRPr="00DC00A3">
        <w:rPr>
          <w:sz w:val="24"/>
          <w:lang w:val="pl-PL"/>
        </w:rPr>
        <w:t xml:space="preserve"> nie daje właściwych wyników z powodu przyjętych metod], RAGES 2020, s. 4, </w:t>
      </w:r>
      <w:hyperlink r:id="rId16" w:history="1">
        <w:r w:rsidRPr="00DC00A3">
          <w:rPr>
            <w:rStyle w:val="Hyperlink"/>
            <w:sz w:val="24"/>
            <w:lang w:val="pl-PL"/>
          </w:rPr>
          <w:t>https://www.testbiotech.org/wp-content/uploads/2023/12/RAGES_report-Insecticidal-Bt-plants.pdf</w:t>
        </w:r>
      </w:hyperlink>
      <w:r w:rsidRPr="00DC00A3">
        <w:rPr>
          <w:sz w:val="24"/>
          <w:lang w:val="pl-PL"/>
        </w:rPr>
        <w:t>.</w:t>
      </w:r>
    </w:p>
  </w:footnote>
  <w:footnote w:id="13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 xml:space="preserve">Strategiczny dialog na temat przyszłości rolnictwa UE – wspólna perspektywa rolnictwa i żywności w Europie, wrzesień 2024, </w:t>
      </w:r>
      <w:hyperlink r:id="rId17" w:history="1">
        <w:r w:rsidRPr="00DC00A3">
          <w:rPr>
            <w:rStyle w:val="Hyperlink"/>
            <w:sz w:val="24"/>
            <w:lang w:val="pl-PL"/>
          </w:rPr>
          <w:t>https://agriculture.ec.europa.eu/document/download/171329ff-0f50-4fa5-946f-aea11032172e_en?filename=strategic-dialogue-report-2024_en.pdf</w:t>
        </w:r>
      </w:hyperlink>
      <w:r w:rsidRPr="00DC00A3">
        <w:rPr>
          <w:rStyle w:val="Hyperlink"/>
          <w:sz w:val="24"/>
          <w:lang w:val="pl-PL"/>
        </w:rPr>
        <w:t>.</w:t>
      </w:r>
    </w:p>
  </w:footnote>
  <w:footnote w:id="14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hyperlink r:id="rId18" w:history="1">
        <w:r w:rsidRPr="00DC00A3">
          <w:rPr>
            <w:rStyle w:val="Hyperlink"/>
            <w:sz w:val="24"/>
            <w:lang w:val="pl-PL"/>
          </w:rPr>
          <w:t>https://www.ohchr.org/en/documents/thematic-reports/ahrc3448-report-special-rapporteur-right-food</w:t>
        </w:r>
      </w:hyperlink>
      <w:r w:rsidRPr="00DC00A3">
        <w:rPr>
          <w:sz w:val="24"/>
          <w:lang w:val="pl-PL"/>
        </w:rPr>
        <w:t>.</w:t>
      </w:r>
    </w:p>
  </w:footnote>
  <w:footnote w:id="15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hyperlink r:id="rId19" w:history="1">
        <w:r w:rsidRPr="00DC00A3">
          <w:rPr>
            <w:rStyle w:val="Hyperlink"/>
            <w:sz w:val="24"/>
            <w:lang w:val="pl-PL"/>
          </w:rPr>
          <w:t>https://indicators.report/targets/3-9/</w:t>
        </w:r>
      </w:hyperlink>
      <w:r w:rsidRPr="00DC00A3">
        <w:rPr>
          <w:rStyle w:val="Hyperlink"/>
          <w:sz w:val="24"/>
          <w:lang w:val="pl-PL"/>
        </w:rPr>
        <w:t>.</w:t>
      </w:r>
    </w:p>
  </w:footnote>
  <w:footnote w:id="16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hyperlink r:id="rId20" w:history="1">
        <w:r w:rsidRPr="00DC00A3">
          <w:rPr>
            <w:rStyle w:val="Hyperlink"/>
            <w:sz w:val="24"/>
            <w:lang w:val="pl-PL"/>
          </w:rPr>
          <w:t>https://ec.europa.eu/commission/presscorner/detail/pl/ip_22_7834</w:t>
        </w:r>
      </w:hyperlink>
      <w:r w:rsidRPr="00DC00A3">
        <w:rPr>
          <w:rStyle w:val="Hyperlink"/>
          <w:sz w:val="24"/>
          <w:lang w:val="pl-PL"/>
        </w:rPr>
        <w:t>.</w:t>
      </w:r>
    </w:p>
  </w:footnote>
  <w:footnote w:id="17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hyperlink r:id="rId21" w:history="1">
        <w:r w:rsidRPr="00DC00A3">
          <w:rPr>
            <w:rStyle w:val="Hyperlink"/>
            <w:sz w:val="24"/>
            <w:lang w:val="pl-PL"/>
          </w:rPr>
          <w:t>https://commission.europa.eu/document/2c64e540-c07a-4376-a1da-368d289f4afe_en</w:t>
        </w:r>
      </w:hyperlink>
    </w:p>
  </w:footnote>
  <w:footnote w:id="18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>Zgodnie z art. 6 ust. 3 rozporządzenia (UE) nr 182/2011 Komisja „może przyjąć”, a nie „przyjmuje” zezwolenie, jeżeli nie opowie się za nim kwalifikowana większość państw członkowskich w komitecie odwoławczym.</w:t>
      </w:r>
    </w:p>
  </w:footnote>
  <w:footnote w:id="19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 xml:space="preserve">Rozporządzenie (WE) nr 178/2002 Parlamentu Europejskiego i Rady z 28 stycznia 2002 r. ustanawiające ogólne zasady i wymagania prawa żywnościowego, powołujące Europejski Urząd ds. Bezpieczeństwa Żywności oraz ustanawiające procedury w zakresie bezpieczeństwa żywności (Dz.U. L 31 z 1.2.2002, s. 1, ELI: </w:t>
      </w:r>
      <w:hyperlink r:id="rId22" w:tooltip="Dostęp do dokumentu przez ELI URI." w:history="1">
        <w:r w:rsidRPr="00DC00A3">
          <w:rPr>
            <w:rStyle w:val="Hyperlink"/>
            <w:sz w:val="24"/>
            <w:lang w:val="pl-PL"/>
          </w:rPr>
          <w:t>http://data.europa.eu/eli/reg/2002/178/oj</w:t>
        </w:r>
      </w:hyperlink>
      <w:r w:rsidRPr="00DC00A3">
        <w:rPr>
          <w:sz w:val="24"/>
          <w:lang w:val="pl-PL"/>
        </w:rPr>
        <w:t>).</w:t>
      </w:r>
    </w:p>
  </w:footnote>
  <w:footnote w:id="20">
    <w:p w:rsidR="00DF79C6" w:rsidRPr="00BF42ED" w:rsidRDefault="00DF79C6" w:rsidP="00DC00A3">
      <w:pPr>
        <w:pStyle w:val="FootnoteText"/>
        <w:ind w:left="567" w:hanging="567"/>
        <w:rPr>
          <w:sz w:val="24"/>
        </w:rPr>
      </w:pPr>
      <w:r w:rsidRPr="00DC00A3">
        <w:rPr>
          <w:rStyle w:val="FootnoteReference"/>
          <w:sz w:val="24"/>
          <w:szCs w:val="22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 xml:space="preserve">W grudniu 2022 r. podczas 15. Konferencji stron Konwencji ONZ o różnorodności biologicznej (COP15) uzgodniono globalne ramy różnorodności biologicznej, które obejmują globalny cel zmniejszenia ryzyka związanego z pestycydami o co najmniej 50% do 2030 r. (zob. </w:t>
      </w:r>
      <w:hyperlink r:id="rId23" w:history="1">
        <w:r w:rsidRPr="00BF42ED">
          <w:rPr>
            <w:rStyle w:val="Hyperlink"/>
            <w:sz w:val="24"/>
          </w:rPr>
          <w:t>https://ec.europa.eu/commission/presscorner/detail/pl/ip_22_7834</w:t>
        </w:r>
      </w:hyperlink>
      <w:r w:rsidRPr="00BF42ED">
        <w:rPr>
          <w:sz w:val="24"/>
        </w:rPr>
        <w:t>).</w:t>
      </w:r>
    </w:p>
  </w:footnote>
  <w:footnote w:id="21">
    <w:p w:rsidR="00DF79C6" w:rsidRPr="00BF42ED" w:rsidRDefault="00DF79C6" w:rsidP="00DC00A3">
      <w:pPr>
        <w:pStyle w:val="FootnoteText"/>
        <w:ind w:left="567" w:hanging="567"/>
        <w:rPr>
          <w:sz w:val="24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BF42ED">
        <w:rPr>
          <w:sz w:val="24"/>
        </w:rPr>
        <w:t xml:space="preserve"> </w:t>
      </w:r>
      <w:r w:rsidR="00DC00A3" w:rsidRPr="00BF42ED">
        <w:rPr>
          <w:sz w:val="24"/>
        </w:rPr>
        <w:tab/>
      </w:r>
      <w:hyperlink r:id="rId24" w:history="1">
        <w:r w:rsidRPr="00BF42ED">
          <w:rPr>
            <w:rStyle w:val="Hyperlink"/>
            <w:sz w:val="24"/>
          </w:rPr>
          <w:t>https://tillymetz.lu/wp-content/uploads/2020/09/Co-signed-letter-MEP-Metz.pdf</w:t>
        </w:r>
      </w:hyperlink>
      <w:r w:rsidRPr="00BF42ED">
        <w:rPr>
          <w:rStyle w:val="Hyperlink"/>
          <w:sz w:val="24"/>
        </w:rPr>
        <w:t>.</w:t>
      </w:r>
    </w:p>
  </w:footnote>
  <w:footnote w:id="22">
    <w:p w:rsidR="00DF79C6" w:rsidRPr="00DC00A3" w:rsidRDefault="00DF79C6" w:rsidP="00DC00A3">
      <w:pPr>
        <w:pStyle w:val="FootnoteText"/>
        <w:ind w:left="567" w:hanging="567"/>
        <w:rPr>
          <w:sz w:val="24"/>
          <w:lang w:val="pl-PL"/>
        </w:rPr>
      </w:pPr>
      <w:r w:rsidRPr="00DC00A3">
        <w:rPr>
          <w:rStyle w:val="FootnoteReference"/>
          <w:sz w:val="24"/>
          <w:lang w:val="pl-PL"/>
        </w:rPr>
        <w:footnoteRef/>
      </w:r>
      <w:r w:rsidR="00DC00A3" w:rsidRPr="00DC00A3">
        <w:rPr>
          <w:sz w:val="24"/>
          <w:lang w:val="pl-PL"/>
        </w:rPr>
        <w:t xml:space="preserve"> </w:t>
      </w:r>
      <w:r w:rsidR="00DC00A3" w:rsidRPr="00DC00A3">
        <w:rPr>
          <w:sz w:val="24"/>
          <w:lang w:val="pl-PL"/>
        </w:rPr>
        <w:tab/>
      </w:r>
      <w:r w:rsidRPr="00DC00A3">
        <w:rPr>
          <w:sz w:val="24"/>
          <w:lang w:val="pl-PL"/>
        </w:rPr>
        <w:t>Rezolucja Parlamentu Europejskiego z 15 stycznia 2020 r. w sprawie Europejskiego Zielonego Ładu (Dz.U. C 270 z 7.7.2021, s. 2), ust.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00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00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00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i-FI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7/2024"/>
    <w:docVar w:name="dvlangue" w:val="PL"/>
    <w:docVar w:name="dvnumam" w:val="0"/>
    <w:docVar w:name="dvpe" w:val="763.291"/>
    <w:docVar w:name="dvtitre" w:val="Rezolucja Parlamentu Europejskiego z dnia  2024 r. w sprawie projektu decyzji wykonawczej Komisji dotyczącej odnowienia zezwolenia na wprowadzenie do obrotu, na podstawie rozporządzenia (WE) nr 1829/2003 Parlamentu Europejskiego i Rady, produktów zawierających genetycznie zmodyfikowaną kukurydzę MON 89034 × 1507 × MON 88017 × 59122 i osiem jej subkombinacji oraz produktów składających się z wymienionych rodzajów zmodyfikowanej genetycznie kukurydzy lub z niej wyprodukowanych(D098493/04 – 2024/2834(RSP))"/>
  </w:docVars>
  <w:rsids>
    <w:rsidRoot w:val="00C259F5"/>
    <w:rsid w:val="00002272"/>
    <w:rsid w:val="00064002"/>
    <w:rsid w:val="000677B9"/>
    <w:rsid w:val="000831BA"/>
    <w:rsid w:val="000A42CC"/>
    <w:rsid w:val="000E7DD9"/>
    <w:rsid w:val="0010095E"/>
    <w:rsid w:val="00125B37"/>
    <w:rsid w:val="00143DD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6F7"/>
    <w:rsid w:val="005C2568"/>
    <w:rsid w:val="005F1B17"/>
    <w:rsid w:val="006037C0"/>
    <w:rsid w:val="00621A0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2ED"/>
    <w:rsid w:val="00C05BFE"/>
    <w:rsid w:val="00C23CD4"/>
    <w:rsid w:val="00C259F5"/>
    <w:rsid w:val="00C61C0C"/>
    <w:rsid w:val="00C941CB"/>
    <w:rsid w:val="00CC2357"/>
    <w:rsid w:val="00CF071A"/>
    <w:rsid w:val="00D058B8"/>
    <w:rsid w:val="00D425D0"/>
    <w:rsid w:val="00D56C11"/>
    <w:rsid w:val="00D834A0"/>
    <w:rsid w:val="00D872DF"/>
    <w:rsid w:val="00D91E21"/>
    <w:rsid w:val="00DA7FCD"/>
    <w:rsid w:val="00DC00A3"/>
    <w:rsid w:val="00DF79C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C645A"/>
  <w15:chartTrackingRefBased/>
  <w15:docId w15:val="{9F95D006-353D-42D5-9967-9BE478BDB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F79C6"/>
    <w:pPr>
      <w:spacing w:before="480" w:after="240"/>
    </w:pPr>
  </w:style>
  <w:style w:type="paragraph" w:customStyle="1" w:styleId="NormalHanging12a">
    <w:name w:val="NormalHanging12a"/>
    <w:basedOn w:val="Normal"/>
    <w:rsid w:val="00DF79C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DF79C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F4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F42ED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nveurope.springeropen.com/articles/10.1186/2190-4715-24-24" TargetMode="External"/><Relationship Id="rId13" Type="http://schemas.openxmlformats.org/officeDocument/2006/relationships/hyperlink" Target="https://www.ncbi.nlm.nih.gov/pmc/articles/PMC6612199/" TargetMode="External"/><Relationship Id="rId18" Type="http://schemas.openxmlformats.org/officeDocument/2006/relationships/hyperlink" Target="https://www.ohchr.org/en/documents/thematic-reports/ahrc3448-report-special-rapporteur-right-food" TargetMode="External"/><Relationship Id="rId3" Type="http://schemas.openxmlformats.org/officeDocument/2006/relationships/hyperlink" Target="http://data.europa.eu/eli/reg/2011/182/oj" TargetMode="External"/><Relationship Id="rId21" Type="http://schemas.openxmlformats.org/officeDocument/2006/relationships/hyperlink" Target="https://commission.europa.eu/document/2c64e540-c07a-4376-a1da-368d289f4afe_en" TargetMode="External"/><Relationship Id="rId7" Type="http://schemas.openxmlformats.org/officeDocument/2006/relationships/hyperlink" Target="https://www.ncbi.nlm.nih.gov/pubmed/26296738%20" TargetMode="External"/><Relationship Id="rId12" Type="http://schemas.openxmlformats.org/officeDocument/2006/relationships/hyperlink" Target="https://journals.plos.org/plosone/article?id=10.1371/journal.pone.0219610" TargetMode="External"/><Relationship Id="rId17" Type="http://schemas.openxmlformats.org/officeDocument/2006/relationships/hyperlink" Target="https://agriculture.ec.europa.eu/document/download/171329ff-0f50-4fa5-946f-aea11032172e_en?filename=strategic-dialogue-report-2024_en.pdf" TargetMode="External"/><Relationship Id="rId2" Type="http://schemas.openxmlformats.org/officeDocument/2006/relationships/hyperlink" Target="http://data.europa.eu/eli/reg/2003/1829/oj" TargetMode="External"/><Relationship Id="rId16" Type="http://schemas.openxmlformats.org/officeDocument/2006/relationships/hyperlink" Target="https://www.testbiotech.org/wp-content/uploads/2023/12/RAGES_report-Insecticidal-Bt-plants.pdf" TargetMode="External"/><Relationship Id="rId20" Type="http://schemas.openxmlformats.org/officeDocument/2006/relationships/hyperlink" Target="https://ec.europa.eu/commission/presscorner/detail/pl/ip_22_7834" TargetMode="External"/><Relationship Id="rId1" Type="http://schemas.openxmlformats.org/officeDocument/2006/relationships/hyperlink" Target="http://data.europa.eu/eli/dec_impl/2024/2629/oj" TargetMode="External"/><Relationship Id="rId6" Type="http://schemas.openxmlformats.org/officeDocument/2006/relationships/hyperlink" Target="https://doi.org/10.1126/science.abe1148" TargetMode="External"/><Relationship Id="rId11" Type="http://schemas.openxmlformats.org/officeDocument/2006/relationships/hyperlink" Target="https://academic.oup.com/ije/advance-article/doi/10.1093/ije/dyz017/5382278" TargetMode="External"/><Relationship Id="rId24" Type="http://schemas.openxmlformats.org/officeDocument/2006/relationships/hyperlink" Target="https://tillymetz.lu/wp-content/uploads/2020/09/Co-signed-letter-MEP-Metz.pdf" TargetMode="External"/><Relationship Id="rId5" Type="http://schemas.openxmlformats.org/officeDocument/2006/relationships/hyperlink" Target="http://data.europa.eu/eli/reg_impl/2013/503/oj" TargetMode="External"/><Relationship Id="rId15" Type="http://schemas.openxmlformats.org/officeDocument/2006/relationships/hyperlink" Target="https://www.sciencedirect.com/science/article/pii/S0278691516300722?via=ihub" TargetMode="External"/><Relationship Id="rId23" Type="http://schemas.openxmlformats.org/officeDocument/2006/relationships/hyperlink" Target="https://ec.europa.eu/commission/presscorner/detail/pl/ip_22_7834" TargetMode="External"/><Relationship Id="rId10" Type="http://schemas.openxmlformats.org/officeDocument/2006/relationships/hyperlink" Target="https://www.sciencedirect.com/science/article/pii/S1383574218300887" TargetMode="External"/><Relationship Id="rId19" Type="http://schemas.openxmlformats.org/officeDocument/2006/relationships/hyperlink" Target="https://indicators.report/targets/3-9/" TargetMode="External"/><Relationship Id="rId4" Type="http://schemas.openxmlformats.org/officeDocument/2006/relationships/hyperlink" Target="https://doi.org/10.2903/j.efsa.2024.8715" TargetMode="External"/><Relationship Id="rId9" Type="http://schemas.openxmlformats.org/officeDocument/2006/relationships/hyperlink" Target="http://data.europa.eu/eli/reg/2009/1107/oj" TargetMode="External"/><Relationship Id="rId14" Type="http://schemas.openxmlformats.org/officeDocument/2006/relationships/hyperlink" Target="https://onlinelibrary.wiley.com/doi/full/10.1002/jat.3252" TargetMode="External"/><Relationship Id="rId22" Type="http://schemas.openxmlformats.org/officeDocument/2006/relationships/hyperlink" Target="http://data.europa.eu/eli/reg/2002/1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187AA-2E58-4EB3-9DC4-EB35F5E48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2018</Words>
  <Characters>12768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KLIMKOWSKI Andrzej</cp:lastModifiedBy>
  <cp:revision>2</cp:revision>
  <cp:lastPrinted>2004-11-19T15:42:00Z</cp:lastPrinted>
  <dcterms:created xsi:type="dcterms:W3CDTF">2025-01-08T09:20:00Z</dcterms:created>
  <dcterms:modified xsi:type="dcterms:W3CDTF">2025-01-08T09:20:00Z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B10-0147/2024</vt:lpwstr>
  </property>
  <property fmtid="{D5CDD505-2E9C-101B-9397-08002B2CF9AE}" pid="4" name="&lt;Type&gt;">
    <vt:lpwstr>RR</vt:lpwstr>
  </property>
</Properties>
</file>