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116B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116B1" w:rsidRDefault="0069321E">
            <w:pPr>
              <w:pStyle w:val="EPName"/>
            </w:pPr>
            <w:r>
              <w:t>Európsky parlament</w:t>
            </w:r>
          </w:p>
          <w:p w:rsidR="00F116B1" w:rsidRDefault="0069321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F116B1" w:rsidRDefault="0069321E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6B1" w:rsidRDefault="00F116B1">
      <w:pPr>
        <w:pStyle w:val="LineTop"/>
      </w:pPr>
    </w:p>
    <w:p w:rsidR="00F116B1" w:rsidRDefault="0069321E">
      <w:pPr>
        <w:pStyle w:val="EPBodyTA1"/>
      </w:pPr>
      <w:r>
        <w:t>PRIJATÉ TEXTY</w:t>
      </w:r>
    </w:p>
    <w:p w:rsidR="00F116B1" w:rsidRDefault="00F116B1">
      <w:pPr>
        <w:pStyle w:val="LineBottom"/>
      </w:pPr>
    </w:p>
    <w:p w:rsidR="00F116B1" w:rsidRDefault="0069321E">
      <w:pPr>
        <w:pStyle w:val="ATHeading1"/>
      </w:pPr>
      <w:bookmarkStart w:id="0" w:name="TANumber"/>
      <w:r>
        <w:t>P10_TA(2024)0040</w:t>
      </w:r>
      <w:bookmarkEnd w:id="0"/>
    </w:p>
    <w:p w:rsidR="00F116B1" w:rsidRDefault="0069321E">
      <w:pPr>
        <w:pStyle w:val="ATHeading2"/>
      </w:pPr>
      <w:bookmarkStart w:id="1" w:name="title"/>
      <w:r>
        <w:t>Geneticky modifikovaná kukurica MON 89034 × 1507 × MON 88017 x 59122 a osem jej čiastkových kombinácií</w:t>
      </w:r>
      <w:bookmarkEnd w:id="1"/>
    </w:p>
    <w:p w:rsidR="00F116B1" w:rsidRDefault="0069321E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B10-0147/2024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116B1" w:rsidRDefault="0069321E">
      <w:pPr>
        <w:rPr>
          <w:vanish/>
        </w:rPr>
      </w:pPr>
      <w:bookmarkStart w:id="3" w:name="PE"/>
      <w:r>
        <w:rPr>
          <w:vanish/>
        </w:rPr>
        <w:t>PE763.291</w:t>
      </w:r>
      <w:bookmarkEnd w:id="3"/>
    </w:p>
    <w:p w:rsidR="00F116B1" w:rsidRDefault="0069321E">
      <w:pPr>
        <w:pStyle w:val="ATHeading3"/>
      </w:pPr>
      <w:bookmarkStart w:id="4" w:name="Sujet"/>
      <w:r>
        <w:t>Uznesenie Európskeho parlamentu</w:t>
      </w:r>
      <w:r>
        <w:t xml:space="preserve"> z 26. novembra 2024 o vykonávacom rozhodnutí Komisie (EÚ) 2024/2629</w:t>
      </w:r>
      <w:r>
        <w:t>, ktorým sa podľa nariadenia Európskeho parlamentu a Rady (ES) č. 1829/2003 obnovuje povolenie umiestňovať na trh výrobky, ktoré obsahujú geneticky modifikovanú kukuricu MON 89034 × 1507 ×</w:t>
      </w:r>
      <w:r>
        <w:t xml:space="preserve"> MON 88017 × 59122 a osem jej čiastkových kombinácií, sú z nich zložené alebo vyrobené</w:t>
      </w:r>
      <w:bookmarkEnd w:id="4"/>
      <w:r>
        <w:t xml:space="preserve"> </w:t>
      </w:r>
      <w:bookmarkStart w:id="5" w:name="References"/>
      <w:r>
        <w:t>(2024/2834(RSP))</w:t>
      </w:r>
      <w:bookmarkEnd w:id="5"/>
    </w:p>
    <w:p w:rsidR="00F116B1" w:rsidRDefault="0069321E"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 w:rsidR="00F116B1" w:rsidRDefault="0069321E">
      <w:pPr>
        <w:pStyle w:val="NormalHanging12a"/>
      </w:pPr>
      <w:r>
        <w:t>–</w:t>
      </w:r>
      <w:r>
        <w:tab/>
        <w:t>so zreteľom na vykonávacie rozhodnutie Komisie (EÚ) 2024/2629</w:t>
      </w:r>
      <w:r>
        <w:t>, ktorým sa podľa nariadenia Európskeho parlamentu a Rady (ES) č. 182</w:t>
      </w:r>
      <w:r>
        <w:t>9/2003 obnovuje povolenie umiestňovať na trh výrobky, ktoré obsahujú geneticky modifikovanú kukuricu MON 89034 × 1507 × MON 88017 × 59122 a osem jej čiastkových kombinácií, sú z nich zložené alebo vyrobené</w:t>
      </w:r>
      <w:r>
        <w:rPr>
          <w:rStyle w:val="FootnoteReference"/>
        </w:rPr>
        <w:footnoteReference w:id="1"/>
      </w:r>
      <w:r>
        <w:t>,</w:t>
      </w:r>
    </w:p>
    <w:p w:rsidR="00F116B1" w:rsidRDefault="0069321E">
      <w:pPr>
        <w:pStyle w:val="NormalHanging12a"/>
        <w:rPr>
          <w:rFonts w:eastAsia="Calibri"/>
        </w:rPr>
      </w:pPr>
      <w:r>
        <w:t>–</w:t>
      </w:r>
      <w:r>
        <w:tab/>
        <w:t>so zreteľom na nariadenie Európskeho parlament</w:t>
      </w:r>
      <w:r>
        <w:t>u a Rady (ES) č. 1829/2003 z 22. septembra 2003 o geneticky modifikovaných potravinách a krmivách</w:t>
      </w:r>
      <w:r>
        <w:rPr>
          <w:rStyle w:val="FootnoteReference"/>
        </w:rPr>
        <w:footnoteReference w:id="2"/>
      </w:r>
      <w:r>
        <w:t>, a najmä na jeho článok 11 ods. 3 a článok 23 ods. 3,</w:t>
      </w:r>
    </w:p>
    <w:p w:rsidR="00F116B1" w:rsidRDefault="0069321E">
      <w:pPr>
        <w:pStyle w:val="NormalHanging12a"/>
      </w:pPr>
      <w:r>
        <w:t>–</w:t>
      </w:r>
      <w:r>
        <w:tab/>
        <w:t xml:space="preserve">so zreteľom na </w:t>
      </w:r>
      <w:r>
        <w:rPr>
          <w:shd w:val="clear" w:color="auto" w:fill="FFFFFF"/>
        </w:rPr>
        <w:t>hlasovanie Stáleho výboru pre rastliny, zvieratá, potraviny a krmivá, ktorý je uvedený</w:t>
      </w:r>
      <w:r>
        <w:rPr>
          <w:shd w:val="clear" w:color="auto" w:fill="FFFFFF"/>
        </w:rPr>
        <w:t xml:space="preserve"> v článku 35 nariadenia (ES) č. 1829/2003, z 8. júla 2024, počas ktorého nebolo prijaté žiadne stanovisko, a na hlasovanie odvolacieho výboru z 3. septembra 2024, počas ktorého opätovne nebolo prijaté žiadne</w:t>
      </w:r>
      <w:r>
        <w:t xml:space="preserve"> stanovisko,</w:t>
      </w:r>
    </w:p>
    <w:p w:rsidR="00F116B1" w:rsidRDefault="0069321E">
      <w:pPr>
        <w:pStyle w:val="NormalHanging12a"/>
      </w:pPr>
      <w:r>
        <w:t>–</w:t>
      </w:r>
      <w:r>
        <w:tab/>
        <w:t>so zreteľom na článok 11 nariadeni</w:t>
      </w:r>
      <w:r>
        <w:t>a Európskeho parlamentu a Rady (EÚ) č. 182/2011 zo 16. februára 2011, ktorým sa ustanovujú pravidlá a všeobecné zásady mechanizmu, na základe ktorého členské štáty kontrolujú vykonávanie vykonávacích právomocí Komisie</w:t>
      </w:r>
      <w:r>
        <w:rPr>
          <w:rStyle w:val="FootnoteReference"/>
        </w:rPr>
        <w:footnoteReference w:id="3"/>
      </w:r>
      <w:r>
        <w:t>,</w:t>
      </w:r>
    </w:p>
    <w:p w:rsidR="00F116B1" w:rsidRDefault="0069321E">
      <w:pPr>
        <w:pStyle w:val="NormalHanging12a"/>
      </w:pPr>
      <w:r>
        <w:t>–</w:t>
      </w:r>
      <w:r>
        <w:tab/>
      </w:r>
      <w:r>
        <w:t xml:space="preserve">so zreteľom na stanovisko, ktoré prijal Európsky úrad pre bezpečnosť potravín (ďalej </w:t>
      </w:r>
      <w:r>
        <w:lastRenderedPageBreak/>
        <w:t>len „EFSA“) 13. marca 2024 a ktoré bolo uverejnené 29. apríla 2024</w:t>
      </w:r>
      <w:r>
        <w:rPr>
          <w:rStyle w:val="FootnoteReference"/>
        </w:rPr>
        <w:footnoteReference w:id="4"/>
      </w:r>
      <w:r>
        <w:t>,</w:t>
      </w:r>
    </w:p>
    <w:p w:rsidR="00F116B1" w:rsidRDefault="0069321E">
      <w:pPr>
        <w:pStyle w:val="NormalHanging12a"/>
        <w:rPr>
          <w:szCs w:val="24"/>
          <w:shd w:val="clear" w:color="auto" w:fill="FFFFFF"/>
        </w:rPr>
      </w:pPr>
      <w:r>
        <w:t>–</w:t>
      </w:r>
      <w:r>
        <w:rPr>
          <w:shd w:val="clear" w:color="auto" w:fill="FFFFFF"/>
        </w:rPr>
        <w:tab/>
        <w:t>so zreteľom na svoje predchádzajúce uznesenia, v ktorých namieta proti povoľovaniu geneticky modifik</w:t>
      </w:r>
      <w:r>
        <w:rPr>
          <w:shd w:val="clear" w:color="auto" w:fill="FFFFFF"/>
        </w:rPr>
        <w:t>ovaných organizmov (</w:t>
      </w:r>
      <w:r>
        <w:t>ďalej len „</w:t>
      </w:r>
      <w:r>
        <w:rPr>
          <w:shd w:val="clear" w:color="auto" w:fill="FFFFFF"/>
        </w:rPr>
        <w:t>GMO“)</w:t>
      </w:r>
      <w:r>
        <w:rPr>
          <w:szCs w:val="24"/>
          <w:shd w:val="clear" w:color="auto" w:fill="FFFFFF"/>
          <w:vertAlign w:val="superscript"/>
        </w:rPr>
        <w:footnoteReference w:id="5"/>
      </w:r>
      <w:r>
        <w:rPr>
          <w:shd w:val="clear" w:color="auto" w:fill="FFFFFF"/>
        </w:rPr>
        <w:t>,</w:t>
      </w:r>
    </w:p>
    <w:p w:rsidR="00F116B1" w:rsidRDefault="0069321E">
      <w:pPr>
        <w:pStyle w:val="NormalHanging12a"/>
      </w:pPr>
      <w:r>
        <w:t>–</w:t>
      </w:r>
      <w:r>
        <w:tab/>
        <w:t>so zreteľom na článok 115 ods. 2 a 3 rokovacieho poriadku,</w:t>
      </w:r>
    </w:p>
    <w:p w:rsidR="00F116B1" w:rsidRDefault="0069321E">
      <w:pPr>
        <w:pStyle w:val="NormalHanging12a"/>
      </w:pPr>
      <w:r>
        <w:t>–</w:t>
      </w:r>
      <w:r>
        <w:tab/>
        <w:t>so zreteľom na návrh uznesenia Výboru pre životné prostredie, verejné zdravie a bezpečnosť potravín,</w:t>
      </w:r>
    </w:p>
    <w:p w:rsidR="00F116B1" w:rsidRDefault="0069321E">
      <w:pPr>
        <w:pStyle w:val="NormalHanging12a"/>
        <w:ind w:left="709" w:hanging="709"/>
      </w:pPr>
      <w:r>
        <w:t>A.</w:t>
      </w:r>
      <w:r>
        <w:tab/>
        <w:t>keďže 7. októbra 2022 spoločnosť Corteva Agriscien</w:t>
      </w:r>
      <w:r>
        <w:t>ce Belgium BV so sídlom v Belgicku v mene spoločnosti Corteva Agriscience LLC so sídlom v Spojených štátoch a spoločnosť Bayer Agriculture BV so sídlom v Belgicku v mene spoločnosti Bayer CropScience LP so sídlom v Spojených štátoch spoločne predložili Kom</w:t>
      </w:r>
      <w:r>
        <w:t>isii žiadosť o obnovenie povolenia geneticky modifikovanej kukurice MON 89034 × 1507 × MON 88017 × 59122 a ôsmich jej čiastkových kombinácií (ďalej len „geneticky modifikovaná kukurica“);</w:t>
      </w:r>
    </w:p>
    <w:p w:rsidR="00F116B1" w:rsidRDefault="0069321E">
      <w:pPr>
        <w:pStyle w:val="NormalHanging12a"/>
        <w:ind w:left="709" w:hanging="709"/>
      </w:pPr>
      <w:r>
        <w:t>B.</w:t>
      </w:r>
      <w:r>
        <w:tab/>
        <w:t>keďže úrad EFSA prijal 13. marca 2024 kladné stanovisko, ktoré bo</w:t>
      </w:r>
      <w:r>
        <w:t>lo uverejnené 29. apríla 2024;</w:t>
      </w:r>
    </w:p>
    <w:p w:rsidR="00F116B1" w:rsidRDefault="0069321E">
      <w:pPr>
        <w:pStyle w:val="NormalHanging12a"/>
        <w:ind w:left="709" w:hanging="709"/>
      </w:pPr>
      <w:r>
        <w:t>C.</w:t>
      </w:r>
      <w:r>
        <w:tab/>
        <w:t xml:space="preserve">keďže geneticky modifikovaná kukurica bola upravená tak, aby bola tolerantná k glufozinátu a glyfozátu a produkovala insekticídy (ďalej len „Bt toxíny“); </w:t>
      </w:r>
    </w:p>
    <w:p w:rsidR="00F116B1" w:rsidRDefault="0069321E">
      <w:pPr>
        <w:pStyle w:val="NormalHanging12a"/>
        <w:ind w:left="0" w:firstLine="0"/>
        <w:rPr>
          <w:b/>
        </w:rPr>
      </w:pPr>
      <w:r>
        <w:rPr>
          <w:b/>
        </w:rPr>
        <w:t>Nedostatočné posúdenie doplnkových herbicídov</w:t>
      </w:r>
    </w:p>
    <w:p w:rsidR="00F116B1" w:rsidRDefault="0069321E">
      <w:pPr>
        <w:pStyle w:val="NormalHanging12a"/>
        <w:ind w:left="709" w:hanging="709"/>
      </w:pPr>
      <w:r>
        <w:t>D.</w:t>
      </w:r>
      <w:r>
        <w:tab/>
        <w:t xml:space="preserve">keďže vykonávacie </w:t>
      </w:r>
      <w:r>
        <w:t>nariadenie Komisie (EÚ) č. 503/2013</w:t>
      </w:r>
      <w:r>
        <w:rPr>
          <w:rStyle w:val="FootnoteReference"/>
        </w:rPr>
        <w:footnoteReference w:id="6"/>
      </w:r>
      <w:r>
        <w:t xml:space="preserve"> si vyžaduje posúdenie, či očakávané poľnohospodárske postupy ovplyvňujú výsledok skúmaných parametrov; keďže podľa uvedeného vykonávacieho nariadenia sa to týka najmä rastlín tolerantných k herbicídom;</w:t>
      </w:r>
    </w:p>
    <w:p w:rsidR="00F116B1" w:rsidRDefault="0069321E">
      <w:pPr>
        <w:pStyle w:val="NormalHanging12a"/>
        <w:ind w:left="709" w:hanging="709"/>
      </w:pPr>
      <w:r>
        <w:t>E.</w:t>
      </w:r>
      <w:r>
        <w:tab/>
        <w:t>keďže prevažná</w:t>
      </w:r>
      <w:r>
        <w:t xml:space="preserve"> väčšina geneticky modifikovaných plodín je geneticky modifikovaná tak, aby boli tolerantné k jednému alebo viacerým „doplnkovým“ herbicídom, ktoré sa môžu používať počas pestovania geneticky modifikovanej plodiny bez toho, aby uhynula, ako by to bolo v pr</w:t>
      </w:r>
      <w:r>
        <w:t xml:space="preserve">ípade plodiny, ktorá nie je tolerantná k herbicídom; keďže viaceré štúdie preukázali, že geneticky modifikované plodiny tolerantné k herbicídom </w:t>
      </w:r>
      <w:r>
        <w:lastRenderedPageBreak/>
        <w:t>vedú k vyššiemu používaniu doplnkových herbicídov, čo je z veľkej časti spôsobené výskytom buriny tolerantnej k </w:t>
      </w:r>
      <w:r>
        <w:t>herbicídom</w:t>
      </w:r>
      <w:r>
        <w:rPr>
          <w:rStyle w:val="FootnoteReference"/>
        </w:rPr>
        <w:footnoteReference w:id="7"/>
      </w:r>
      <w:r>
        <w:t>;</w:t>
      </w:r>
    </w:p>
    <w:p w:rsidR="00F116B1" w:rsidRDefault="0069321E">
      <w:pPr>
        <w:pStyle w:val="NormalHanging12a"/>
        <w:ind w:left="709" w:hanging="709"/>
      </w:pPr>
      <w:r>
        <w:t>F.</w:t>
      </w:r>
      <w:r>
        <w:tab/>
        <w:t>keďže geneticky modifikované plodiny tolerantné k herbicídom nútia poľnohospodárov používať systém ochrany proti burinám, ktorý je vo veľkej miere alebo úplne závislý od herbicídov, a to tak, že za geneticky modifikované osivo sa účtuje prí</w:t>
      </w:r>
      <w:r>
        <w:t>platok, ktorý môže byť odôvodnený len vtedy, ak poľnohospodári kupujúci takéto osivo používajú aj postrek doplnkovými herbicídmi; keďže zvýšená závislosť od doplnkových herbicídov v poľnohospodárskych podnikoch urýchľuje vznik a šírenie buriny rezistentnej</w:t>
      </w:r>
      <w:r>
        <w:t xml:space="preserve"> voči týmto herbicídom, čo vyvoláva potrebu ešte väčšieho používania herbicídov, čo je začarovaný kruh neustáleho používania čoraz väčšieho množstva herbicídov;</w:t>
      </w:r>
    </w:p>
    <w:p w:rsidR="00F116B1" w:rsidRDefault="0069321E">
      <w:pPr>
        <w:pStyle w:val="NormalHanging12a"/>
        <w:ind w:left="709" w:hanging="709"/>
      </w:pPr>
      <w:r>
        <w:t>G.</w:t>
      </w:r>
      <w:r>
        <w:tab/>
        <w:t>keďže nepriaznivé vplyvy vyplývajúce z nadmerného používania herbicídov zhoršujú zdravie pôd</w:t>
      </w:r>
      <w:r>
        <w:t>y, kvalitu vody a biodiverzitu nad zemou a pod ňou a vedú k zvýšenej expozícii ľudí a zvierat herbicídom, a to potenciálne aj prostredníctvom zvýšeného množstva rezíduí herbicídov v potravinách a krmivách;</w:t>
      </w:r>
    </w:p>
    <w:p w:rsidR="00F116B1" w:rsidRDefault="0069321E">
      <w:pPr>
        <w:pStyle w:val="NormalHanging12a"/>
        <w:ind w:left="709" w:hanging="709"/>
      </w:pPr>
      <w:r>
        <w:t>H.</w:t>
      </w:r>
      <w:r>
        <w:tab/>
        <w:t>keďže glufosinát je zaradený do kategórie 1B ak</w:t>
      </w:r>
      <w:r>
        <w:t>o reprodukčne toxická látka, a preto sa naň vzťahujú hraničné kritériá stanovené v nariadení Európskeho parlamentu a Rady (ES) č. 1107/2009</w:t>
      </w:r>
      <w:r>
        <w:rPr>
          <w:rStyle w:val="FootnoteReference"/>
        </w:rPr>
        <w:footnoteReference w:id="8"/>
      </w:r>
      <w:r>
        <w:t xml:space="preserve">; keďže platnosť povolenia glufosinátu na používanie v Únii sa skončila 31. júla 2018; </w:t>
      </w:r>
    </w:p>
    <w:p w:rsidR="00F116B1" w:rsidRDefault="0069321E">
      <w:pPr>
        <w:pStyle w:val="NormalHanging12a"/>
        <w:ind w:left="709" w:hanging="709"/>
      </w:pPr>
      <w:r>
        <w:t>I.</w:t>
      </w:r>
      <w:r>
        <w:tab/>
        <w:t>keďže úrad EFSA v novembr</w:t>
      </w:r>
      <w:r>
        <w:t>i 2015 dospel k záveru, že glyfozát pravdepodobne nie je karcinogénny, a Európska chemická agentúra v marci 2017 dospela k záveru, že klasifikácia nie je odôvodnená; keďže Medzinárodná agentúra pre výskum rakoviny, špecializovaná agentúra Svetovej zdravotn</w:t>
      </w:r>
      <w:r>
        <w:t xml:space="preserve">íckej organizácie pre rakovinu, v roku 2015 klasifikovala glyfozát ako pravdepodobný karcinogén pre ľudí; keďže viaceré nedávne vedecké recenzované štúdie potvrdzujú karcinogénny potenciál </w:t>
      </w:r>
      <w:r>
        <w:lastRenderedPageBreak/>
        <w:t>glyfozátu</w:t>
      </w:r>
      <w:r>
        <w:rPr>
          <w:rStyle w:val="FootnoteReference"/>
        </w:rPr>
        <w:footnoteReference w:id="9"/>
      </w:r>
      <w:r>
        <w:t xml:space="preserve">; </w:t>
      </w:r>
    </w:p>
    <w:p w:rsidR="00F116B1" w:rsidRDefault="0069321E">
      <w:pPr>
        <w:pStyle w:val="NormalHanging12a"/>
        <w:ind w:left="709" w:hanging="709"/>
      </w:pPr>
      <w:r>
        <w:t>J.</w:t>
      </w:r>
      <w:r>
        <w:tab/>
        <w:t>keďže posudzovanie rezíduí herbicídov a ich metabol</w:t>
      </w:r>
      <w:r>
        <w:t>itov v geneticky modifikovaných rastlinách je mimo pôsobnosti Pracovnej skupiny EFSA pre geneticky modifikované organizmy, a preto sa v rámci postupu povoľovania GMO nevykonáva;</w:t>
      </w:r>
    </w:p>
    <w:p w:rsidR="00F116B1" w:rsidRDefault="0069321E">
      <w:pPr>
        <w:pStyle w:val="NormalHanging12a"/>
        <w:rPr>
          <w:b/>
          <w:i/>
        </w:rPr>
      </w:pPr>
      <w:r>
        <w:rPr>
          <w:b/>
          <w:i/>
        </w:rPr>
        <w:t>Nevyriešené otázky týkajúce sa Bt toxínov</w:t>
      </w:r>
    </w:p>
    <w:p w:rsidR="00F116B1" w:rsidRDefault="0069321E">
      <w:pPr>
        <w:pStyle w:val="NormalHanging12a"/>
        <w:ind w:left="709" w:hanging="709"/>
      </w:pPr>
      <w:r>
        <w:t>K.</w:t>
      </w:r>
      <w:r>
        <w:tab/>
        <w:t>keďže z viacerých štúdií vyplýva,</w:t>
      </w:r>
      <w:r>
        <w:t xml:space="preserve"> že boli pozorované vedľajšie účinky, ktoré môžu mať po expozícii Bt toxínom vplyv na imunitný systém, a že niektoré Bt toxíny môžu mať adjuvantné vlastnosti</w:t>
      </w:r>
      <w:r>
        <w:rPr>
          <w:rStyle w:val="FootnoteReference"/>
        </w:rPr>
        <w:footnoteReference w:id="10"/>
      </w:r>
      <w:r>
        <w:t>, čo znamená, že môžu zvyšovať alergénnosť iných proteínov, s ktorými prichádzajú do kontaktu;</w:t>
      </w:r>
    </w:p>
    <w:p w:rsidR="00F116B1" w:rsidRDefault="0069321E">
      <w:pPr>
        <w:pStyle w:val="NormalHanging12a"/>
        <w:ind w:left="709" w:hanging="709"/>
      </w:pPr>
      <w:r>
        <w:t>L.</w:t>
      </w:r>
      <w:r>
        <w:tab/>
      </w:r>
      <w:r>
        <w:t>keďže vo vedeckej štúdii sa zistilo, že toxicita Bt toxínov sa môže zvýšiť aj v dôsledku interakcie s rezíduami z postrekov herbicídmi a že sú potrebné ďalšie štúdie o kombinovaných účinkoch „kumulovaných“ udalostí (geneticky modifikované plodiny, ktoré bo</w:t>
      </w:r>
      <w:r>
        <w:t>li modifikované tak, aby boli tolerantné voči herbicídom a produkovali insekticídy vo forme Bt toxínov)</w:t>
      </w:r>
      <w:r>
        <w:rPr>
          <w:rStyle w:val="FootnoteReference"/>
        </w:rPr>
        <w:footnoteReference w:id="11"/>
      </w:r>
      <w:r>
        <w:t>; keďže posudzovanie možnej interakcie rezíduí herbicídov a ich metabolitov s Bt toxínmi je však mimo pôsobnosti vedeckej skupiny EFSA, a preto sa nevyk</w:t>
      </w:r>
      <w:r>
        <w:t>onáva v rámci posudzovania rizík;</w:t>
      </w:r>
    </w:p>
    <w:p w:rsidR="00F116B1" w:rsidRDefault="0069321E">
      <w:pPr>
        <w:pStyle w:val="NormalHanging12a"/>
        <w:rPr>
          <w:b/>
          <w:i/>
        </w:rPr>
      </w:pPr>
      <w:r>
        <w:rPr>
          <w:b/>
          <w:i/>
        </w:rPr>
        <w:t>Bt plodiny: účinky na necieľové organizmy</w:t>
      </w:r>
    </w:p>
    <w:p w:rsidR="00F116B1" w:rsidRDefault="0069321E">
      <w:pPr>
        <w:pStyle w:val="NormalHanging12a"/>
        <w:ind w:left="709" w:hanging="709"/>
      </w:pPr>
      <w:r>
        <w:t>M.</w:t>
      </w:r>
      <w:r>
        <w:tab/>
        <w:t>keďže na rozdiel od používania insekticídov, pri ktorých dochádza k expozícii počas postreku a krátky čas po ňom, vedie používanie geneticky modifikovaných Bt plodín k trvalej e</w:t>
      </w:r>
      <w:r>
        <w:t>xpozícii cieľových aj necieľových organizmov Bt toxínom;</w:t>
      </w:r>
    </w:p>
    <w:p w:rsidR="00F116B1" w:rsidRDefault="0069321E">
      <w:pPr>
        <w:pStyle w:val="NormalHanging12a"/>
        <w:ind w:left="709" w:hanging="709"/>
      </w:pPr>
      <w:r>
        <w:t>N.</w:t>
      </w:r>
      <w:r>
        <w:tab/>
        <w:t>keďže predpoklad, že Bt toxíny vykazujú jediný špecifický spôsob cieľového pôsobenia, už nemožno považovať za správny a účinky na necieľové organizmy nemožno vylúčiť; keďže je zdokumentované mnoho</w:t>
      </w:r>
      <w:r>
        <w:t>raké postihnutie čoraz väčšieho počtu necieľových organizmov; keďže v nedávnom prehľade sa nachádza 39 recenzovaných publikácií, v ktorých sa uvádzajú závažné nepriaznivé účinky Bt toxínov na mnoho necieľových druhov</w:t>
      </w:r>
      <w:r>
        <w:rPr>
          <w:rStyle w:val="FootnoteReference"/>
        </w:rPr>
        <w:footnoteReference w:id="12"/>
      </w:r>
      <w:r>
        <w:t>;</w:t>
      </w:r>
    </w:p>
    <w:p w:rsidR="00F116B1" w:rsidRDefault="0069321E">
      <w:pPr>
        <w:pStyle w:val="NormalHanging12a"/>
        <w:rPr>
          <w:b/>
          <w:i/>
        </w:rPr>
      </w:pPr>
      <w:r>
        <w:rPr>
          <w:b/>
          <w:i/>
        </w:rPr>
        <w:t>Zabezpečenie rovnakých podmienok na c</w:t>
      </w:r>
      <w:r>
        <w:rPr>
          <w:b/>
          <w:i/>
        </w:rPr>
        <w:t xml:space="preserve">elosvetovej úrovni a dodržiavanie medzinárodných </w:t>
      </w:r>
      <w:r>
        <w:rPr>
          <w:b/>
          <w:i/>
        </w:rPr>
        <w:lastRenderedPageBreak/>
        <w:t>záväzkov Únie</w:t>
      </w:r>
    </w:p>
    <w:p w:rsidR="00F116B1" w:rsidRDefault="0069321E">
      <w:pPr>
        <w:pStyle w:val="NormalHanging12a"/>
        <w:ind w:left="709" w:hanging="709"/>
      </w:pPr>
      <w:r>
        <w:t>O.</w:t>
      </w:r>
      <w:r>
        <w:tab/>
        <w:t>keďže v záveroch strategického dialógu o budúcnosti poľnohospodárstva EÚ</w:t>
      </w:r>
      <w:r>
        <w:rPr>
          <w:rStyle w:val="FootnoteReference"/>
        </w:rPr>
        <w:footnoteReference w:id="13"/>
      </w:r>
      <w:r>
        <w:t xml:space="preserve"> sa Komisia vyzýva, aby prehodnotila prístup, pokiaľ ide o prístupu na trh pre agropotravinový dovoz a vývoz, a to vz</w:t>
      </w:r>
      <w:r>
        <w:t xml:space="preserve">hľadom na rozdiely medzi normami Únie a jej obchodných partnerov; keďže spravodlivejšie obchodné vzťahy na celosvetovej úrovni, ktoré sú v súlade s cieľmi zdravého životného prostredia, boli jednou z hlavných požiadaviek poľnohospodárov počas demonštrácií </w:t>
      </w:r>
      <w:r>
        <w:t>v rokoch 2023 a 2024;</w:t>
      </w:r>
    </w:p>
    <w:p w:rsidR="00F116B1" w:rsidRDefault="0069321E">
      <w:pPr>
        <w:pStyle w:val="NormalHanging12a"/>
        <w:ind w:left="709" w:hanging="709"/>
      </w:pPr>
      <w:r>
        <w:t>P.</w:t>
      </w:r>
      <w:r>
        <w:tab/>
        <w:t>keďže v správe osobitného spravodajcu Organizácie Spojených národov (ďalej len „OSN“) pre právo na výživu z roku 2017 sa konštatuje, že najmä v rozvojových krajinách majú nebezpečné pesticídy katastrofálny vplyv na zdravie</w:t>
      </w:r>
      <w:r>
        <w:rPr>
          <w:rStyle w:val="FootnoteReference"/>
        </w:rPr>
        <w:footnoteReference w:id="14"/>
      </w:r>
      <w:r>
        <w:t xml:space="preserve">; keďže </w:t>
      </w:r>
      <w:r>
        <w:t>podľa cieľa OSN v oblasti udržateľného rozvoja 3.9 sa má do roku 2030 podstatne znížiť počet úmrtí a ochorení spôsobených nebezpečnými chemikáliami a znečistením a kontamináciou ovzdušia, vody a pôdy</w:t>
      </w:r>
      <w:r>
        <w:rPr>
          <w:rStyle w:val="FootnoteReference"/>
        </w:rPr>
        <w:footnoteReference w:id="15"/>
      </w:r>
      <w:r>
        <w:t>;</w:t>
      </w:r>
    </w:p>
    <w:p w:rsidR="00F116B1" w:rsidRDefault="0069321E">
      <w:pPr>
        <w:pStyle w:val="NormalHanging12a"/>
        <w:ind w:left="709" w:hanging="709"/>
      </w:pPr>
      <w:r>
        <w:t>Q.</w:t>
      </w:r>
      <w:r>
        <w:tab/>
        <w:t>keďže globálny rámec pre biodiverzitu z Kchun-mingu</w:t>
      </w:r>
      <w:r>
        <w:t xml:space="preserve"> a Montrealu (ďalej len „rámec z Kchun-mingu a Montrealu“), dohodnutý na 15. konferencii zmluvných strán Dohovoru OSN o biologickej diverzite (CBD OSN) v decembri 2022, zahŕňa globálny cieľ znížiť riziko používania pesticídov do roku 2030 aspoň o 50 %</w:t>
      </w:r>
      <w:r>
        <w:rPr>
          <w:rStyle w:val="FootnoteReference"/>
        </w:rPr>
        <w:footnoteReference w:id="16"/>
      </w:r>
      <w:r>
        <w:t>;</w:t>
      </w:r>
    </w:p>
    <w:p w:rsidR="00F116B1" w:rsidRDefault="0069321E">
      <w:pPr>
        <w:pStyle w:val="NormalHanging12a"/>
        <w:ind w:left="709" w:hanging="709"/>
      </w:pPr>
      <w:r>
        <w:t>R.</w:t>
      </w:r>
      <w:r>
        <w:tab/>
        <w:t>keďže v nariadení (ES) č. 1829/2003 sa uvádza, že geneticky modifikované potraviny alebo krmivá nesmú mať nepriaznivé účinky na ľudské zdravie, zdravie zvierat alebo na životné prostredie, a vyžaduje sa, aby Komisia pri príprave svojho rozhodnutia vzala d</w:t>
      </w:r>
      <w:r>
        <w:t>o úvahy všetky relevantné ustanovenia práva Únie a iné oprávnené skutočnosti, ktoré sú podstatné na prerokovanie záležitosti; keďže medzi takéto legitímne faktory by mali patriť záväzky Únie vyplývajúce z cieľov OSN v oblasti udržateľného rozvoja a CBD OSN</w:t>
      </w:r>
      <w:r>
        <w:t>;</w:t>
      </w:r>
    </w:p>
    <w:p w:rsidR="00F116B1" w:rsidRDefault="0069321E">
      <w:pPr>
        <w:pStyle w:val="NormalHanging12a"/>
        <w:rPr>
          <w:b/>
          <w:i/>
        </w:rPr>
      </w:pPr>
      <w:r>
        <w:rPr>
          <w:b/>
          <w:i/>
        </w:rPr>
        <w:t>Zníženie závislosti od dovážaných krmív</w:t>
      </w:r>
    </w:p>
    <w:p w:rsidR="00F116B1" w:rsidRDefault="0069321E">
      <w:pPr>
        <w:pStyle w:val="NormalHanging12a"/>
        <w:ind w:left="709" w:hanging="709"/>
      </w:pPr>
      <w:r>
        <w:t>S.</w:t>
      </w:r>
      <w:r>
        <w:tab/>
      </w:r>
      <w:r>
        <w:t>keďže jedným z ponaučení z krízy spôsobenej ochorením COVID-19 a zo stále prebiehajúcej vojny na Ukrajine je potreba, aby Únia ukončila závislosť od niektorých kritických materiálov; keďže v poverovacom liste dezignovanému komisárovi Christophovi Hansenovi</w:t>
      </w:r>
      <w:r>
        <w:t xml:space="preserve"> ho predsedníčka Komisie Ursula von der Leyenová žiada o to, aby preskúmal spôsoby, ako znížiť dovoz kritických komodít</w:t>
      </w:r>
      <w:r>
        <w:rPr>
          <w:rStyle w:val="FootnoteReference"/>
        </w:rPr>
        <w:footnoteReference w:id="17"/>
      </w:r>
      <w:r>
        <w:t xml:space="preserve">; </w:t>
      </w:r>
    </w:p>
    <w:p w:rsidR="00F116B1" w:rsidRDefault="0069321E">
      <w:pPr>
        <w:pStyle w:val="NormalHanging12a"/>
        <w:rPr>
          <w:b/>
          <w:i/>
        </w:rPr>
      </w:pPr>
      <w:r>
        <w:rPr>
          <w:b/>
          <w:i/>
        </w:rPr>
        <w:t>Nedemokratické rozhodovanie</w:t>
      </w:r>
    </w:p>
    <w:p w:rsidR="00F116B1" w:rsidRDefault="0069321E">
      <w:pPr>
        <w:pStyle w:val="NormalHanging12a"/>
        <w:ind w:left="709" w:hanging="709"/>
      </w:pPr>
      <w:r>
        <w:t>T.</w:t>
      </w:r>
      <w:r>
        <w:tab/>
        <w:t>keďže Európsky parlament vo svojom ôsmom volebnom období prijal celkovo 36 uznesení, v ktorých namieta</w:t>
      </w:r>
      <w:r>
        <w:t xml:space="preserve">l proti tomu, aby sa GMO uvádzali na trh na použitie </w:t>
      </w:r>
      <w:r>
        <w:lastRenderedPageBreak/>
        <w:t>v potravinách a krmivách (33 uznesení) a GMO sa v Únii pestovali (tri uznesenia); keďže v deviatom volebnom období Európsky parlament prijal 38 námietok proti uvedeniu GMO na trh;</w:t>
      </w:r>
    </w:p>
    <w:p w:rsidR="00F116B1" w:rsidRDefault="0069321E">
      <w:pPr>
        <w:pStyle w:val="NormalHanging12a"/>
        <w:ind w:left="709" w:hanging="709"/>
      </w:pPr>
      <w:r>
        <w:t>U.</w:t>
      </w:r>
      <w:r>
        <w:tab/>
        <w:t>keďže Komisia naďale</w:t>
      </w:r>
      <w:r>
        <w:t>j povoľuje GMO, hoci si sama uvedomuje nedostatky z hľadiska demokracie, nízku podporu členských štátov a námietky Európskeho parlamentu;</w:t>
      </w:r>
    </w:p>
    <w:p w:rsidR="00F116B1" w:rsidRDefault="0069321E">
      <w:pPr>
        <w:pStyle w:val="NormalHanging12a"/>
        <w:ind w:left="709" w:hanging="709"/>
      </w:pPr>
      <w:r>
        <w:t>V.</w:t>
      </w:r>
      <w:r>
        <w:tab/>
        <w:t xml:space="preserve">keďže nie je potrebná žiadna zmena právnych predpisov, aby Komisia nemala možnosť povoľovať GMO, ak sa v odvolacom </w:t>
      </w:r>
      <w:r>
        <w:t>výbore nedosiahne kvalifikovaná väčšina členských štátov v prospech povolenia</w:t>
      </w:r>
      <w:r>
        <w:rPr>
          <w:rStyle w:val="FootnoteReference"/>
        </w:rPr>
        <w:footnoteReference w:id="18"/>
      </w:r>
      <w:r>
        <w:t>;</w:t>
      </w:r>
    </w:p>
    <w:p w:rsidR="00F116B1" w:rsidRDefault="0069321E">
      <w:pPr>
        <w:pStyle w:val="NormalHanging12a"/>
        <w:ind w:left="709" w:hanging="709"/>
      </w:pPr>
      <w:r>
        <w:t>W.</w:t>
      </w:r>
      <w:r>
        <w:tab/>
      </w:r>
      <w:r>
        <w:rPr>
          <w:shd w:val="clear" w:color="auto" w:fill="FFFFFF"/>
        </w:rPr>
        <w:t>keďže Stály výbor pre potravinový reťazec a zdravie zvierat uvedený v článku 35 nariadenia (ES) č. 1829/2003 pri hlasovaní 8. júla 2024 nezaujal žiadne stanovisko, čo znamen</w:t>
      </w:r>
      <w:r>
        <w:rPr>
          <w:shd w:val="clear" w:color="auto" w:fill="FFFFFF"/>
        </w:rPr>
        <w:t>á, že povolenie nepodporila kvalifikovaná väčšina členských štátov; keďže odvolací výbor na základe hlasovania 3. septembra 2024 znovu nevydal stanovisko;</w:t>
      </w:r>
    </w:p>
    <w:p w:rsidR="00F116B1" w:rsidRDefault="0069321E">
      <w:pPr>
        <w:pStyle w:val="NormalHanging12a"/>
        <w:ind w:left="709" w:hanging="709"/>
      </w:pPr>
      <w:r>
        <w:t>1.</w:t>
      </w:r>
      <w:r>
        <w:tab/>
        <w:t>domnieva sa, že vykonávacie rozhodnutie Komisie (EÚ) 2024/2629 prekračuje rámec vykonávacích právo</w:t>
      </w:r>
      <w:r>
        <w:t>mocí stanovených v nariadení (ES) č. 1829/2003;</w:t>
      </w:r>
    </w:p>
    <w:p w:rsidR="00F116B1" w:rsidRDefault="0069321E">
      <w:pPr>
        <w:pStyle w:val="NormalHanging12a"/>
        <w:ind w:left="709" w:hanging="709"/>
      </w:pPr>
      <w:r>
        <w:t>2.</w:t>
      </w:r>
      <w:r>
        <w:tab/>
        <w:t>domnieva sa, že vykonávacie rozhodnutie Komisie (EÚ) 2024/2629 nie je v súlade s právom Únie, pretože nie je zlučiteľný s cieľom nariadenia (ES) č. 1829/2003, ktorým je podľa všeobecných zásad uvedených v </w:t>
      </w:r>
      <w:r>
        <w:t>nariadení Európskeho parlamentu a Rady (ES) č. 178/2002</w:t>
      </w:r>
      <w:r>
        <w:rPr>
          <w:rStyle w:val="FootnoteReference"/>
        </w:rPr>
        <w:footnoteReference w:id="19"/>
      </w:r>
      <w:r>
        <w:t xml:space="preserve"> poskytovať základ na zabezpečenie vysokej miery ochrany ľudského života a zdravia, zdravia a dobrých životných podmienok zvierat, životného prostredia a záujmov spotrebiteľov v súvislosti s geneticky</w:t>
      </w:r>
      <w:r>
        <w:t xml:space="preserve"> modifikovanými potravinami a krmivami a súčasne zabezpečovať efektívne fungovanie vnútorného trhu;</w:t>
      </w:r>
    </w:p>
    <w:p w:rsidR="00F116B1" w:rsidRDefault="0069321E">
      <w:pPr>
        <w:pStyle w:val="NormalHanging12a"/>
        <w:ind w:left="709" w:hanging="709"/>
      </w:pPr>
      <w:r>
        <w:t>3.</w:t>
      </w:r>
      <w:r>
        <w:tab/>
        <w:t>vyzýva Komisiu, aby pri rokovaniach o dohodách o voľnom obchode zabezpečila zblíženie noriem medzi Úniou a jej partnermi s cieľom dodržiavať bezpečnostné</w:t>
      </w:r>
      <w:r>
        <w:t xml:space="preserve"> normy Únie;</w:t>
      </w:r>
    </w:p>
    <w:p w:rsidR="00F116B1" w:rsidRDefault="0069321E">
      <w:pPr>
        <w:pStyle w:val="NormalHanging12a"/>
        <w:ind w:left="709" w:hanging="709"/>
      </w:pPr>
      <w:r>
        <w:t>4.</w:t>
      </w:r>
      <w:r>
        <w:tab/>
        <w:t>žiada Komisiu, aby zrušila vykonávacie rozhodnutie (EÚ) 2024/2629 a aby predložila výboru nový návrh;</w:t>
      </w:r>
    </w:p>
    <w:p w:rsidR="00F116B1" w:rsidRDefault="0069321E">
      <w:pPr>
        <w:pStyle w:val="NormalHanging12a"/>
        <w:ind w:left="709" w:hanging="709"/>
      </w:pPr>
      <w:r>
        <w:t>5.</w:t>
      </w:r>
      <w:r>
        <w:tab/>
        <w:t xml:space="preserve">vyzýva Komisiu, aby nepovolila geneticky modifikované plodiny tolerantné k herbicídom z dôvodu súvisiaceho zvýšeného používania </w:t>
      </w:r>
      <w:r>
        <w:t>doplnkových herbicídov, a teda zvýšeného rizika pre biodiverzitu, bezpečnosť potravín a zdravie pracovníkov;</w:t>
      </w:r>
    </w:p>
    <w:p w:rsidR="00F116B1" w:rsidRDefault="0069321E">
      <w:pPr>
        <w:pStyle w:val="NormalHanging12a"/>
        <w:ind w:left="709" w:hanging="709"/>
      </w:pPr>
      <w:r>
        <w:t>6.</w:t>
      </w:r>
      <w:r>
        <w:tab/>
        <w:t>v tejto súvislosti zdôrazňuje, že povolenie dovozu akýchkoľvek geneticky modifikovaných rastlín, ktoré sú tolerantné k herbicídom zakázaným v Ún</w:t>
      </w:r>
      <w:r>
        <w:t xml:space="preserve">ii, ako je glufosinát, na použitie v potravinách a krmivách nie je v súlade s medzinárodnými záväzkami Únie vyplývajúcimi, okrem iného, z cieľov OSN v oblasti udržateľného </w:t>
      </w:r>
      <w:r>
        <w:lastRenderedPageBreak/>
        <w:t>rozvoja a z Dohovoru OSN o biologickej diverzite vrátane nedávno prijatého rámca z K</w:t>
      </w:r>
      <w:r>
        <w:t>chun-mingu a Montrealu</w:t>
      </w:r>
      <w:r>
        <w:rPr>
          <w:rStyle w:val="FootnoteReference"/>
        </w:rPr>
        <w:footnoteReference w:id="20"/>
      </w:r>
      <w:r>
        <w:t>;</w:t>
      </w:r>
    </w:p>
    <w:p w:rsidR="00F116B1" w:rsidRDefault="0069321E">
      <w:pPr>
        <w:pStyle w:val="NormalHanging12a"/>
        <w:ind w:left="709" w:hanging="709"/>
      </w:pPr>
      <w:r>
        <w:t>7.</w:t>
      </w:r>
      <w:r>
        <w:tab/>
        <w:t>očakáva, že Komisia urýchlene splní svoj záväzok predložiť návrh na zabezpečenie toho, aby sa nebezpečné chemikálie zakázané v Únii nevyrábali na vývoz;</w:t>
      </w:r>
    </w:p>
    <w:p w:rsidR="00F116B1" w:rsidRDefault="0069321E">
      <w:pPr>
        <w:pStyle w:val="NormalHanging12a"/>
        <w:ind w:left="709" w:hanging="709"/>
      </w:pPr>
      <w:r>
        <w:t>8.</w:t>
      </w:r>
      <w:r>
        <w:tab/>
        <w:t>víta to, že Komisia v liste z 11. septembra 2020 adresovanom poslancom k</w:t>
      </w:r>
      <w:r>
        <w:t>onečne uznala, že pri rozhodovaní o povoleniach pre GMO treba zohľadňovať otázku udržateľnosti</w:t>
      </w:r>
      <w:r>
        <w:rPr>
          <w:rStyle w:val="FootnoteReference"/>
        </w:rPr>
        <w:footnoteReference w:id="21"/>
      </w:r>
      <w:r>
        <w:t>; vyjadruje však hlboké sklamanie nad tým, že Komisia naďalej povoľuje dovoz GMO do Únie napriek neprestajným námietkam Európskeho parlamentu a bez kvalifikovane</w:t>
      </w:r>
      <w:r>
        <w:t>j väčšiny členských štátov hlasujúcich za;</w:t>
      </w:r>
    </w:p>
    <w:p w:rsidR="00F116B1" w:rsidRDefault="0069321E">
      <w:pPr>
        <w:pStyle w:val="NormalHanging12a"/>
        <w:ind w:left="709" w:hanging="709"/>
      </w:pPr>
      <w:r>
        <w:t>9.</w:t>
      </w:r>
      <w:r>
        <w:tab/>
        <w:t>opätovne naliehavo vyzýva Komisiu, aby zohľadnila záväzky Únie vyplývajúce z medzinárodných dohôd, ako sú Parížska dohoda o zmene klímy, Dohovor OSN o biologickej diverzite a ciele OSN v oblasti udržateľného ro</w:t>
      </w:r>
      <w:r>
        <w:t>zvoja; opakuje svoju výzvu, aby bola k návrhom vykonávacích aktov priložená dôvodová správa, v ktorej sa vysvetlí, ako sa v nich dodržiava zásada „nespôsobovať škodu“</w:t>
      </w:r>
      <w:r>
        <w:rPr>
          <w:rStyle w:val="FootnoteReference"/>
        </w:rPr>
        <w:footnoteReference w:id="22"/>
      </w:r>
      <w:r>
        <w:t xml:space="preserve">; </w:t>
      </w:r>
    </w:p>
    <w:p w:rsidR="00F116B1" w:rsidRDefault="0069321E">
      <w:pPr>
        <w:pStyle w:val="NormalHanging12a"/>
        <w:ind w:left="709" w:hanging="709"/>
      </w:pPr>
      <w:r>
        <w:t>10.</w:t>
      </w:r>
      <w:r>
        <w:tab/>
        <w:t>poveruje svoju predsedníčku, aby postúpila toto uznesenie Rade, Komisii a vládam a</w:t>
      </w:r>
      <w:r>
        <w:t xml:space="preserve"> parlamentom členských štátov.</w:t>
      </w:r>
    </w:p>
    <w:p w:rsidR="00F116B1" w:rsidRDefault="00F116B1"/>
    <w:sectPr w:rsidR="00F116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6B1" w:rsidRDefault="0069321E">
      <w:r>
        <w:separator/>
      </w:r>
    </w:p>
  </w:endnote>
  <w:endnote w:type="continuationSeparator" w:id="0">
    <w:p w:rsidR="00F116B1" w:rsidRDefault="0069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6B1" w:rsidRDefault="0069321E">
      <w:r>
        <w:separator/>
      </w:r>
    </w:p>
  </w:footnote>
  <w:footnote w:type="continuationSeparator" w:id="0">
    <w:p w:rsidR="00F116B1" w:rsidRDefault="0069321E">
      <w:r>
        <w:continuationSeparator/>
      </w:r>
    </w:p>
  </w:footnote>
  <w:footnote w:id="1">
    <w:p w:rsidR="00F116B1" w:rsidRDefault="0069321E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sk-SK"/>
        </w:rPr>
        <w:tab/>
      </w:r>
      <w:r>
        <w:rPr>
          <w:sz w:val="24"/>
          <w:lang w:val="sk-SK"/>
        </w:rPr>
        <w:t>Ú. v. EÚ L</w:t>
      </w:r>
      <w:bookmarkStart w:id="7" w:name="_GoBack"/>
      <w:bookmarkEnd w:id="7"/>
      <w:r>
        <w:rPr>
          <w:sz w:val="24"/>
          <w:lang w:val="sk-SK"/>
        </w:rPr>
        <w:t xml:space="preserve">, </w:t>
      </w:r>
      <w:r>
        <w:rPr>
          <w:sz w:val="24"/>
          <w:lang w:val="fi-FI"/>
        </w:rPr>
        <w:t xml:space="preserve">2024/2629, 10.10.2024, ELI: </w:t>
      </w:r>
      <w:hyperlink r:id="rId1" w:history="1">
        <w:r>
          <w:rPr>
            <w:rStyle w:val="Hyperlink"/>
            <w:sz w:val="24"/>
            <w:lang w:val="fi-FI"/>
          </w:rPr>
          <w:t>http://data.europa.eu/eli/dec_impl/2024/2629/oj</w:t>
        </w:r>
      </w:hyperlink>
      <w:r>
        <w:rPr>
          <w:sz w:val="24"/>
          <w:lang w:val="fi-FI"/>
        </w:rPr>
        <w:t>.</w:t>
      </w:r>
    </w:p>
  </w:footnote>
  <w:footnote w:id="2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2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268, 18.10.2003, s. </w:t>
      </w:r>
      <w:r>
        <w:rPr>
          <w:sz w:val="24"/>
          <w:lang w:val="sk-SK"/>
        </w:rPr>
        <w:t xml:space="preserve">1, ELI: </w:t>
      </w:r>
      <w:hyperlink r:id="rId2" w:tooltip="Umožňuje prístup k tomuto dokumentu prostredníctvom jednotného identifikátora zdroja ELI." w:history="1">
        <w:r>
          <w:rPr>
            <w:rStyle w:val="Hyperlink"/>
            <w:color w:val="337AB7"/>
            <w:sz w:val="24"/>
            <w:shd w:val="clear" w:color="auto" w:fill="FFFFFF"/>
            <w:lang w:val="sk-SK"/>
          </w:rPr>
          <w:t>http://data</w:t>
        </w:r>
        <w:r>
          <w:rPr>
            <w:rStyle w:val="Hyperlink"/>
            <w:color w:val="337AB7"/>
            <w:sz w:val="24"/>
            <w:shd w:val="clear" w:color="auto" w:fill="FFFFFF"/>
            <w:lang w:val="sk-SK"/>
          </w:rPr>
          <w:t>.europa.eu/eli/reg/2003/1829/oj</w:t>
        </w:r>
      </w:hyperlink>
      <w:r>
        <w:rPr>
          <w:sz w:val="24"/>
          <w:lang w:val="sk-SK"/>
        </w:rPr>
        <w:t xml:space="preserve">. </w:t>
      </w:r>
    </w:p>
  </w:footnote>
  <w:footnote w:id="3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55, 28.2.2011, s. </w:t>
      </w:r>
      <w:r>
        <w:rPr>
          <w:sz w:val="24"/>
          <w:lang w:val="sk-SK"/>
        </w:rPr>
        <w:t xml:space="preserve">13, ELI: </w:t>
      </w:r>
      <w:hyperlink r:id="rId3" w:tooltip="Umožňuje prístup k tomuto dokumentu prostredníctvom jednotného identifikátora zdroja ELI." w:history="1">
        <w:r>
          <w:rPr>
            <w:rStyle w:val="Hyperlink"/>
            <w:color w:val="337AB7"/>
            <w:sz w:val="24"/>
            <w:shd w:val="clear" w:color="auto" w:fill="FFFFFF"/>
            <w:lang w:val="sk-SK"/>
          </w:rPr>
          <w:t>http://data.europa.eu/eli/re</w:t>
        </w:r>
        <w:r>
          <w:rPr>
            <w:rStyle w:val="Hyperlink"/>
            <w:color w:val="337AB7"/>
            <w:sz w:val="24"/>
            <w:shd w:val="clear" w:color="auto" w:fill="FFFFFF"/>
            <w:lang w:val="sk-SK"/>
          </w:rPr>
          <w:t>g/2011/182/oj</w:t>
        </w:r>
      </w:hyperlink>
      <w:r>
        <w:rPr>
          <w:sz w:val="24"/>
          <w:lang w:val="sk-SK"/>
        </w:rPr>
        <w:t>.</w:t>
      </w:r>
    </w:p>
  </w:footnote>
  <w:footnote w:id="4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EFSA Panel on Genetically Modified Organisms scientific opinion on assessment of genetically modified maize MON 89034 × 1507 × MON 88017 × 59122 and 8 out of 10 of its subcombinations for renewal authorisation under Regulation (EC) No 182</w:t>
      </w:r>
      <w:r>
        <w:rPr>
          <w:sz w:val="24"/>
          <w:lang w:val="sk-SK"/>
        </w:rPr>
        <w:t>9/2003 (Vedecké stanovisko pracovnej skupiny EFSA pre geneticky modifikované organizmy k posúdeniu geneticky modifikovanej kukurice MON 89034 × 1507 × MON 88017 × 59122 a ôsmich z desiatich jej čiastkových kombinácií na účely obnovenia povolenia podľa nari</w:t>
      </w:r>
      <w:r>
        <w:rPr>
          <w:sz w:val="24"/>
          <w:lang w:val="sk-SK"/>
        </w:rPr>
        <w:t>adenia (ES) č. </w:t>
      </w:r>
      <w:r>
        <w:rPr>
          <w:sz w:val="24"/>
          <w:lang w:val="sk-SK"/>
        </w:rPr>
        <w:t xml:space="preserve">1829/2003) (spis GMFF-2022-9170), vestník EFSA (2024), 22(4):8715, </w:t>
      </w:r>
      <w:hyperlink r:id="rId4" w:history="1">
        <w:r>
          <w:rPr>
            <w:rStyle w:val="Hyperlink"/>
            <w:sz w:val="24"/>
            <w:lang w:val="sk-SK"/>
          </w:rPr>
          <w:t>https://doi.org/10.2903/j.efsa.2024.8715</w:t>
        </w:r>
      </w:hyperlink>
      <w:r>
        <w:rPr>
          <w:sz w:val="24"/>
          <w:lang w:val="sk-SK"/>
        </w:rPr>
        <w:t>.</w:t>
      </w:r>
    </w:p>
  </w:footnote>
  <w:footnote w:id="5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 xml:space="preserve">Európsky parlament prijal vo svojom ôsmom volebnom období 36 uznesení a </w:t>
      </w:r>
      <w:r>
        <w:rPr>
          <w:color w:val="000000" w:themeColor="text1"/>
          <w:sz w:val="24"/>
          <w:lang w:val="sk-SK"/>
        </w:rPr>
        <w:t>v deviatom volebnom období 38 uznesení, v ktorých namieta proti povoľovaniu GMO.</w:t>
      </w:r>
    </w:p>
  </w:footnote>
  <w:footnote w:id="6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2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Vykonávacie nariadenie Komisie (EÚ) č. 503/2013 z 3. apríla 2013, ktoré sa týka žiadostí o povolenie geneticky modifikovaných potravín a krmív v súlade s nariadením Európsk</w:t>
      </w:r>
      <w:r>
        <w:rPr>
          <w:sz w:val="24"/>
          <w:lang w:val="sk-SK"/>
        </w:rPr>
        <w:t>eho parlamentu a Rady (ES) č. 1829/2003 a ktorým sa menia a dopĺňajú nariadenia Komisie (ES) č. 641/2004 a (ES) č. 1981/2006 (Ú. v. EÚ L 157, 8.6.2013, s. </w:t>
      </w:r>
      <w:r>
        <w:rPr>
          <w:sz w:val="24"/>
          <w:lang w:val="sk-SK"/>
        </w:rPr>
        <w:t xml:space="preserve">1, ELI: </w:t>
      </w:r>
      <w:hyperlink r:id="rId5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http://data.europa.eu/eli/reg_impl/2013/503/oj</w:t>
        </w:r>
      </w:hyperlink>
      <w:r>
        <w:rPr>
          <w:sz w:val="24"/>
          <w:lang w:val="sk-SK"/>
        </w:rPr>
        <w:t>).</w:t>
      </w:r>
    </w:p>
  </w:footnote>
  <w:footnote w:id="7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Pozri napríklad Schulz, R., Bub, S., Petschick, L. L., Stehle, S., Wolfram, J. (2021), Applied pesticide toxicity shifts toward plants and </w:t>
      </w:r>
      <w:r>
        <w:rPr>
          <w:sz w:val="24"/>
          <w:lang w:val="sk-SK"/>
        </w:rPr>
        <w:t>bezstavebrates, even in GM crops Aplikovaná toxicita pesticídov sa presúva smerom k rastlinám a bezstavovcom, dokonca aj v geneticky modifikovaných plodinách), Science 372(6537), s. </w:t>
      </w:r>
      <w:r>
        <w:rPr>
          <w:sz w:val="24"/>
          <w:lang w:val="sk-SK"/>
        </w:rPr>
        <w:t xml:space="preserve">81 – 84, </w:t>
      </w:r>
      <w:hyperlink r:id="rId6" w:history="1">
        <w:r>
          <w:rPr>
            <w:rStyle w:val="Hyperlink"/>
            <w:sz w:val="24"/>
            <w:lang w:val="sk-SK"/>
          </w:rPr>
          <w:t>https://d</w:t>
        </w:r>
        <w:r>
          <w:rPr>
            <w:rStyle w:val="Hyperlink"/>
            <w:sz w:val="24"/>
            <w:lang w:val="sk-SK"/>
          </w:rPr>
          <w:t>oi.org/10.1126/science.abe1148</w:t>
        </w:r>
      </w:hyperlink>
      <w:r>
        <w:rPr>
          <w:rStyle w:val="Hyperlink"/>
          <w:sz w:val="24"/>
          <w:lang w:val="sk-SK"/>
        </w:rPr>
        <w:t>;</w:t>
      </w:r>
      <w:r>
        <w:rPr>
          <w:sz w:val="24"/>
          <w:lang w:val="sk-SK"/>
        </w:rPr>
        <w:t xml:space="preserve"> Bonny, S., Genetically Modified Herbicide-Tolerant Crops, Weeds, and Herbicides: Overview and Impact (Geneticky modifikované plodiny, buriny a herbicídy tolerantné k herbicídom: Prehľad a vplyv), Environmental Management, ja</w:t>
      </w:r>
      <w:r>
        <w:rPr>
          <w:sz w:val="24"/>
          <w:lang w:val="sk-SK"/>
        </w:rPr>
        <w:t xml:space="preserve">nuár 2016; 57(1), s. 31 – 48, </w:t>
      </w:r>
      <w:hyperlink r:id="rId7" w:history="1">
        <w:r>
          <w:rPr>
            <w:rStyle w:val="Hyperlink"/>
            <w:sz w:val="24"/>
            <w:lang w:val="sk-SK"/>
          </w:rPr>
          <w:t>https://www.ncbi.nlm.nih.gov/pubmed/26296738</w:t>
        </w:r>
      </w:hyperlink>
      <w:r>
        <w:rPr>
          <w:rStyle w:val="Hyperlink"/>
          <w:sz w:val="24"/>
          <w:lang w:val="sk-SK"/>
        </w:rPr>
        <w:t>;</w:t>
      </w:r>
      <w:r>
        <w:rPr>
          <w:sz w:val="24"/>
          <w:lang w:val="sk-SK"/>
        </w:rPr>
        <w:t xml:space="preserve"> a Benbrook, C.M., Impacts of genetically engineered crops on pesticide use in the U.S. – the first sixteen years (Vp</w:t>
      </w:r>
      <w:r>
        <w:rPr>
          <w:sz w:val="24"/>
          <w:lang w:val="sk-SK"/>
        </w:rPr>
        <w:t xml:space="preserve">lyv geneticky modifikovaných plodín na používanie pesticídov v USA – prvých šestnásť rokov), Environmental Sciences Europe, 28. september 2012, zväzok 24(1), </w:t>
      </w:r>
      <w:hyperlink r:id="rId8" w:history="1">
        <w:r>
          <w:rPr>
            <w:rStyle w:val="Hyperlink"/>
            <w:sz w:val="24"/>
            <w:lang w:val="sk-SK"/>
          </w:rPr>
          <w:t>https://enveur</w:t>
        </w:r>
        <w:r>
          <w:rPr>
            <w:rStyle w:val="Hyperlink"/>
            <w:sz w:val="24"/>
            <w:lang w:val="sk-SK"/>
          </w:rPr>
          <w:t>ope.springeropen.com/articles/10.1186/2190-4715-24-24</w:t>
        </w:r>
      </w:hyperlink>
      <w:r>
        <w:rPr>
          <w:rStyle w:val="Hyperlink"/>
          <w:sz w:val="24"/>
          <w:lang w:val="sk-SK"/>
        </w:rPr>
        <w:t>.</w:t>
      </w:r>
    </w:p>
  </w:footnote>
  <w:footnote w:id="8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2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(ES) č. 1107/2009 z 21. októbra 2009 o uvádzaní prípravkov na ochranu rastlín na trh a o zrušení smerníc Rady 79/117/EHS a 91/414/EHS (Ú. v. EÚ L 309, 24.11.2</w:t>
      </w:r>
      <w:r>
        <w:rPr>
          <w:sz w:val="24"/>
          <w:lang w:val="sk-SK"/>
        </w:rPr>
        <w:t>009, s. </w:t>
      </w:r>
      <w:r>
        <w:rPr>
          <w:sz w:val="24"/>
          <w:lang w:val="sk-SK"/>
        </w:rPr>
        <w:t xml:space="preserve">1, ELI: </w:t>
      </w:r>
      <w:hyperlink r:id="rId9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http://data.europa.eu/eli/reg/2009/1107/oj</w:t>
        </w:r>
      </w:hyperlink>
      <w:r>
        <w:rPr>
          <w:sz w:val="24"/>
          <w:lang w:val="sk-SK"/>
        </w:rPr>
        <w:t>).</w:t>
      </w:r>
    </w:p>
  </w:footnote>
  <w:footnote w:id="9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Pozri napríklad </w:t>
      </w:r>
      <w:hyperlink r:id="rId10" w:history="1">
        <w:r>
          <w:rPr>
            <w:rStyle w:val="Hyperlink"/>
            <w:sz w:val="24"/>
            <w:lang w:val="sk-SK"/>
          </w:rPr>
          <w:t>https://www.sciencedirect.com/science/article/pii/S1383574218300887</w:t>
        </w:r>
      </w:hyperlink>
      <w:r>
        <w:rPr>
          <w:sz w:val="24"/>
          <w:lang w:val="sk-SK"/>
        </w:rPr>
        <w:t xml:space="preserve">, </w:t>
      </w:r>
      <w:hyperlink r:id="rId11" w:history="1">
        <w:r>
          <w:rPr>
            <w:rStyle w:val="Hyperlink"/>
            <w:sz w:val="24"/>
            <w:lang w:val="sk-SK"/>
          </w:rPr>
          <w:t>https://academic.oup.com/ije/adva</w:t>
        </w:r>
        <w:r>
          <w:rPr>
            <w:rStyle w:val="Hyperlink"/>
            <w:sz w:val="24"/>
            <w:lang w:val="sk-SK"/>
          </w:rPr>
          <w:t>nce-article/doi/10.1093/ije/dyz017/5382278</w:t>
        </w:r>
      </w:hyperlink>
      <w:r>
        <w:rPr>
          <w:sz w:val="24"/>
          <w:lang w:val="sk-SK"/>
        </w:rPr>
        <w:t xml:space="preserve">, </w:t>
      </w:r>
      <w:hyperlink r:id="rId12" w:history="1">
        <w:r>
          <w:rPr>
            <w:rStyle w:val="Hyperlink"/>
            <w:sz w:val="24"/>
            <w:lang w:val="sk-SK"/>
          </w:rPr>
          <w:t>https://journals.plos.org/plosone/article?id=10.1371/journal.pone.0219610</w:t>
        </w:r>
      </w:hyperlink>
      <w:r>
        <w:rPr>
          <w:sz w:val="24"/>
          <w:lang w:val="sk-SK"/>
        </w:rPr>
        <w:t xml:space="preserve"> a </w:t>
      </w:r>
      <w:hyperlink r:id="rId13" w:history="1">
        <w:r>
          <w:rPr>
            <w:rStyle w:val="Hyperlink"/>
            <w:sz w:val="24"/>
            <w:lang w:val="sk-SK"/>
          </w:rPr>
          <w:t>https://www.ncbi.nlm.nih.gov/pmc/articles/PMC6612199/</w:t>
        </w:r>
      </w:hyperlink>
      <w:r>
        <w:rPr>
          <w:rStyle w:val="Hyperlink"/>
          <w:sz w:val="24"/>
          <w:lang w:val="sk-SK"/>
        </w:rPr>
        <w:t>.</w:t>
      </w:r>
    </w:p>
  </w:footnote>
  <w:footnote w:id="10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Pozri preskúmanie Rubio-Infante, N., Moreno-Fierros, L., An overview of the safety and biological effects of </w:t>
      </w:r>
      <w:r>
        <w:rPr>
          <w:i/>
          <w:sz w:val="24"/>
          <w:lang w:val="sk-SK"/>
        </w:rPr>
        <w:t>Bacillus thuringiensis</w:t>
      </w:r>
      <w:r>
        <w:rPr>
          <w:sz w:val="24"/>
          <w:lang w:val="sk-SK"/>
        </w:rPr>
        <w:t> Cry toxins in mammals (Prehľad o bezpečnos</w:t>
      </w:r>
      <w:r>
        <w:rPr>
          <w:sz w:val="24"/>
          <w:lang w:val="sk-SK"/>
        </w:rPr>
        <w:t xml:space="preserve">ti a biologických účinkoch Cry toxínov </w:t>
      </w:r>
      <w:r>
        <w:rPr>
          <w:i/>
          <w:iCs/>
          <w:sz w:val="24"/>
          <w:lang w:val="sk-SK"/>
        </w:rPr>
        <w:t>Bacillus thuringiensis</w:t>
      </w:r>
      <w:r>
        <w:rPr>
          <w:sz w:val="24"/>
          <w:lang w:val="sk-SK"/>
        </w:rPr>
        <w:t xml:space="preserve"> u cicavcov), Journal of Applied Toxicology, máj 2016, 36, 5, s. </w:t>
      </w:r>
      <w:r>
        <w:rPr>
          <w:sz w:val="24"/>
          <w:lang w:val="sk-SK"/>
        </w:rPr>
        <w:t xml:space="preserve">630 – 648, </w:t>
      </w:r>
      <w:hyperlink r:id="rId14" w:history="1">
        <w:r>
          <w:rPr>
            <w:rStyle w:val="Hyperlink"/>
            <w:sz w:val="24"/>
            <w:lang w:val="sk-SK"/>
          </w:rPr>
          <w:t>https://onlinelibrary.wiley.com/doi/full/10.1</w:t>
        </w:r>
        <w:r>
          <w:rPr>
            <w:rStyle w:val="Hyperlink"/>
            <w:sz w:val="24"/>
            <w:lang w:val="sk-SK"/>
          </w:rPr>
          <w:t>002/jat.3252</w:t>
        </w:r>
      </w:hyperlink>
      <w:r>
        <w:rPr>
          <w:sz w:val="24"/>
          <w:lang w:val="sk-SK"/>
        </w:rPr>
        <w:t>.</w:t>
      </w:r>
    </w:p>
  </w:footnote>
  <w:footnote w:id="11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5" w:history="1">
        <w:r>
          <w:rPr>
            <w:rStyle w:val="Hyperlink"/>
            <w:sz w:val="24"/>
            <w:lang w:val="sk-SK"/>
          </w:rPr>
          <w:t>https://www.sciencedirect.com/science/article/pii/S0278691516300722?via%3Dihub</w:t>
        </w:r>
      </w:hyperlink>
      <w:r>
        <w:rPr>
          <w:sz w:val="24"/>
          <w:lang w:val="sk-SK"/>
        </w:rPr>
        <w:t>.</w:t>
      </w:r>
    </w:p>
  </w:footnote>
  <w:footnote w:id="12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2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Hilbeck, A., Defarge, N., Lebrecht, T., Bøhn, T., Insecticidal </w:t>
      </w:r>
      <w:r>
        <w:rPr>
          <w:sz w:val="24"/>
          <w:lang w:val="sk-SK"/>
        </w:rPr>
        <w:t>Bt crops. EFSA’s risk assessment approach for GM Bt plants fails by design (Insekticídne Bt plodiny. Prístup úradu EFSA k posudzovaniu rizík v prípade geneticky modifikovaných Bt rastlín zlyháva už ako koncept), RAGES 2020, s. </w:t>
      </w:r>
      <w:r>
        <w:rPr>
          <w:sz w:val="24"/>
          <w:lang w:val="sk-SK"/>
        </w:rPr>
        <w:t xml:space="preserve">4, </w:t>
      </w:r>
      <w:hyperlink r:id="rId16" w:history="1">
        <w:r>
          <w:rPr>
            <w:rStyle w:val="Hyperlink"/>
            <w:sz w:val="24"/>
            <w:lang w:val="sk-SK"/>
          </w:rPr>
          <w:t>https://www.testbiotech.org/wp-content/uploads/2023/12/RAGES_report-Insecticidal-Bt-plants.pdf</w:t>
        </w:r>
      </w:hyperlink>
      <w:r>
        <w:rPr>
          <w:sz w:val="24"/>
          <w:lang w:val="sk-SK"/>
        </w:rPr>
        <w:t>.</w:t>
      </w:r>
    </w:p>
  </w:footnote>
  <w:footnote w:id="13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Strategic Dialogue on the Future of EU Agriculture - A shared prospect f</w:t>
      </w:r>
      <w:r>
        <w:rPr>
          <w:sz w:val="24"/>
          <w:lang w:val="sk-SK"/>
        </w:rPr>
        <w:t xml:space="preserve">or farming and food in Europe (Strategický dialóg o budúcnosti poľnohospodárstva v EÚ – Spoločná vízia poľnohospodárstva a potravinárstva v Európe), september 2024, </w:t>
      </w:r>
      <w:hyperlink r:id="rId17" w:history="1">
        <w:r>
          <w:rPr>
            <w:rStyle w:val="Hyperlink"/>
            <w:sz w:val="24"/>
            <w:lang w:val="sk-SK"/>
          </w:rPr>
          <w:t>https://agriculture.ec.europa.eu/document/download/171329ff-0f50-4fa5-946f-aea11032172e_en?filename=strategic-dialogue-report-2024_en.pdf</w:t>
        </w:r>
      </w:hyperlink>
      <w:r>
        <w:rPr>
          <w:rStyle w:val="Hyperlink"/>
          <w:sz w:val="24"/>
          <w:lang w:val="sk-SK"/>
        </w:rPr>
        <w:t>.</w:t>
      </w:r>
    </w:p>
  </w:footnote>
  <w:footnote w:id="14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8" w:history="1">
        <w:r>
          <w:rPr>
            <w:rStyle w:val="Hyperlink"/>
            <w:sz w:val="24"/>
            <w:lang w:val="sk-SK"/>
          </w:rPr>
          <w:t>https://www.ohchr.org/en/documents/thematic-reports/ahrc3448-report-special-rapporteur-right-food</w:t>
        </w:r>
      </w:hyperlink>
    </w:p>
  </w:footnote>
  <w:footnote w:id="15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9" w:history="1">
        <w:r>
          <w:rPr>
            <w:rStyle w:val="Hyperlink"/>
            <w:sz w:val="24"/>
            <w:lang w:val="sk-SK"/>
          </w:rPr>
          <w:t>https://indicators.report/targets/3-9</w:t>
        </w:r>
        <w:r>
          <w:rPr>
            <w:rStyle w:val="Hyperlink"/>
            <w:sz w:val="24"/>
            <w:lang w:val="sk-SK"/>
          </w:rPr>
          <w:t>/</w:t>
        </w:r>
      </w:hyperlink>
    </w:p>
  </w:footnote>
  <w:footnote w:id="16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20" w:history="1">
        <w:r>
          <w:rPr>
            <w:rStyle w:val="Hyperlink"/>
            <w:sz w:val="24"/>
            <w:lang w:val="sk-SK"/>
          </w:rPr>
          <w:t>https://ec.europa.eu/commission/presscorner/detail/sk/ip_22_7834</w:t>
        </w:r>
      </w:hyperlink>
    </w:p>
  </w:footnote>
  <w:footnote w:id="17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21" w:history="1">
        <w:r>
          <w:rPr>
            <w:rStyle w:val="Hyperlink"/>
            <w:sz w:val="24"/>
            <w:lang w:val="sk-SK"/>
          </w:rPr>
          <w:t>https://</w:t>
        </w:r>
        <w:r>
          <w:rPr>
            <w:rStyle w:val="Hyperlink"/>
            <w:sz w:val="24"/>
            <w:lang w:val="sk-SK"/>
          </w:rPr>
          <w:t>commission.europa.eu/document/2c64e540-c07a-4376-a1da-368d289f4afe_en</w:t>
        </w:r>
      </w:hyperlink>
    </w:p>
  </w:footnote>
  <w:footnote w:id="18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Ak udelenie povolenia v odvolacom výbore neschváli kvalifikovaná väčšina členských štátov, Komisia podľa článku 6 ods. 3 nariadenia (EÚ) č. 182/2011 môže, ale nemusí dané povolenie ud</w:t>
      </w:r>
      <w:r>
        <w:rPr>
          <w:sz w:val="24"/>
          <w:lang w:val="sk-SK"/>
        </w:rPr>
        <w:t>eliť.</w:t>
      </w:r>
    </w:p>
  </w:footnote>
  <w:footnote w:id="19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</w:t>
      </w:r>
      <w:r>
        <w:rPr>
          <w:sz w:val="24"/>
          <w:lang w:val="sk-SK"/>
        </w:rPr>
        <w:t>travín (Ú. v. ES L 31, 1.2.2002, s. </w:t>
      </w:r>
      <w:r>
        <w:rPr>
          <w:sz w:val="24"/>
          <w:lang w:val="sk-SK"/>
        </w:rPr>
        <w:t xml:space="preserve">1, ELI: </w:t>
      </w:r>
      <w:hyperlink r:id="rId22" w:tooltip="Umožňuje prístup k tomuto dokumentu prostredníctvom jednotného identifikátora zdroja ELI." w:history="1">
        <w:r>
          <w:rPr>
            <w:rStyle w:val="Hyperlink"/>
            <w:sz w:val="24"/>
            <w:lang w:val="sk-SK"/>
          </w:rPr>
          <w:t>http://data.europa.eu/eli/reg/2002/178/oj</w:t>
        </w:r>
      </w:hyperlink>
      <w:r>
        <w:rPr>
          <w:sz w:val="24"/>
          <w:lang w:val="sk-SK"/>
        </w:rPr>
        <w:t>).</w:t>
      </w:r>
    </w:p>
  </w:footnote>
  <w:footnote w:id="20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szCs w:val="22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 decembri 2</w:t>
      </w:r>
      <w:r>
        <w:rPr>
          <w:sz w:val="24"/>
          <w:lang w:val="sk-SK"/>
        </w:rPr>
        <w:t>022 bol na 15. </w:t>
      </w:r>
      <w:r>
        <w:rPr>
          <w:sz w:val="24"/>
          <w:lang w:val="sk-SK"/>
        </w:rPr>
        <w:t xml:space="preserve">konferencii zmluvných strán Dohovoru OSN o biologickej diverzite schválený globálny rámec pre biodiverzitu, ktorý zahŕňa globálny cieľ znížiť riziko používania pesticídov do roku 2030 aspoň o 50 % (pozri: </w:t>
      </w:r>
      <w:hyperlink r:id="rId23" w:history="1">
        <w:r>
          <w:rPr>
            <w:rStyle w:val="Hyperlink"/>
            <w:sz w:val="24"/>
            <w:lang w:val="sk-SK"/>
          </w:rPr>
          <w:t>https://ec.europa.eu/commission/presscorner/detail/sk/ip_22_7834</w:t>
        </w:r>
      </w:hyperlink>
      <w:r>
        <w:rPr>
          <w:sz w:val="24"/>
          <w:lang w:val="sk-SK"/>
        </w:rPr>
        <w:t>).</w:t>
      </w:r>
    </w:p>
  </w:footnote>
  <w:footnote w:id="21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24" w:history="1">
        <w:r>
          <w:rPr>
            <w:rStyle w:val="Hyperlink"/>
            <w:sz w:val="24"/>
            <w:lang w:val="sk-SK"/>
          </w:rPr>
          <w:t>https://tillymetz.lu/wp-content/uploads/2020/09</w:t>
        </w:r>
        <w:r>
          <w:rPr>
            <w:rStyle w:val="Hyperlink"/>
            <w:sz w:val="24"/>
            <w:lang w:val="sk-SK"/>
          </w:rPr>
          <w:t>/Co-signed-letter-MEP-Metz.pdf</w:t>
        </w:r>
      </w:hyperlink>
      <w:r>
        <w:rPr>
          <w:rStyle w:val="Hyperlink"/>
          <w:sz w:val="24"/>
          <w:lang w:val="sk-SK"/>
        </w:rPr>
        <w:t>.</w:t>
      </w:r>
    </w:p>
  </w:footnote>
  <w:footnote w:id="22">
    <w:p w:rsidR="00F116B1" w:rsidRDefault="006932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15. januára 2020 o Európskej zelenej dohode (Ú. v. EÚ C 270, 7.7.2021, s. 2), odsek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6B1" w:rsidRDefault="00F116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7/2024"/>
    <w:docVar w:name="dvlangue" w:val="SK"/>
    <w:docVar w:name="dvnumam" w:val="0"/>
    <w:docVar w:name="dvpe" w:val="763.291"/>
    <w:docVar w:name="dvtitre" w:val="Uznesenie Európskeho parlamentu z 26. novembra 2024 o návrhu vykonávacieho rozhodnutia Komisie, ktorým sa podľa nariadenia Európskeho parlamentu a Rady (ES) č. 1829/2003 obnovuje povolenie umiestňovať na trh výrobky, ktoré obsahujú geneticky modifikovanú kukuricu MON 89034 × 1507 × MON 88017 × 59122 a osem jej čiastkových kombinácií, sú z nich zložené alebo vyrobené(D098493/04 – 2024/2834(RSP))"/>
  </w:docVars>
  <w:rsids>
    <w:rsidRoot w:val="00F116B1"/>
    <w:rsid w:val="0069321E"/>
    <w:rsid w:val="00F1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BEF40C"/>
  <w15:chartTrackingRefBased/>
  <w15:docId w15:val="{97680D9A-D984-4547-A227-45E6CD2E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nveurope.springeropen.com/articles/10.1186/2190-4715-24-24" TargetMode="External"/><Relationship Id="rId13" Type="http://schemas.openxmlformats.org/officeDocument/2006/relationships/hyperlink" Target="https://www.ncbi.nlm.nih.gov/pmc/articles/PMC6612199/" TargetMode="External"/><Relationship Id="rId18" Type="http://schemas.openxmlformats.org/officeDocument/2006/relationships/hyperlink" Target="https://www.ohchr.org/en/documents/thematic-reports/ahrc3448-report-special-rapporteur-right-food" TargetMode="External"/><Relationship Id="rId3" Type="http://schemas.openxmlformats.org/officeDocument/2006/relationships/hyperlink" Target="http://data.europa.eu/eli/reg/2011/182/oj" TargetMode="External"/><Relationship Id="rId21" Type="http://schemas.openxmlformats.org/officeDocument/2006/relationships/hyperlink" Target="https://commission.europa.eu/document/2c64e540-c07a-4376-a1da-368d289f4afe_en" TargetMode="External"/><Relationship Id="rId7" Type="http://schemas.openxmlformats.org/officeDocument/2006/relationships/hyperlink" Target="https://www.ncbi.nlm.nih.gov/pubmed/26296738%20" TargetMode="External"/><Relationship Id="rId12" Type="http://schemas.openxmlformats.org/officeDocument/2006/relationships/hyperlink" Target="https://journals.plos.org/plosone/article?id=10.1371/journal.pone.0219610" TargetMode="External"/><Relationship Id="rId17" Type="http://schemas.openxmlformats.org/officeDocument/2006/relationships/hyperlink" Target="https://agriculture.ec.europa.eu/document/download/171329ff-0f50-4fa5-946f-aea11032172e_en?filename=strategic-dialogue-report-2024_en.pdf" TargetMode="External"/><Relationship Id="rId2" Type="http://schemas.openxmlformats.org/officeDocument/2006/relationships/hyperlink" Target="http://data.europa.eu/eli/reg/2003/1829/oj" TargetMode="External"/><Relationship Id="rId16" Type="http://schemas.openxmlformats.org/officeDocument/2006/relationships/hyperlink" Target="https://www.testbiotech.org/wp-content/uploads/2023/12/RAGES_report-Insecticidal-Bt-plants.pdf" TargetMode="External"/><Relationship Id="rId20" Type="http://schemas.openxmlformats.org/officeDocument/2006/relationships/hyperlink" Target="https://ec.europa.eu/commission/presscorner/detail/sk/ip_22_7834" TargetMode="External"/><Relationship Id="rId1" Type="http://schemas.openxmlformats.org/officeDocument/2006/relationships/hyperlink" Target="http://data.europa.eu/eli/dec_impl/2024/2629/oj" TargetMode="External"/><Relationship Id="rId6" Type="http://schemas.openxmlformats.org/officeDocument/2006/relationships/hyperlink" Target="https://doi.org/10.1126/science.abe1148" TargetMode="External"/><Relationship Id="rId11" Type="http://schemas.openxmlformats.org/officeDocument/2006/relationships/hyperlink" Target="https://academic.oup.com/ije/advance-article/doi/10.1093/ije/dyz017/5382278" TargetMode="External"/><Relationship Id="rId24" Type="http://schemas.openxmlformats.org/officeDocument/2006/relationships/hyperlink" Target="https://tillymetz.lu/wp-content/uploads/2020/09/Co-signed-letter-MEP-Metz.pdf" TargetMode="External"/><Relationship Id="rId5" Type="http://schemas.openxmlformats.org/officeDocument/2006/relationships/hyperlink" Target="http://data.europa.eu/eli/reg_impl/2013/503/oj" TargetMode="External"/><Relationship Id="rId15" Type="http://schemas.openxmlformats.org/officeDocument/2006/relationships/hyperlink" Target="https://www.sciencedirect.com/science/article/pii/S0278691516300722?via=ihub" TargetMode="External"/><Relationship Id="rId23" Type="http://schemas.openxmlformats.org/officeDocument/2006/relationships/hyperlink" Target="https://ec.europa.eu/commission/presscorner/detail/sk/ip_22_7834" TargetMode="External"/><Relationship Id="rId10" Type="http://schemas.openxmlformats.org/officeDocument/2006/relationships/hyperlink" Target="https://www.sciencedirect.com/science/article/pii/S1383574218300887" TargetMode="External"/><Relationship Id="rId19" Type="http://schemas.openxmlformats.org/officeDocument/2006/relationships/hyperlink" Target="https://indicators.report/targets/3-9/" TargetMode="External"/><Relationship Id="rId4" Type="http://schemas.openxmlformats.org/officeDocument/2006/relationships/hyperlink" Target="https://doi.org/10.2903/j.efsa.2024.8715" TargetMode="External"/><Relationship Id="rId9" Type="http://schemas.openxmlformats.org/officeDocument/2006/relationships/hyperlink" Target="http://data.europa.eu/eli/reg/2009/1107/oj" TargetMode="External"/><Relationship Id="rId14" Type="http://schemas.openxmlformats.org/officeDocument/2006/relationships/hyperlink" Target="https://onlinelibrary.wiley.com/doi/full/10.1002/jat.3252" TargetMode="External"/><Relationship Id="rId22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4D696-A4C9-47EA-ACEE-FCC8B47C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1902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2025-01-08T08:59:00Z</dcterms:created>
  <dcterms:modified xsi:type="dcterms:W3CDTF">2025-01-08T08:59:00Z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B10-0147/2024</vt:lpwstr>
  </property>
  <property fmtid="{D5CDD505-2E9C-101B-9397-08002B2CF9AE}" pid="4" name="&lt;Type&gt;">
    <vt:lpwstr>RR</vt:lpwstr>
  </property>
</Properties>
</file>