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F0E" w:rsidTr="0010095E">
        <w:trPr>
          <w:trHeight w:hRule="exact" w:val="1418"/>
        </w:trPr>
        <w:tc>
          <w:tcPr>
            <w:tcW w:w="6804" w:type="dxa"/>
            <w:shd w:val="clear" w:color="auto" w:fill="auto"/>
            <w:vAlign w:val="center"/>
          </w:tcPr>
          <w:p w:rsidR="00751A4A" w:rsidRPr="00A61F0E" w:rsidRDefault="00BC5FF5" w:rsidP="0010095E">
            <w:pPr>
              <w:pStyle w:val="EPName"/>
            </w:pPr>
            <w:r w:rsidRPr="00A61F0E">
              <w:t>Европейски</w:t>
            </w:r>
            <w:r w:rsidR="003F6FCB" w:rsidRPr="00A61F0E">
              <w:t xml:space="preserve"> парламент</w:t>
            </w:r>
          </w:p>
          <w:p w:rsidR="00751A4A" w:rsidRPr="00A61F0E" w:rsidRDefault="005F1B17" w:rsidP="005F1B17">
            <w:pPr>
              <w:pStyle w:val="EPTerm"/>
              <w:rPr>
                <w:rStyle w:val="HideTWBExt"/>
                <w:noProof w:val="0"/>
                <w:vanish w:val="0"/>
                <w:color w:val="auto"/>
              </w:rPr>
            </w:pPr>
            <w:r w:rsidRPr="00A61F0E">
              <w:t>2024</w:t>
            </w:r>
            <w:r w:rsidR="00BC5FF5">
              <w:rPr>
                <w:lang w:val="en-GB"/>
              </w:rPr>
              <w:t> – </w:t>
            </w:r>
            <w:r w:rsidR="00817416" w:rsidRPr="00A61F0E">
              <w:t>202</w:t>
            </w:r>
            <w:r w:rsidRPr="00A61F0E">
              <w:t>9</w:t>
            </w:r>
          </w:p>
        </w:tc>
        <w:tc>
          <w:tcPr>
            <w:tcW w:w="2268" w:type="dxa"/>
            <w:shd w:val="clear" w:color="auto" w:fill="auto"/>
          </w:tcPr>
          <w:p w:rsidR="00751A4A" w:rsidRPr="00A61F0E" w:rsidRDefault="00187494" w:rsidP="0010095E">
            <w:pPr>
              <w:pStyle w:val="EPLogo"/>
            </w:pPr>
            <w:r w:rsidRPr="00A61F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1F0E" w:rsidRDefault="00D058B8" w:rsidP="004C5D52">
      <w:pPr>
        <w:pStyle w:val="LineTop"/>
      </w:pPr>
    </w:p>
    <w:p w:rsidR="00680577" w:rsidRPr="00A61F0E" w:rsidRDefault="003F6FCB" w:rsidP="00680577">
      <w:pPr>
        <w:pStyle w:val="EPBodyTA1"/>
      </w:pPr>
      <w:r w:rsidRPr="00A61F0E">
        <w:t>ПРИЕТИ ТЕКСТОВЕ</w:t>
      </w:r>
    </w:p>
    <w:p w:rsidR="00D058B8" w:rsidRPr="00A61F0E" w:rsidRDefault="00D058B8" w:rsidP="00D058B8">
      <w:pPr>
        <w:pStyle w:val="LineBottom"/>
      </w:pPr>
    </w:p>
    <w:p w:rsidR="003F6FCB" w:rsidRPr="00A61F0E" w:rsidRDefault="003F6FCB" w:rsidP="006122E5">
      <w:pPr>
        <w:pStyle w:val="ATHeading1"/>
      </w:pPr>
      <w:bookmarkStart w:id="0" w:name="TANumber"/>
      <w:r w:rsidRPr="00A61F0E">
        <w:t>P10_TA(2024)</w:t>
      </w:r>
      <w:bookmarkEnd w:id="0"/>
      <w:r w:rsidR="006122E5" w:rsidRPr="00A61F0E">
        <w:t>00</w:t>
      </w:r>
      <w:r w:rsidR="006122E5">
        <w:t>41</w:t>
      </w:r>
    </w:p>
    <w:p w:rsidR="003F6FCB" w:rsidRPr="00A61F0E" w:rsidRDefault="003F6FCB" w:rsidP="003F6FCB">
      <w:pPr>
        <w:pStyle w:val="ATHeading2"/>
      </w:pPr>
      <w:bookmarkStart w:id="1" w:name="title"/>
      <w:r w:rsidRPr="00A61F0E">
        <w:t>Генетично модифицирана царевица MON 810</w:t>
      </w:r>
      <w:bookmarkEnd w:id="1"/>
    </w:p>
    <w:p w:rsidR="003F6FCB" w:rsidRPr="00A61F0E" w:rsidRDefault="003F6FCB" w:rsidP="003F6FCB">
      <w:pPr>
        <w:rPr>
          <w:i/>
          <w:vanish/>
        </w:rPr>
      </w:pPr>
      <w:r w:rsidRPr="00A61F0E">
        <w:rPr>
          <w:i/>
        </w:rPr>
        <w:fldChar w:fldCharType="begin"/>
      </w:r>
      <w:r w:rsidRPr="00A61F0E">
        <w:rPr>
          <w:i/>
        </w:rPr>
        <w:instrText xml:space="preserve"> TC"(</w:instrText>
      </w:r>
      <w:bookmarkStart w:id="2" w:name="DocNumber"/>
      <w:r w:rsidRPr="00A61F0E">
        <w:rPr>
          <w:i/>
        </w:rPr>
        <w:instrText>B10-0146/2024</w:instrText>
      </w:r>
      <w:bookmarkEnd w:id="2"/>
      <w:r w:rsidRPr="00A61F0E">
        <w:rPr>
          <w:i/>
        </w:rPr>
        <w:instrText xml:space="preserve">)"\l3 \n&gt; \* MERGEFORMAT </w:instrText>
      </w:r>
      <w:r w:rsidRPr="00A61F0E">
        <w:rPr>
          <w:i/>
        </w:rPr>
        <w:fldChar w:fldCharType="end"/>
      </w:r>
    </w:p>
    <w:p w:rsidR="003F6FCB" w:rsidRPr="00A61F0E" w:rsidRDefault="003F6FCB" w:rsidP="003F6FCB">
      <w:pPr>
        <w:rPr>
          <w:vanish/>
        </w:rPr>
      </w:pPr>
      <w:bookmarkStart w:id="3" w:name="PE"/>
      <w:r w:rsidRPr="00A61F0E">
        <w:rPr>
          <w:vanish/>
        </w:rPr>
        <w:t>PE763.280</w:t>
      </w:r>
      <w:bookmarkEnd w:id="3"/>
    </w:p>
    <w:p w:rsidR="003F6FCB" w:rsidRPr="00A61F0E" w:rsidRDefault="003F6FCB" w:rsidP="00BC5FF5">
      <w:pPr>
        <w:pStyle w:val="ATHeading3"/>
      </w:pPr>
      <w:bookmarkStart w:id="4" w:name="Sujet"/>
      <w:r w:rsidRPr="00A61F0E">
        <w:t>Резолюция</w:t>
      </w:r>
      <w:r w:rsidR="00BC5FF5">
        <w:t xml:space="preserve"> на Европейския парламент от </w:t>
      </w:r>
      <w:r w:rsidR="00BC5FF5">
        <w:rPr>
          <w:lang w:val="en-GB"/>
        </w:rPr>
        <w:t xml:space="preserve">26 </w:t>
      </w:r>
      <w:r w:rsidR="00BC5FF5">
        <w:t>ноември</w:t>
      </w:r>
      <w:r w:rsidRPr="00A61F0E">
        <w:t xml:space="preserve"> 2024 г. относно Решение за изпълнение (ЕС) 2024/182</w:t>
      </w:r>
      <w:r w:rsidR="00AF7B07">
        <w:rPr>
          <w:lang w:val="en-GB"/>
        </w:rPr>
        <w:t>8</w:t>
      </w:r>
      <w:r w:rsidRPr="00A61F0E">
        <w:t xml:space="preserve">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w:t>
      </w:r>
      <w:bookmarkEnd w:id="4"/>
      <w:r w:rsidRPr="00A61F0E">
        <w:t xml:space="preserve"> </w:t>
      </w:r>
      <w:bookmarkStart w:id="5" w:name="References"/>
      <w:r w:rsidRPr="00A61F0E">
        <w:t>(2024/2840(RSP))</w:t>
      </w:r>
      <w:bookmarkEnd w:id="5"/>
    </w:p>
    <w:p w:rsidR="00F239C3" w:rsidRPr="00A61F0E" w:rsidRDefault="00F239C3" w:rsidP="00F239C3">
      <w:pPr>
        <w:pStyle w:val="EPComma"/>
      </w:pPr>
      <w:bookmarkStart w:id="6" w:name="TextBodyBegin"/>
      <w:bookmarkEnd w:id="6"/>
      <w:r w:rsidRPr="00A61F0E">
        <w:rPr>
          <w:i/>
        </w:rPr>
        <w:t>Европейският парламент</w:t>
      </w:r>
      <w:r w:rsidRPr="00A61F0E">
        <w:t>,</w:t>
      </w:r>
    </w:p>
    <w:p w:rsidR="00F239C3" w:rsidRPr="00A61F0E" w:rsidRDefault="00F239C3" w:rsidP="00F239C3">
      <w:pPr>
        <w:pStyle w:val="NormalHanging12a"/>
      </w:pPr>
      <w:r w:rsidRPr="00A61F0E">
        <w:t>–</w:t>
      </w:r>
      <w:r w:rsidRPr="00A61F0E">
        <w:tab/>
        <w:t>като взе предвид Решение за изпълнение (ЕС) 2024/182</w:t>
      </w:r>
      <w:r w:rsidR="00AF7B07">
        <w:rPr>
          <w:lang w:val="en-GB"/>
        </w:rPr>
        <w:t>8</w:t>
      </w:r>
      <w:r w:rsidRPr="00A61F0E">
        <w:t xml:space="preserve">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w:t>
      </w:r>
      <w:r w:rsidRPr="00A61F0E">
        <w:rPr>
          <w:rStyle w:val="FootnoteReference"/>
        </w:rPr>
        <w:footnoteReference w:id="1"/>
      </w:r>
      <w:r w:rsidRPr="00A61F0E">
        <w:t>,</w:t>
      </w:r>
    </w:p>
    <w:p w:rsidR="00F239C3" w:rsidRPr="00A61F0E" w:rsidRDefault="00F239C3" w:rsidP="00F239C3">
      <w:pPr>
        <w:pStyle w:val="NormalHanging12a"/>
      </w:pPr>
      <w:r w:rsidRPr="00A61F0E">
        <w:t>–</w:t>
      </w:r>
      <w:r w:rsidRPr="00A61F0E">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A61F0E">
        <w:rPr>
          <w:rStyle w:val="FootnoteReference"/>
        </w:rPr>
        <w:footnoteReference w:id="2"/>
      </w:r>
      <w:r w:rsidRPr="00A61F0E">
        <w:t>, и по-специално член 11, параграф 3 и член 23, параграф 3 от него,</w:t>
      </w:r>
    </w:p>
    <w:p w:rsidR="00F239C3" w:rsidRPr="00A61F0E" w:rsidRDefault="00F239C3" w:rsidP="00F239C3">
      <w:pPr>
        <w:pStyle w:val="NormalHanging12a"/>
      </w:pPr>
      <w:r w:rsidRPr="00A61F0E">
        <w:t>–</w:t>
      </w:r>
      <w:r w:rsidRPr="00A61F0E">
        <w:tab/>
        <w:t>като взе предвид гласуването на 26 април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29 май 2024 г., при което също не беше изразено становище,</w:t>
      </w:r>
    </w:p>
    <w:p w:rsidR="00F239C3" w:rsidRPr="00A61F0E" w:rsidRDefault="00F239C3" w:rsidP="00F239C3">
      <w:pPr>
        <w:pStyle w:val="NormalHanging12a"/>
      </w:pPr>
      <w:r w:rsidRPr="00A61F0E">
        <w:t>–</w:t>
      </w:r>
      <w:r w:rsidRPr="00A61F0E">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A61F0E">
        <w:rPr>
          <w:rStyle w:val="FootnoteReference"/>
        </w:rPr>
        <w:footnoteReference w:id="3"/>
      </w:r>
      <w:r w:rsidRPr="00A61F0E">
        <w:t>,</w:t>
      </w:r>
    </w:p>
    <w:p w:rsidR="00F239C3" w:rsidRPr="00A61F0E" w:rsidRDefault="00F239C3" w:rsidP="00F239C3">
      <w:pPr>
        <w:pStyle w:val="NormalHanging12a"/>
      </w:pPr>
      <w:r w:rsidRPr="00A61F0E">
        <w:t>–</w:t>
      </w:r>
      <w:r w:rsidRPr="00A61F0E">
        <w:tab/>
        <w:t xml:space="preserve">като взе предвид становището, прието от Европейския орган за безопасност на </w:t>
      </w:r>
      <w:r w:rsidRPr="00A61F0E">
        <w:lastRenderedPageBreak/>
        <w:t>храните (ЕОБХ) на 30 ноември 2023 г. и публикувано на 19 януари 2024 г.</w:t>
      </w:r>
      <w:r w:rsidRPr="00A61F0E">
        <w:rPr>
          <w:rStyle w:val="FootnoteReference"/>
        </w:rPr>
        <w:footnoteReference w:id="4"/>
      </w:r>
      <w:r w:rsidRPr="00A61F0E">
        <w:t>,</w:t>
      </w:r>
    </w:p>
    <w:p w:rsidR="00F239C3" w:rsidRPr="00A61F0E" w:rsidRDefault="00F239C3" w:rsidP="00F239C3">
      <w:pPr>
        <w:pStyle w:val="NormalHanging12a"/>
        <w:rPr>
          <w:szCs w:val="24"/>
          <w:shd w:val="clear" w:color="auto" w:fill="FFFFFF"/>
        </w:rPr>
      </w:pPr>
      <w:r w:rsidRPr="00A61F0E">
        <w:t>–</w:t>
      </w:r>
      <w:r w:rsidRPr="00A61F0E">
        <w:tab/>
      </w:r>
      <w:r w:rsidRPr="00A61F0E">
        <w:rPr>
          <w:shd w:val="clear" w:color="auto" w:fill="FFFFFF"/>
        </w:rPr>
        <w:t>като взе предвид предишните си резолюции, в които възразява срещу разрешаването на генетично модифицирани организми („ГМО“)</w:t>
      </w:r>
      <w:r w:rsidRPr="00A61F0E">
        <w:rPr>
          <w:szCs w:val="24"/>
          <w:shd w:val="clear" w:color="auto" w:fill="FFFFFF"/>
          <w:vertAlign w:val="superscript"/>
        </w:rPr>
        <w:footnoteReference w:id="5"/>
      </w:r>
      <w:r w:rsidRPr="00A61F0E">
        <w:rPr>
          <w:shd w:val="clear" w:color="auto" w:fill="FFFFFF"/>
        </w:rPr>
        <w:t>,</w:t>
      </w:r>
    </w:p>
    <w:p w:rsidR="00F239C3" w:rsidRPr="00A61F0E" w:rsidRDefault="00F239C3" w:rsidP="00F239C3">
      <w:pPr>
        <w:pStyle w:val="NormalHanging12a"/>
      </w:pPr>
      <w:r w:rsidRPr="00A61F0E">
        <w:t>–</w:t>
      </w:r>
      <w:r w:rsidRPr="00A61F0E">
        <w:tab/>
        <w:t>като взе предвид член 115, параграфи 2 и 3 от своя Правилник за дейността,</w:t>
      </w:r>
    </w:p>
    <w:p w:rsidR="00F239C3" w:rsidRPr="00A61F0E" w:rsidRDefault="00F239C3" w:rsidP="00F239C3">
      <w:pPr>
        <w:pStyle w:val="NormalHanging12a"/>
      </w:pPr>
      <w:r w:rsidRPr="00A61F0E">
        <w:t>–</w:t>
      </w:r>
      <w:r w:rsidRPr="00A61F0E">
        <w:tab/>
        <w:t>като взе предвид предложението за резолюция на комисията по околна среда, обществено здраве и безопасност на храните,</w:t>
      </w:r>
    </w:p>
    <w:p w:rsidR="00F239C3" w:rsidRPr="00A61F0E" w:rsidRDefault="00F239C3" w:rsidP="00F239C3">
      <w:pPr>
        <w:pStyle w:val="NormalHanging12a"/>
      </w:pPr>
      <w:r w:rsidRPr="00A61F0E">
        <w:t>А.</w:t>
      </w:r>
      <w:r w:rsidRPr="00A61F0E">
        <w:tab/>
        <w:t>като има предвид, че на 6 октомври 2022 г. Bayer Agriculture BV, със седалище в Белгия, подаде от името на Bayer CropScience LP, със седалище в Съединените щати, заявление до Комисията за подновяване на решения за изпълнение на Комисията 2013/649/ЕС</w:t>
      </w:r>
      <w:r w:rsidRPr="00A61F0E">
        <w:rPr>
          <w:rStyle w:val="FootnoteReference"/>
        </w:rPr>
        <w:footnoteReference w:id="6"/>
      </w:r>
      <w:r w:rsidRPr="00A61F0E">
        <w:t xml:space="preserve"> и (ЕС) 2017/1207</w:t>
      </w:r>
      <w:r w:rsidRPr="00A61F0E">
        <w:rPr>
          <w:rStyle w:val="FootnoteReference"/>
        </w:rPr>
        <w:footnoteReference w:id="7"/>
      </w:r>
      <w:r w:rsidRPr="00A61F0E">
        <w:t>. като има предвид, че в съответствие с член 11, параграф 4 от Регламент (ЕО) № 1829/2003 периодът на разрешението на генетично модифициран прашец, произведен от генетично модифицирана царевица MON 810 („генетично модифицирана царевица“), за видовете употреба в храни, обхванати от Решение за изпълнение 2013/649/ЕС, се удължава автоматично до вземането на решение относно заявлението за подновяване;</w:t>
      </w:r>
    </w:p>
    <w:p w:rsidR="00F239C3" w:rsidRPr="00A61F0E" w:rsidRDefault="00F239C3" w:rsidP="00F239C3">
      <w:pPr>
        <w:pStyle w:val="NormalHanging12a"/>
      </w:pPr>
      <w:r w:rsidRPr="00A61F0E">
        <w:t>Б.</w:t>
      </w:r>
      <w:r w:rsidRPr="00A61F0E">
        <w:tab/>
        <w:t xml:space="preserve">като има предвид, че на 30 ноември 2023 г. ЕОБХ даде положително становище, което беше публикувано на 19 януари 2024 г.; </w:t>
      </w:r>
    </w:p>
    <w:p w:rsidR="00F239C3" w:rsidRPr="00A61F0E" w:rsidRDefault="00F239C3" w:rsidP="00F239C3">
      <w:pPr>
        <w:pStyle w:val="NormalHanging12a"/>
      </w:pPr>
      <w:r w:rsidRPr="00A61F0E">
        <w:t>В.</w:t>
      </w:r>
      <w:r w:rsidRPr="00A61F0E">
        <w:tab/>
        <w:t>като има предвид, че генетично модифицираната царевица е била модифицирана, за да произвежда инсектициди („Bt токсини“);</w:t>
      </w:r>
    </w:p>
    <w:p w:rsidR="00F239C3" w:rsidRPr="00A61F0E" w:rsidRDefault="00F239C3" w:rsidP="00F239C3">
      <w:pPr>
        <w:pStyle w:val="NormalHanging12a"/>
        <w:rPr>
          <w:b/>
          <w:i/>
        </w:rPr>
      </w:pPr>
      <w:r w:rsidRPr="00A61F0E">
        <w:rPr>
          <w:b/>
          <w:i/>
        </w:rPr>
        <w:t>Нерешени въпроси относно Bt токсините</w:t>
      </w:r>
    </w:p>
    <w:p w:rsidR="00F239C3" w:rsidRPr="00A61F0E" w:rsidRDefault="00F239C3" w:rsidP="00F239C3">
      <w:pPr>
        <w:pStyle w:val="NormalHanging12a"/>
      </w:pPr>
      <w:r w:rsidRPr="00A61F0E">
        <w:t>Г.</w:t>
      </w:r>
      <w:r w:rsidRPr="00A61F0E">
        <w:tab/>
        <w:t xml:space="preserve">като има предвид, че редица проучвания показват, че са наблюдавани странични ефекти, които могат да засегнат човешката имунна система, вследствие на експозиция на Bt токсини, както и че някои Bt токсини могат да имат адювантни </w:t>
      </w:r>
      <w:r w:rsidRPr="00A61F0E">
        <w:lastRenderedPageBreak/>
        <w:t>свойства</w:t>
      </w:r>
      <w:r w:rsidRPr="00A61F0E">
        <w:rPr>
          <w:rStyle w:val="FootnoteReference"/>
        </w:rPr>
        <w:footnoteReference w:id="8"/>
      </w:r>
      <w:r w:rsidRPr="00A61F0E">
        <w:t>, което означава, че те могат да увеличат алергенността на други протеини, с които влизат в контакт;</w:t>
      </w:r>
    </w:p>
    <w:p w:rsidR="00F239C3" w:rsidRPr="00A61F0E" w:rsidRDefault="00F239C3" w:rsidP="00F239C3">
      <w:pPr>
        <w:pStyle w:val="NormalHanging12a"/>
        <w:rPr>
          <w:b/>
          <w:i/>
        </w:rPr>
      </w:pPr>
      <w:r w:rsidRPr="00A61F0E">
        <w:rPr>
          <w:b/>
          <w:i/>
        </w:rPr>
        <w:t>Bt култури: влияние върху нецелевите организми</w:t>
      </w:r>
    </w:p>
    <w:p w:rsidR="00F239C3" w:rsidRPr="00A61F0E" w:rsidRDefault="00F239C3" w:rsidP="00F239C3">
      <w:pPr>
        <w:pStyle w:val="NormalHanging12a"/>
        <w:rPr>
          <w:b/>
          <w:i/>
        </w:rPr>
      </w:pPr>
      <w:r w:rsidRPr="00A61F0E">
        <w:t>Д.</w:t>
      </w:r>
      <w:r w:rsidRPr="00A61F0E">
        <w:tab/>
        <w:t>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генетично модифицирани Bt култури води до непрекъсната експозиция на целевите и нецелевите организми на Bt токсини;</w:t>
      </w:r>
    </w:p>
    <w:p w:rsidR="00F239C3" w:rsidRPr="00A61F0E" w:rsidRDefault="00F239C3" w:rsidP="00F239C3">
      <w:pPr>
        <w:pStyle w:val="NormalHanging12a"/>
      </w:pPr>
      <w:r w:rsidRPr="00A61F0E">
        <w:t>Е.</w:t>
      </w:r>
      <w:r w:rsidRPr="00A61F0E">
        <w:tab/>
        <w:t>като има предвид, че вече не може да се счита за правилно допускането, че Bt токсините имат единичен и насочен към конкретни целеви организми механизъм на действие и че не може да се изключи въздействие върху нецелеви организми; като има предвид, че се съобщава за нарастващ брой нецелеви организми, които са засегнати по много начини; като има предвид, че в неотдавна извършен преглед се посочват 39 рецензирани публикации, в които се съобщава за значително неблагоприятно въздействие на Bt токсините върху редица видове, които не са целеви</w:t>
      </w:r>
      <w:r w:rsidRPr="00A61F0E">
        <w:rPr>
          <w:rStyle w:val="FootnoteReference"/>
        </w:rPr>
        <w:footnoteReference w:id="9"/>
      </w:r>
      <w:r w:rsidRPr="00A61F0E">
        <w:t>;</w:t>
      </w:r>
    </w:p>
    <w:p w:rsidR="00F239C3" w:rsidRPr="00A61F0E" w:rsidRDefault="00F239C3" w:rsidP="00F239C3">
      <w:pPr>
        <w:pStyle w:val="NormalHanging12a"/>
        <w:rPr>
          <w:b/>
          <w:i/>
        </w:rPr>
      </w:pPr>
      <w:r w:rsidRPr="00A61F0E">
        <w:rPr>
          <w:b/>
          <w:i/>
        </w:rPr>
        <w:t>Коментари на държавите членки</w:t>
      </w:r>
    </w:p>
    <w:p w:rsidR="00F239C3" w:rsidRPr="00A61F0E" w:rsidRDefault="00F239C3" w:rsidP="00F239C3">
      <w:pPr>
        <w:pStyle w:val="NormalHanging12a"/>
      </w:pPr>
      <w:r w:rsidRPr="00A61F0E">
        <w:t>Ж.</w:t>
      </w:r>
      <w:r w:rsidRPr="00A61F0E">
        <w:tab/>
        <w:t>като има предвид, че държавите членки представиха на ЕОБХ множество критични коментари по време на тримесечния период на консултации</w:t>
      </w:r>
      <w:r w:rsidRPr="00A61F0E">
        <w:rPr>
          <w:rStyle w:val="FootnoteReference"/>
        </w:rPr>
        <w:footnoteReference w:id="10"/>
      </w:r>
      <w:r w:rsidRPr="00A61F0E">
        <w:t xml:space="preserve">, включително че данните за състава на генетично модифицираната царевица следва да бъдат проверени и повторно анализирани, както и че анализът следва да отговаря на настоящите изисквания на ЕОБХ, наред с другото, извършването на изпитване за еквивалентност, както и че прегледът на литературата не включва проучвания относно съдбата на Cry1Ab в околната среда или относно потенциалните ефекти на остатъците от Bt-култури върху нецелевите организми, което е проблематично, тъй като публикациите показват, че преносът от фуражите от генетично модифицирана царевица към оборския тор може да доведе до експозиция на почвените организми на Cry1Ab и че това може да породи отрицателни ефекти за почвените организми с последици за биологичното </w:t>
      </w:r>
      <w:r w:rsidRPr="00A61F0E">
        <w:lastRenderedPageBreak/>
        <w:t xml:space="preserve">разнообразие и екосистемните услуги; </w:t>
      </w:r>
    </w:p>
    <w:p w:rsidR="00F239C3" w:rsidRPr="00A61F0E" w:rsidRDefault="00F239C3" w:rsidP="00F239C3">
      <w:pPr>
        <w:pStyle w:val="NormalHanging12a"/>
      </w:pPr>
      <w:r w:rsidRPr="00A61F0E">
        <w:t>З.</w:t>
      </w:r>
      <w:r w:rsidRPr="00A61F0E">
        <w:tab/>
        <w:t>като има предвид, че в Регламент (ЕО) № 1829/2003 се посочва, че генетично модифицираните храни и фуражи не трябва да имат отрицателни ефекти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законни фактори, свързани с разглеждания въпрос; като има предвид, че тези законни фактори следва да включват задълженията на Съюза съгласно целите на ООН за устойчиво развитие (ЦУР) и Конвенцията на ООН за биологичното разнообразие (КБР);</w:t>
      </w:r>
    </w:p>
    <w:p w:rsidR="00F239C3" w:rsidRPr="00A61F0E" w:rsidRDefault="00F239C3" w:rsidP="00F239C3">
      <w:pPr>
        <w:pStyle w:val="NormalHanging12a"/>
        <w:rPr>
          <w:b/>
          <w:i/>
        </w:rPr>
      </w:pPr>
      <w:r w:rsidRPr="00A61F0E">
        <w:rPr>
          <w:b/>
          <w:i/>
        </w:rPr>
        <w:t>Намаляване на зависимостта от вносни фуражи</w:t>
      </w:r>
    </w:p>
    <w:p w:rsidR="00F239C3" w:rsidRPr="00A61F0E" w:rsidRDefault="00F239C3" w:rsidP="00F239C3">
      <w:pPr>
        <w:pStyle w:val="NormalHanging12a"/>
      </w:pPr>
      <w:r w:rsidRPr="00A61F0E">
        <w:t>И.</w:t>
      </w:r>
      <w:r w:rsidRPr="00A61F0E">
        <w:tab/>
        <w:t>като има предвид, че една от поуките от кризата с COVID-19 и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за кандидата за член на Комисията Кристоф Хансен председателят на Комисията Урсула фон дер Лайен го призовава да потърси начини за намаляване на вноса на стоки от критично значение</w:t>
      </w:r>
      <w:r w:rsidRPr="00A61F0E">
        <w:rPr>
          <w:rStyle w:val="FootnoteReference"/>
        </w:rPr>
        <w:footnoteReference w:id="11"/>
      </w:r>
      <w:r w:rsidRPr="00A61F0E">
        <w:t xml:space="preserve">; </w:t>
      </w:r>
    </w:p>
    <w:p w:rsidR="00F239C3" w:rsidRPr="00A61F0E" w:rsidRDefault="00F239C3" w:rsidP="00F239C3">
      <w:pPr>
        <w:pStyle w:val="NormalHanging12a"/>
        <w:rPr>
          <w:b/>
          <w:i/>
        </w:rPr>
      </w:pPr>
      <w:r w:rsidRPr="00A61F0E">
        <w:rPr>
          <w:b/>
          <w:i/>
        </w:rPr>
        <w:t>Недемократичен процес на вземане на решения</w:t>
      </w:r>
    </w:p>
    <w:p w:rsidR="00F239C3" w:rsidRPr="00A61F0E" w:rsidRDefault="00F239C3" w:rsidP="00F239C3">
      <w:pPr>
        <w:pStyle w:val="NormalHanging12a"/>
        <w:rPr>
          <w:b/>
          <w:i/>
        </w:rPr>
      </w:pPr>
      <w:r w:rsidRPr="00A61F0E">
        <w:t>Й.</w:t>
      </w:r>
      <w:r w:rsidRPr="00A61F0E">
        <w:tab/>
      </w:r>
      <w:r w:rsidRPr="00A61F0E">
        <w:rPr>
          <w:shd w:val="clear" w:color="auto" w:fill="FFFFFF"/>
        </w:rPr>
        <w:t>като има предвид, че при гласуването на 26 април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29 май 2024 г. също не беше изразено становище;</w:t>
      </w:r>
    </w:p>
    <w:p w:rsidR="00F239C3" w:rsidRPr="00A61F0E" w:rsidRDefault="00F239C3" w:rsidP="00F239C3">
      <w:pPr>
        <w:pStyle w:val="NormalHanging12a"/>
      </w:pPr>
      <w:r w:rsidRPr="00A61F0E">
        <w:t>К.</w:t>
      </w:r>
      <w:r w:rsidRPr="00A61F0E">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F239C3" w:rsidRPr="00A61F0E" w:rsidRDefault="00F239C3" w:rsidP="00F239C3">
      <w:pPr>
        <w:pStyle w:val="NormalHanging12a"/>
      </w:pPr>
      <w:r w:rsidRPr="00A61F0E">
        <w:t>Л.</w:t>
      </w:r>
      <w:r w:rsidRPr="00A61F0E">
        <w:tab/>
        <w:t>като има предвид, че макар самата тя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F239C3" w:rsidRPr="00A61F0E" w:rsidRDefault="00F239C3" w:rsidP="00F239C3">
      <w:pPr>
        <w:pStyle w:val="NormalHanging12a"/>
      </w:pPr>
      <w:r w:rsidRPr="00A61F0E">
        <w:t>М.</w:t>
      </w:r>
      <w:r w:rsidRPr="00A61F0E">
        <w:tab/>
        <w:t>като има предвид, че не се изисква промяна на законодателството, за да може Комисията да не разрешава ГМО, когато държавите членки не са изразили подкрепа с квалифицирано мнозинство в апелативния комитет</w:t>
      </w:r>
      <w:r w:rsidRPr="00A61F0E">
        <w:rPr>
          <w:rStyle w:val="FootnoteReference"/>
        </w:rPr>
        <w:footnoteReference w:id="12"/>
      </w:r>
      <w:r w:rsidRPr="00A61F0E">
        <w:t>;</w:t>
      </w:r>
    </w:p>
    <w:p w:rsidR="00F239C3" w:rsidRPr="00A61F0E" w:rsidRDefault="00F239C3" w:rsidP="00F239C3">
      <w:pPr>
        <w:pStyle w:val="NormalHanging12a"/>
      </w:pPr>
      <w:r w:rsidRPr="00A61F0E">
        <w:t>Н.</w:t>
      </w:r>
      <w:r w:rsidRPr="00A61F0E">
        <w:tab/>
        <w:t>като има предвид, че на 2 юли 2024 г. Комисията поднови разрешението за пускане на пазара на генетично модифицираната царевица;</w:t>
      </w:r>
    </w:p>
    <w:p w:rsidR="00F239C3" w:rsidRPr="00A61F0E" w:rsidRDefault="00F239C3" w:rsidP="00F239C3">
      <w:pPr>
        <w:pStyle w:val="NormalHanging12a"/>
      </w:pPr>
      <w:r w:rsidRPr="00A61F0E">
        <w:lastRenderedPageBreak/>
        <w:t>1.</w:t>
      </w:r>
      <w:r w:rsidRPr="00A61F0E">
        <w:tab/>
        <w:t>счита, че Решение за изпълнение (ЕС) 2024/1828 превишава изпълнителните правомощия, предвидени в Регламент (Е</w:t>
      </w:r>
      <w:r w:rsidR="00AF7B07">
        <w:t>О</w:t>
      </w:r>
      <w:bookmarkStart w:id="7" w:name="_GoBack"/>
      <w:bookmarkEnd w:id="7"/>
      <w:r w:rsidRPr="00A61F0E">
        <w:t>) № 1829/2003;</w:t>
      </w:r>
    </w:p>
    <w:p w:rsidR="00F239C3" w:rsidRPr="00A61F0E" w:rsidRDefault="00F239C3" w:rsidP="00F239C3">
      <w:pPr>
        <w:pStyle w:val="NormalHanging12a"/>
      </w:pPr>
      <w:r w:rsidRPr="00A61F0E">
        <w:t>2.</w:t>
      </w:r>
      <w:r w:rsidRPr="00A61F0E">
        <w:tab/>
        <w:t>счита, че Решение за изпълнение (ЕС) 2024/1828 не е в съответствие с правото на Съюза, тъй като е несъвместимо с целта на Регламент (ЕО) № 1829/2003, която, в съответствие с общите принципи, предвидени в Регламент (ЕО) № 178/2002 на Европейския парламент и Съвета</w:t>
      </w:r>
      <w:r w:rsidRPr="00A61F0E">
        <w:rPr>
          <w:rStyle w:val="FootnoteReference"/>
        </w:rPr>
        <w:footnoteReference w:id="13"/>
      </w:r>
      <w:r w:rsidRPr="00A61F0E">
        <w:t>, е да се гарантира основа за осигуряването на висока степен на защита на живота и здравето на човека, на здравето на животните и на хуманното отношение към тях, на околната среда и на интересите на потребителите във връзка с генетично модифицираните храни и фуражи, като едновременно с това се гарантира ефективното функциониране на вътрешния пазар;</w:t>
      </w:r>
    </w:p>
    <w:p w:rsidR="00F239C3" w:rsidRPr="00A61F0E" w:rsidRDefault="00F239C3" w:rsidP="00F239C3">
      <w:pPr>
        <w:pStyle w:val="NormalHanging12a"/>
      </w:pPr>
      <w:r w:rsidRPr="00A61F0E">
        <w:t>3.</w:t>
      </w:r>
      <w:r w:rsidRPr="00A61F0E">
        <w:tab/>
        <w:t>отправя искане към Комисията да отмени Решение за изпълнение (ЕС) 2024/1828;</w:t>
      </w:r>
    </w:p>
    <w:p w:rsidR="00F239C3" w:rsidRPr="00A61F0E" w:rsidRDefault="00F239C3" w:rsidP="00F239C3">
      <w:pPr>
        <w:pStyle w:val="NormalHanging12a"/>
      </w:pPr>
      <w:r w:rsidRPr="00A61F0E">
        <w:t>4.</w:t>
      </w:r>
      <w:r w:rsidRPr="00A61F0E">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Pr="00A61F0E">
        <w:rPr>
          <w:rStyle w:val="FootnoteReference"/>
        </w:rPr>
        <w:footnoteReference w:id="14"/>
      </w:r>
      <w:r w:rsidRPr="00A61F0E">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F239C3" w:rsidRPr="00A61F0E" w:rsidRDefault="00F239C3" w:rsidP="00F239C3">
      <w:pPr>
        <w:pStyle w:val="NormalHanging12a"/>
      </w:pPr>
      <w:r w:rsidRPr="00A61F0E">
        <w:t>5.</w:t>
      </w:r>
      <w:r w:rsidRPr="00A61F0E">
        <w:tab/>
        <w:t>отново настоятелно призовава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Pr="00A61F0E">
        <w:rPr>
          <w:rStyle w:val="FootnoteReference"/>
        </w:rPr>
        <w:footnoteReference w:id="15"/>
      </w:r>
      <w:r w:rsidRPr="00A61F0E">
        <w:t xml:space="preserve">; </w:t>
      </w:r>
    </w:p>
    <w:p w:rsidR="00A61F0E" w:rsidRPr="00A61F0E" w:rsidRDefault="00F239C3" w:rsidP="00A61F0E">
      <w:pPr>
        <w:pStyle w:val="NormalHanging12a"/>
      </w:pPr>
      <w:r w:rsidRPr="00A61F0E">
        <w:t>6.</w:t>
      </w:r>
      <w:r w:rsidRPr="00A61F0E">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A61F0E" w:rsidRDefault="00E365E1" w:rsidP="00F239C3"/>
    <w:sectPr w:rsidR="00E365E1" w:rsidRPr="00A61F0E" w:rsidSect="00A61F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FCB" w:rsidRPr="00A61F0E" w:rsidRDefault="003F6FCB">
      <w:r w:rsidRPr="00A61F0E">
        <w:separator/>
      </w:r>
    </w:p>
  </w:endnote>
  <w:endnote w:type="continuationSeparator" w:id="0">
    <w:p w:rsidR="003F6FCB" w:rsidRPr="00A61F0E" w:rsidRDefault="003F6FCB">
      <w:r w:rsidRPr="00A61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FCB" w:rsidRPr="00A61F0E" w:rsidRDefault="003F6FCB">
      <w:r w:rsidRPr="00A61F0E">
        <w:separator/>
      </w:r>
    </w:p>
  </w:footnote>
  <w:footnote w:type="continuationSeparator" w:id="0">
    <w:p w:rsidR="003F6FCB" w:rsidRPr="00A61F0E" w:rsidRDefault="003F6FCB">
      <w:r w:rsidRPr="00A61F0E">
        <w:continuationSeparator/>
      </w:r>
    </w:p>
  </w:footnote>
  <w:footnote w:id="1">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ОВ L, 2024/1828, 4.7.2024 г.,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http://data.europa.eu/eli/dec_impl/2024/1828/oj</w:t>
        </w:r>
      </w:hyperlink>
      <w:r w:rsidRPr="00A61F0E">
        <w:rPr>
          <w:sz w:val="24"/>
          <w:lang w:val="bg-BG"/>
        </w:rPr>
        <w:t>.</w:t>
      </w:r>
    </w:p>
  </w:footnote>
  <w:footnote w:id="2">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ОВ L 268, 18.10.2003 г., стр. 1,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http://data.europa.eu/eli/reg/2003/1829/oj</w:t>
        </w:r>
      </w:hyperlink>
      <w:r w:rsidRPr="00A61F0E">
        <w:rPr>
          <w:sz w:val="24"/>
          <w:lang w:val="bg-BG"/>
        </w:rPr>
        <w:t>.</w:t>
      </w:r>
    </w:p>
  </w:footnote>
  <w:footnote w:id="3">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ОВ L 55, 28.2.2011 г., стр. 13, ELI: </w:t>
      </w:r>
      <w:hyperlink r:id="rId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http://data.europa.eu/eli/reg/2011/182/oj</w:t>
        </w:r>
      </w:hyperlink>
      <w:r w:rsidRPr="00A61F0E">
        <w:rPr>
          <w:sz w:val="24"/>
          <w:lang w:val="bg-BG"/>
        </w:rPr>
        <w:t>.</w:t>
      </w:r>
    </w:p>
  </w:footnote>
  <w:footnote w:id="4">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модифицирана царевица MON 810 с оглед на подновяване на разрешението в съответствие с Регламент (ЕО) № 1829/2003 (досие GMFF-2022-9450), Бюлетин на ЕОБХ, 2024 г.; 22(1):8489, </w:t>
      </w:r>
      <w:hyperlink r:id="rId4" w:history="1">
        <w:r w:rsidRPr="00A61F0E">
          <w:rPr>
            <w:rStyle w:val="Hyperlink"/>
            <w:sz w:val="24"/>
            <w:lang w:val="bg-BG"/>
          </w:rPr>
          <w:t>https://doi.org/10.2903/j.efsa.2024.8489</w:t>
        </w:r>
      </w:hyperlink>
      <w:r w:rsidRPr="00A61F0E">
        <w:rPr>
          <w:sz w:val="24"/>
          <w:lang w:val="bg-BG"/>
        </w:rPr>
        <w:t>.</w:t>
      </w:r>
    </w:p>
  </w:footnote>
  <w:footnote w:id="5">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color w:val="000000" w:themeColor="text1"/>
          <w:sz w:val="24"/>
          <w:lang w:val="bg-BG"/>
        </w:rPr>
        <w:t xml:space="preserve"> </w:t>
      </w:r>
      <w:r w:rsidR="00A61F0E" w:rsidRPr="00A61F0E">
        <w:rPr>
          <w:color w:val="000000" w:themeColor="text1"/>
          <w:sz w:val="24"/>
          <w:lang w:val="bg-BG"/>
        </w:rPr>
        <w:tab/>
      </w:r>
      <w:r w:rsidRPr="00A61F0E">
        <w:rPr>
          <w:color w:val="000000" w:themeColor="text1"/>
          <w:sz w:val="24"/>
          <w:lang w:val="bg-BG"/>
        </w:rPr>
        <w:t xml:space="preserve">През осмия си мандат Парламентът прие 36 резолюции, а през деветия си мандат – 38 резолюции, в които възразява срещу разрешаването на ГМО. </w:t>
      </w:r>
    </w:p>
  </w:footnote>
  <w:footnote w:id="6">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Решение за изпълнение 2013/649/ЕС на Комисията от 6 ноември 2013 г. за разрешаване на пускането на пазара на цветен прашец, произведен от царевица MON 810 (MON-ØØ81Ø-6), съгласно Регламент (ЕО) № 1829/2003 на Европейския парламент и на Съвета (ОВ L 302, 13.11.2013 г., стр. 44, ELI: </w:t>
      </w:r>
      <w:hyperlink r:id="rId5"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http://data.europa.eu/eli/dec_impl/2013/649/oj</w:t>
        </w:r>
      </w:hyperlink>
      <w:r w:rsidRPr="00A61F0E">
        <w:rPr>
          <w:sz w:val="24"/>
          <w:lang w:val="bg-BG"/>
        </w:rPr>
        <w:t>).</w:t>
      </w:r>
    </w:p>
  </w:footnote>
  <w:footnote w:id="7">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Решение за изпълнение (ЕС) 2017/1207 на Комисията от 4 юли 2017 г. за подновяване на разрешението за пускането на пазара на продукти от генетично модифицирана царевица MON 810 (MON-ØØ81Ø-6), в съответствие с Регламент (ЕО) № 1829/2003 на Европейския парламент и на Съвета (ОВ L 173, 6.7.2017 г., стр. 18, ELI: </w:t>
      </w:r>
      <w:hyperlink r:id="rId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http://data.europa.eu/eli/dec_impl/2017/1207/oj</w:t>
        </w:r>
      </w:hyperlink>
      <w:r w:rsidRPr="00A61F0E">
        <w:rPr>
          <w:sz w:val="24"/>
          <w:lang w:val="bg-BG"/>
        </w:rPr>
        <w:t>).</w:t>
      </w:r>
    </w:p>
  </w:footnote>
  <w:footnote w:id="8">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За преглед вж. Rubio-Infante, N., Moreno-Fierros, L., „An overview of the safety and biological effects of </w:t>
      </w:r>
      <w:r w:rsidRPr="00A61F0E">
        <w:rPr>
          <w:i/>
          <w:iCs/>
          <w:sz w:val="24"/>
          <w:lang w:val="bg-BG"/>
        </w:rPr>
        <w:t>Bacillus thuringiensis</w:t>
      </w:r>
      <w:r w:rsidRPr="00A61F0E">
        <w:rPr>
          <w:sz w:val="24"/>
          <w:lang w:val="bg-BG"/>
        </w:rPr>
        <w:t xml:space="preserve"> Cry toxins in mammals“ (Преглед на безопасността и биологичните ефекти на Cry токсините от Bacillus thuringiensis при бозайниците), Journal of Applied Toxicology, май 2016 г., 36, 5, стр. 630 — 648, </w:t>
      </w:r>
      <w:hyperlink r:id="rId7" w:history="1">
        <w:r w:rsidRPr="00A61F0E">
          <w:rPr>
            <w:rStyle w:val="Hyperlink"/>
            <w:sz w:val="24"/>
            <w:lang w:val="bg-BG"/>
          </w:rPr>
          <w:t>https://onlinelibrary.wiley.com/doi/full/10.1002/jat.3252</w:t>
        </w:r>
      </w:hyperlink>
      <w:r w:rsidRPr="00A61F0E">
        <w:rPr>
          <w:rStyle w:val="Hyperlink"/>
          <w:sz w:val="24"/>
          <w:lang w:val="bg-BG"/>
        </w:rPr>
        <w:t>.</w:t>
      </w:r>
    </w:p>
  </w:footnote>
  <w:footnote w:id="9">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Hilbeck, A., Defarge, N., Lebrecht, T., Bøhn, T., „Insecticidal Bt crops. EFSA’s risk assessment approach for GM Bt plants fails by design“ (Инсектицидни Bt култури. Недостатъци на подхода на ЕОБХ за оценка на генетично модифицирани Bt растения, заложени още при изготвянето му), RAGES, 2020 г., стр. 4, </w:t>
      </w:r>
      <w:hyperlink r:id="rId8" w:history="1">
        <w:r w:rsidRPr="00A61F0E">
          <w:rPr>
            <w:rStyle w:val="Hyperlink"/>
            <w:sz w:val="24"/>
            <w:lang w:val="bg-BG"/>
          </w:rPr>
          <w:t>https://www.testbiotech.org/wp-content/uploads/2023/12/RAGES_report-Insecticidal-Bt-plants.pdf</w:t>
        </w:r>
      </w:hyperlink>
      <w:r w:rsidRPr="00A61F0E">
        <w:rPr>
          <w:rStyle w:val="Hyperlink"/>
          <w:sz w:val="24"/>
          <w:lang w:val="bg-BG"/>
        </w:rPr>
        <w:t xml:space="preserve">; </w:t>
      </w:r>
      <w:r w:rsidRPr="00A61F0E">
        <w:rPr>
          <w:sz w:val="24"/>
          <w:lang w:val="bg-BG"/>
        </w:rPr>
        <w:t>Вж. например Hilbeck, A., Otto, M., „Specificity and Combinatorial Effects of </w:t>
      </w:r>
      <w:r w:rsidRPr="00A61F0E">
        <w:rPr>
          <w:i/>
          <w:sz w:val="24"/>
          <w:lang w:val="bg-BG"/>
        </w:rPr>
        <w:t>Bacillus thuringiensis</w:t>
      </w:r>
      <w:r w:rsidRPr="00A61F0E">
        <w:rPr>
          <w:sz w:val="24"/>
          <w:lang w:val="bg-BG"/>
        </w:rPr>
        <w:t xml:space="preserve"> Cry Toxins in the Context of GMO Environmental Risk Assessment“ (Специфика и комбинаторни ефекти на Cry токсините от Bacillus thuringiensis в контекста на оценката на риска за околната среда от генетично модифицирани организми), Frontiers in Environmental Science, 2015 г., 3:71, </w:t>
      </w:r>
      <w:hyperlink r:id="rId9" w:history="1">
        <w:r w:rsidRPr="00A61F0E">
          <w:rPr>
            <w:rStyle w:val="Hyperlink"/>
            <w:sz w:val="24"/>
            <w:lang w:val="bg-BG"/>
          </w:rPr>
          <w:t>https://doi.org/10.3389/fenvs.2015.00071</w:t>
        </w:r>
      </w:hyperlink>
      <w:r w:rsidRPr="00A61F0E">
        <w:rPr>
          <w:sz w:val="24"/>
          <w:lang w:val="bg-BG"/>
        </w:rPr>
        <w:t>.</w:t>
      </w:r>
    </w:p>
  </w:footnote>
  <w:footnote w:id="10">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hyperlink r:id="rId10" w:history="1">
        <w:r w:rsidRPr="00A61F0E">
          <w:rPr>
            <w:rStyle w:val="Hyperlink"/>
            <w:sz w:val="24"/>
            <w:lang w:val="bg-BG"/>
          </w:rPr>
          <w:t>https://efsa.onlinelibrary.wiley.com/action/downloadSupplement?doi=10.2903%‌2Fj.efsa.2024.8489&amp;file=efs28489-sup-0008-Annex_8.pdf</w:t>
        </w:r>
      </w:hyperlink>
      <w:r w:rsidRPr="00A61F0E">
        <w:rPr>
          <w:rStyle w:val="Hyperlink"/>
          <w:sz w:val="24"/>
          <w:lang w:val="bg-BG"/>
        </w:rPr>
        <w:t>.</w:t>
      </w:r>
    </w:p>
  </w:footnote>
  <w:footnote w:id="11">
    <w:p w:rsidR="00F239C3" w:rsidRPr="00A61F0E" w:rsidRDefault="00F239C3" w:rsidP="00A61F0E">
      <w:pPr>
        <w:pStyle w:val="FootnoteText"/>
        <w:ind w:left="567" w:hanging="567"/>
        <w:rPr>
          <w:sz w:val="24"/>
          <w:vertAlign w:val="superscript"/>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hyperlink r:id="rId11" w:history="1">
        <w:r w:rsidRPr="00A61F0E">
          <w:rPr>
            <w:rStyle w:val="Hyperlink"/>
            <w:sz w:val="24"/>
            <w:lang w:val="bg-BG"/>
          </w:rPr>
          <w:t>https://commission.europa.eu/document/2c64e540-c07a-4376-a1da-368d289f4afe_en</w:t>
        </w:r>
      </w:hyperlink>
    </w:p>
    <w:p w:rsidR="00F239C3" w:rsidRPr="00A61F0E" w:rsidRDefault="00A61F0E" w:rsidP="00A61F0E">
      <w:pPr>
        <w:pStyle w:val="FootnoteText"/>
        <w:ind w:left="567" w:hanging="567"/>
        <w:rPr>
          <w:sz w:val="24"/>
          <w:lang w:val="bg-BG"/>
        </w:rPr>
      </w:pPr>
      <w:r w:rsidRPr="00A61F0E">
        <w:rPr>
          <w:sz w:val="24"/>
          <w:lang w:val="bg-BG"/>
        </w:rPr>
        <w:t xml:space="preserve"> </w:t>
      </w:r>
      <w:r w:rsidRPr="00A61F0E">
        <w:rPr>
          <w:sz w:val="24"/>
          <w:lang w:val="bg-BG"/>
        </w:rPr>
        <w:tab/>
      </w:r>
    </w:p>
  </w:footnote>
  <w:footnote w:id="12">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Комисията „може“, а не „трябва“ да предоставя разрешение, когато държавите членки не са изразили подкрепа с квалифицирано мнозинство в апелативния комитет, в съответствие с член 6, параграф 3 от Регламент (ЕС) № 182/2011.</w:t>
      </w:r>
    </w:p>
  </w:footnote>
  <w:footnote w:id="13">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61F0E">
          <w:rPr>
            <w:rStyle w:val="Hyperlink"/>
            <w:color w:val="337AB7"/>
            <w:sz w:val="24"/>
            <w:shd w:val="clear" w:color="auto" w:fill="FFFFFF"/>
            <w:lang w:val="bg-BG"/>
          </w:rPr>
          <w:t>http://data.europa.eu/eli/reg/2002/178/oj</w:t>
        </w:r>
      </w:hyperlink>
      <w:r w:rsidRPr="00A61F0E">
        <w:rPr>
          <w:sz w:val="24"/>
          <w:lang w:val="bg-BG"/>
        </w:rPr>
        <w:t>).</w:t>
      </w:r>
    </w:p>
  </w:footnote>
  <w:footnote w:id="14">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hyperlink r:id="rId13" w:history="1">
        <w:r w:rsidRPr="00A61F0E">
          <w:rPr>
            <w:rStyle w:val="Hyperlink"/>
            <w:sz w:val="24"/>
            <w:lang w:val="bg-BG"/>
          </w:rPr>
          <w:t>https://tillymetz.lu/wp-content/uploads/2020/09/Co-signed-letter-MEP-Metz.pdf</w:t>
        </w:r>
      </w:hyperlink>
      <w:r w:rsidRPr="00A61F0E">
        <w:rPr>
          <w:rStyle w:val="Hyperlink"/>
          <w:sz w:val="24"/>
          <w:lang w:val="bg-BG"/>
        </w:rPr>
        <w:t>.</w:t>
      </w:r>
    </w:p>
  </w:footnote>
  <w:footnote w:id="15">
    <w:p w:rsidR="00F239C3" w:rsidRPr="00A61F0E" w:rsidRDefault="00F239C3" w:rsidP="00A61F0E">
      <w:pPr>
        <w:pStyle w:val="FootnoteText"/>
        <w:ind w:left="567" w:hanging="567"/>
        <w:rPr>
          <w:sz w:val="24"/>
          <w:lang w:val="bg-BG"/>
        </w:rPr>
      </w:pPr>
      <w:r w:rsidRPr="00A61F0E">
        <w:rPr>
          <w:rStyle w:val="FootnoteReference"/>
          <w:sz w:val="24"/>
          <w:lang w:val="bg-BG"/>
        </w:rPr>
        <w:footnoteRef/>
      </w:r>
      <w:r w:rsidR="00A61F0E" w:rsidRPr="00A61F0E">
        <w:rPr>
          <w:sz w:val="24"/>
          <w:lang w:val="bg-BG"/>
        </w:rPr>
        <w:t xml:space="preserve"> </w:t>
      </w:r>
      <w:r w:rsidR="00A61F0E" w:rsidRPr="00A61F0E">
        <w:rPr>
          <w:sz w:val="24"/>
          <w:lang w:val="bg-BG"/>
        </w:rPr>
        <w:tab/>
      </w:r>
      <w:r w:rsidRPr="00A61F0E">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F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BG"/>
    <w:docVar w:name="dvnumam" w:val="0"/>
    <w:docVar w:name="dvpe" w:val="763.280"/>
    <w:docVar w:name="dvtitre" w:val="Резолюция на Европейския парламент от ... 2024 г. относно Решение за изпълнение (ЕС) 2024/1826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2024/2840(RSP))"/>
  </w:docVars>
  <w:rsids>
    <w:rsidRoot w:val="003F6FC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6FC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2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8F9"/>
    <w:rsid w:val="00981893"/>
    <w:rsid w:val="00A1687D"/>
    <w:rsid w:val="00A43E52"/>
    <w:rsid w:val="00A4678D"/>
    <w:rsid w:val="00A61F0E"/>
    <w:rsid w:val="00A778C7"/>
    <w:rsid w:val="00AB441E"/>
    <w:rsid w:val="00AB6293"/>
    <w:rsid w:val="00AE0928"/>
    <w:rsid w:val="00AF3B82"/>
    <w:rsid w:val="00AF7B07"/>
    <w:rsid w:val="00B12E95"/>
    <w:rsid w:val="00B22876"/>
    <w:rsid w:val="00B558F0"/>
    <w:rsid w:val="00BC5FF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9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12F46"/>
  <w15:chartTrackingRefBased/>
  <w15:docId w15:val="{CCE3303E-27E5-4AB3-B872-B611BA03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39C3"/>
    <w:pPr>
      <w:spacing w:before="480" w:after="240"/>
    </w:pPr>
  </w:style>
  <w:style w:type="paragraph" w:customStyle="1" w:styleId="NormalBold12a">
    <w:name w:val="NormalBold12a"/>
    <w:basedOn w:val="Normal"/>
    <w:rsid w:val="00F239C3"/>
    <w:pPr>
      <w:spacing w:after="240"/>
    </w:pPr>
    <w:rPr>
      <w:b/>
    </w:rPr>
  </w:style>
  <w:style w:type="paragraph" w:customStyle="1" w:styleId="NormalHanging12a">
    <w:name w:val="NormalHanging12a"/>
    <w:basedOn w:val="Normal"/>
    <w:rsid w:val="00F239C3"/>
    <w:pPr>
      <w:spacing w:after="240"/>
      <w:ind w:left="567" w:hanging="567"/>
    </w:pPr>
  </w:style>
  <w:style w:type="character" w:styleId="Hyperlink">
    <w:name w:val="Hyperlink"/>
    <w:basedOn w:val="DefaultParagraphFont"/>
    <w:uiPriority w:val="99"/>
    <w:rsid w:val="00F239C3"/>
    <w:rPr>
      <w:color w:val="0563C1" w:themeColor="hyperlink"/>
      <w:u w:val="single"/>
    </w:rPr>
  </w:style>
  <w:style w:type="paragraph" w:styleId="BalloonText">
    <w:name w:val="Balloon Text"/>
    <w:basedOn w:val="Normal"/>
    <w:link w:val="BalloonTextChar"/>
    <w:rsid w:val="006122E5"/>
    <w:rPr>
      <w:rFonts w:ascii="Segoe UI" w:hAnsi="Segoe UI" w:cs="Segoe UI"/>
      <w:sz w:val="18"/>
      <w:szCs w:val="18"/>
    </w:rPr>
  </w:style>
  <w:style w:type="character" w:customStyle="1" w:styleId="BalloonTextChar">
    <w:name w:val="Balloon Text Char"/>
    <w:basedOn w:val="DefaultParagraphFont"/>
    <w:link w:val="BalloonText"/>
    <w:rsid w:val="006122E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160EC-55F6-4296-B8AE-2E8909F72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1370</Words>
  <Characters>8357</Characters>
  <Application>Microsoft Office Word</Application>
  <DocSecurity>0</DocSecurity>
  <Lines>417</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2024-12-17T10:09:00Z</dcterms:created>
  <dcterms:modified xsi:type="dcterms:W3CDTF">2024-12-17T10:09:00Z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B10-0146/2024</vt:lpwstr>
  </property>
  <property fmtid="{D5CDD505-2E9C-101B-9397-08002B2CF9AE}" pid="4" name="&lt;Type&gt;">
    <vt:lpwstr>RR</vt:lpwstr>
  </property>
</Properties>
</file>